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00" w:type="dxa"/>
            <w:vAlign w:val="bottom"/>
            <w:gridSpan w:val="2"/>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EWING R STEWART JR</w:t>
              </w:r>
            </w:hyperlink>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Ribbon Communications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RBBN</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Borders>
              <w:bottom w:val="single" w:sz="8" w:color="0000EE"/>
            </w:tcBorders>
          </w:tcPr>
          <w:p>
            <w:pPr>
              <w:spacing w:after="0"/>
              <w:rPr>
                <w:sz w:val="5"/>
                <w:szCs w:val="5"/>
                <w:color w:val="auto"/>
              </w:rPr>
            </w:pPr>
          </w:p>
        </w:tc>
        <w:tc>
          <w:tcPr>
            <w:tcW w:w="13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100" w:type="dxa"/>
            <w:vAlign w:val="bottom"/>
            <w:gridSpan w:val="2"/>
          </w:tcPr>
          <w:p>
            <w:pPr>
              <w:spacing w:after="0"/>
              <w:rPr>
                <w:sz w:val="6"/>
                <w:szCs w:val="6"/>
                <w:color w:val="auto"/>
              </w:rPr>
            </w:pPr>
          </w:p>
        </w:tc>
        <w:tc>
          <w:tcPr>
            <w:tcW w:w="3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1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2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2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06/15/2026</w:t>
            </w:r>
          </w:p>
        </w:tc>
        <w:tc>
          <w:tcPr>
            <w:tcW w:w="13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RIBBON COMMUNICATIONS INC.</w:t>
            </w:r>
          </w:p>
        </w:tc>
        <w:tc>
          <w:tcPr>
            <w:tcW w:w="2540" w:type="dxa"/>
            <w:vAlign w:val="bottom"/>
            <w:gridSpan w:val="3"/>
            <w:vMerge w:val="continue"/>
          </w:tcPr>
          <w:p>
            <w:pPr>
              <w:spacing w:after="0"/>
              <w:rPr>
                <w:sz w:val="10"/>
                <w:szCs w:val="10"/>
                <w:color w:val="auto"/>
              </w:rPr>
            </w:pPr>
          </w:p>
        </w:tc>
        <w:tc>
          <w:tcPr>
            <w:tcW w:w="13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98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SUITE 100</w:t>
            </w:r>
          </w:p>
        </w:tc>
        <w:tc>
          <w:tcPr>
            <w:tcW w:w="1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PLANO</w:t>
            </w:r>
          </w:p>
        </w:tc>
        <w:tc>
          <w:tcPr>
            <w:tcW w:w="11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TX</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75023</w:t>
            </w:r>
          </w:p>
        </w:tc>
      </w:tr>
      <w:tr>
        <w:trPr>
          <w:trHeight w:val="146"/>
        </w:trPr>
        <w:tc>
          <w:tcPr>
            <w:tcW w:w="20" w:type="dxa"/>
            <w:vAlign w:val="bottom"/>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0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ind w:right="1"/>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06/16/2026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42,500</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260" w:type="dxa"/>
            <w:vAlign w:val="bottom"/>
            <w:gridSpan w:val="3"/>
          </w:tcPr>
          <w:p>
            <w:pPr>
              <w:ind w:left="360"/>
              <w:spacing w:after="0"/>
              <w:rPr>
                <w:sz w:val="20"/>
                <w:szCs w:val="20"/>
                <w:color w:val="auto"/>
              </w:rPr>
            </w:pPr>
            <w:r>
              <w:rPr>
                <w:rFonts w:ascii="Times New Roman" w:cs="Times New Roman" w:eastAsia="Times New Roman" w:hAnsi="Times New Roman"/>
                <w:sz w:val="16"/>
                <w:szCs w:val="16"/>
                <w:color w:val="0000FF"/>
              </w:rPr>
              <w:t>239,891</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06/15/2026</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63,197</w:t>
            </w:r>
          </w:p>
        </w:tc>
        <w:tc>
          <w:tcPr>
            <w:tcW w:w="500" w:type="dxa"/>
            <w:vAlign w:val="bottom"/>
          </w:tcPr>
          <w:p>
            <w:pPr>
              <w:spacing w:after="0"/>
              <w:rPr>
                <w:sz w:val="17"/>
                <w:szCs w:val="17"/>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63,197</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rPr>
                <w:sz w:val="20"/>
                <w:szCs w:val="20"/>
                <w:color w:val="auto"/>
              </w:rPr>
            </w:pPr>
            <w:r>
              <w:rPr>
                <w:rFonts w:ascii="Times New Roman" w:cs="Times New Roman" w:eastAsia="Times New Roman" w:hAnsi="Times New Roman"/>
                <w:sz w:val="13"/>
                <w:szCs w:val="13"/>
                <w:color w:val="0000FF"/>
              </w:rPr>
              <w:t>63,197</w:t>
            </w: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tcPr>
          <w:p>
            <w:pPr>
              <w:ind w:left="60"/>
              <w:spacing w:after="0" w:line="76" w:lineRule="exact"/>
              <w:rPr>
                <w:sz w:val="20"/>
                <w:szCs w:val="20"/>
                <w:color w:val="auto"/>
              </w:rPr>
            </w:pPr>
            <w:r>
              <w:rPr>
                <w:rFonts w:ascii="Times New Roman" w:cs="Times New Roman" w:eastAsia="Times New Roman" w:hAnsi="Times New Roman"/>
                <w:sz w:val="8"/>
                <w:szCs w:val="8"/>
                <w:color w:val="0000FF"/>
              </w:rPr>
              <w:t>Units</w:t>
            </w: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jc w:val="center"/>
              <w:ind w:right="41"/>
              <w:spacing w:after="0" w:line="76" w:lineRule="exact"/>
              <w:rPr>
                <w:sz w:val="20"/>
                <w:szCs w:val="20"/>
                <w:color w:val="auto"/>
              </w:rPr>
            </w:pPr>
            <w:r>
              <w:rPr>
                <w:rFonts w:ascii="Times New Roman" w:cs="Times New Roman" w:eastAsia="Times New Roman" w:hAnsi="Times New Roman"/>
                <w:sz w:val="8"/>
                <w:szCs w:val="8"/>
                <w:color w:val="0000FF"/>
              </w:rPr>
              <w:t>Stock</w:t>
            </w: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06/16/2026</w:t>
            </w: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center"/>
              <w:ind w:right="321"/>
              <w:spacing w:after="0"/>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20"/>
                <w:szCs w:val="20"/>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42,500</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6"/>
                <w:szCs w:val="16"/>
                <w:color w:val="0000FF"/>
              </w:rPr>
              <w:t>42,500</w:t>
            </w:r>
          </w:p>
        </w:tc>
        <w:tc>
          <w:tcPr>
            <w:tcW w:w="40" w:type="dxa"/>
            <w:vAlign w:val="bottom"/>
          </w:tcPr>
          <w:p>
            <w:pPr>
              <w:spacing w:after="0"/>
              <w:rPr>
                <w:sz w:val="20"/>
                <w:szCs w:val="20"/>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20"/>
                <w:szCs w:val="20"/>
                <w:color w:val="auto"/>
              </w:rPr>
            </w:pPr>
          </w:p>
        </w:tc>
        <w:tc>
          <w:tcPr>
            <w:tcW w:w="64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jc w:val="center"/>
              <w:ind w:right="41"/>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the Issuer's common stock.</w:t>
      </w:r>
    </w:p>
    <w:p>
      <w:pPr>
        <w:spacing w:after="0" w:line="40" w:lineRule="exact"/>
        <w:rPr>
          <w:rFonts w:ascii="Times New Roman" w:cs="Times New Roman" w:eastAsia="Times New Roman" w:hAnsi="Times New Roman"/>
          <w:sz w:val="13"/>
          <w:szCs w:val="13"/>
          <w:color w:val="008000"/>
        </w:rPr>
      </w:pPr>
    </w:p>
    <w:p>
      <w:pPr>
        <w:jc w:val="both"/>
        <w:ind w:left="40" w:right="14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on June 15, 2027, subject to the Reporting Person's continued service with the Issuer through such date; provided, however, that if the Issuer's 2027 Annual Meeting of Stockholders (the "2027 Annual Meeting") occurs prior to June 15, 2027, and, at such 2027 Annual Meeting, the Reporting Person either chooses not to stand for re-election to the Issuer's Board of Directors or, after standing for re-election, is not re-elected, then these RSUs will vest as of the date of the 2027 Annual Meeting.</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awarded on June 16, 2025 and vested in full on June 16, 2026.</w:t>
      </w:r>
    </w:p>
    <w:p>
      <w:pPr>
        <w:spacing w:after="0" w:line="40" w:lineRule="exact"/>
        <w:rPr>
          <w:sz w:val="20"/>
          <w:szCs w:val="20"/>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Patrick Macken, By POA from</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06/17/2026</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R. Stewart Ewing Jr.</w:t>
            </w: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02822" TargetMode="External"/><Relationship Id="rId14" Type="http://schemas.openxmlformats.org/officeDocument/2006/relationships/hyperlink" Target="http://www.sec.gov/cgi-bin/browse-edgar?action=getcompany&amp;CIK=00017080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2026-06-17T15:45:51Z</dcterms:created>
  <dcterms:modified xsi:type="dcterms:W3CDTF">2026-06-17T15:45:51Z</dcterms:modified>
</cp:coreProperties>
</file>