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120"/>
        <w:spacing w:after="0"/>
        <w:tabs>
          <w:tab w:leader="none" w:pos="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07" w:lineRule="exact"/>
        <w:rPr>
          <w:sz w:val="24"/>
          <w:szCs w:val="24"/>
          <w:color w:val="auto"/>
        </w:rPr>
      </w:pPr>
    </w:p>
    <w:p>
      <w:pPr>
        <w:ind w:left="5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0" w:lineRule="exact"/>
        <w:rPr>
          <w:sz w:val="24"/>
          <w:szCs w:val="24"/>
          <w:color w:val="auto"/>
        </w:rPr>
      </w:pPr>
    </w:p>
    <w:p>
      <w:pPr>
        <w:sectPr>
          <w:pgSz w:w="11900" w:h="16838" w:orient="portrait"/>
          <w:cols w:equalWidth="0" w:num="4">
            <w:col w:w="2700" w:space="720"/>
            <w:col w:w="1660" w:space="720"/>
            <w:col w:w="2200" w:space="720"/>
            <w:col w:w="2640"/>
          </w:cols>
          <w:pgMar w:left="240" w:top="685" w:right="299" w:bottom="1440" w:gutter="0" w:footer="0" w:header="0"/>
          <w:type w:val="continuous"/>
        </w:sect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29, 2009, there were 274,324,004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2009</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96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740" w:type="dxa"/>
            <w:vAlign w:val="bottom"/>
            <w:gridSpan w:val="7"/>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4"/>
                <w:szCs w:val="14"/>
                <w:color w:val="auto"/>
              </w:rPr>
            </w:pPr>
          </w:p>
        </w:tc>
        <w:tc>
          <w:tcPr>
            <w:tcW w:w="2960" w:type="dxa"/>
            <w:vAlign w:val="bottom"/>
            <w:tcBorders>
              <w:bottom w:val="single" w:sz="8" w:color="0000EE"/>
            </w:tcBorders>
            <w:gridSpan w:val="16"/>
            <w:vMerge w:val="continue"/>
          </w:tcPr>
          <w:p>
            <w:pPr>
              <w:spacing w:after="0"/>
              <w:rPr>
                <w:sz w:val="14"/>
                <w:szCs w:val="14"/>
                <w:color w:val="auto"/>
              </w:rPr>
            </w:pPr>
          </w:p>
        </w:tc>
        <w:tc>
          <w:tcPr>
            <w:tcW w:w="5740" w:type="dxa"/>
            <w:vAlign w:val="bottom"/>
            <w:gridSpan w:val="7"/>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8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80" w:type="dxa"/>
            <w:vAlign w:val="bottom"/>
            <w:gridSpan w:val="1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September 30, 2009 and December 31, 2008 (unaudited)</w:t>
              </w:r>
            </w:hyperlink>
          </w:p>
        </w:tc>
        <w:tc>
          <w:tcPr>
            <w:tcW w:w="5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Nine Months Ended September 30,</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gridSpan w:val="10"/>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2009 and 2008 (unaudited)</w:t>
              </w:r>
            </w:hyperlink>
          </w:p>
        </w:tc>
        <w:tc>
          <w:tcPr>
            <w:tcW w:w="5280" w:type="dxa"/>
            <w:vAlign w:val="bottom"/>
            <w:tcBorders>
              <w:top w:val="single" w:sz="8" w:color="0000EE"/>
            </w:tcBorders>
            <w:gridSpan w:val="6"/>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for the Nine Months Ended September 30, 2009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2008 (unaudited)</w:t>
              </w:r>
            </w:hyperlink>
          </w:p>
        </w:tc>
        <w:tc>
          <w:tcPr>
            <w:tcW w:w="4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60" w:type="dxa"/>
            <w:vAlign w:val="bottom"/>
            <w:gridSpan w:val="1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06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58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266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PART II OTHER INFORMATION</w:t>
              </w:r>
            </w:hyperlink>
          </w:p>
        </w:tc>
        <w:tc>
          <w:tcPr>
            <w:tcW w:w="60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1.</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782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6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6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158,771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 for doubtful accounts of $558 and $1,028 at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September 30, 2009 and December 31, 2008, respectively</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15,451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17,852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508,637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84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litigation settlements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89,294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30,545</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6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w w:val="91"/>
              </w:rPr>
              <w:t>Preferred stock, $0.01 par value; 5,000,000 shares authorized, none issued and outstanding</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$0.001 par value; 600,000,000 shares authorized; 276,617,928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275,133,894 shares issued; 274,321,018 and 272,836,984 shares outstanding at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September 30, 2009 and December 31, 2008, respectively</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1,283,570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1,272,952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(889,119)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stock, at cost; 2,296,910 common shares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400,995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406,435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33,544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36,710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89,267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149,745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143,039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5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Litigation settlements</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76,491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117,782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176,273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(3,529)</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(37,474)</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(19,025)</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(34,779)</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(15,582)</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(20,683)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(15,241)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(16,642)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(21,246)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(20,950)</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loss per share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273,907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271,619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273,518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271,121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271,619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273,518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271,121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(15,241)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cash flows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 and goodwill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receivable—litigation settlement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60"/>
              <w:spacing w:after="0"/>
              <w:rPr>
                <w:sz w:val="20"/>
                <w:szCs w:val="20"/>
                <w:color w:val="auto"/>
              </w:rPr>
            </w:pPr>
            <w:r>
              <w:rPr>
                <w:rFonts w:ascii="Arial" w:cs="Arial" w:eastAsia="Arial" w:hAnsi="Arial"/>
                <w:sz w:val="18"/>
                <w:szCs w:val="18"/>
                <w:color w:val="auto"/>
              </w:rPr>
              <w:t>Other operating assets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(7,516)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(12,999)</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litigation settlements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7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Business acquisition, net of cash acquired</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(179,416)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(280,717)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Sale/maturities of marketable securities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228,979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262,040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 litigation settlement escrow</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44,750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Sale of common stock in connection with employee stock purchase plan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w w:val="92"/>
              </w:rPr>
              <w:t>Payment of tax withholding obligations related to net share settlements of restricted stock awards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of capital lease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56,698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122,207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118,933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178,905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Income tax refunds received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Capital expenditures incurred, but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acquired under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infrastructure solutions for wireline and wireless service providers. Sonus offers a new generation of carrier-class infrastructure equipment and software that enables voice services to be delivered over Internet Protocol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accompanying unaudited condensed consolidated financial statements have been prepared by Sonus pursuant to the rules and regulations of the United States Securities and Exchange Commission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included in Sonus' Annual Report on Form 10-K for the year ended December 31, 2008.</w:t>
      </w:r>
    </w:p>
    <w:p>
      <w:pPr>
        <w:spacing w:after="0" w:line="16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have been prepared on the same basis as the audited financial statements, and include all adjustments, consisting only of normal recurring adjustments, necessary for a fair presentation of the results of the interim periods presented. The operating results for the interim periods presented are not necessarily indicative of the results expected for the full fiscal year.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November 5, 2009, the date of issuance of these financial statements.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third quarter of 2008, the Company committed to a plan to sell its Zynetix Limited ("Zynetix") subsidiary, which the Company had acquired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April 13, 2007. The Company completed the sale of Zynetix on November 26, 2008. The results of operations of Zynetix have been classified within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nine months ended September 30, 2008.</w:t>
      </w:r>
    </w:p>
    <w:p>
      <w:pPr>
        <w:spacing w:after="0" w:line="21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Restatement</w:t>
      </w:r>
    </w:p>
    <w:p>
      <w:pPr>
        <w:spacing w:after="0" w:line="225"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During the second quarter of 2009, the Company identified an error in the calculation of stock-based compensation expense for prior periods. The Company's third party equity accounting software calculated stock-based compensation expense after consideration of the impact of estimated forfeitures.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However, the amount of stock-based compensation expense recognized at any date did not equal at least the grant date fair value of the vested portion of each award as of that date. Because the Company's stock option awards generally vest on a monthly basis after the first anniversary date of the award, the Company under-recognized stock-based compensation expense in certain periods. This error changes the timing of stock-based compensation expense recognition, but does not change the total stock-based compensation expense. As stock-based compensation expense is a non cash item, this error did not impact net cash provided by (used in) operations in any period. This error resulted in the understatement of stock-based compensation expense, with corresponding understatement of additional paid-in capital, in the amounts of $2.5 million and $0.7 million for the years ended December 31, 2008 and 2007, respectively. The stock-based compensation related to deductible awards would also impact the tax provision prior to recognition of a valuation allowance on deferred tax assets in the fourth quarter of 2008.</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believes the correction of this error is not material to its previously issued historical consolidated financial statements; therefore, the Company plans to restate its 2007 and 2008 consolidated financial statements when issuing its 2009 consolidated financial statements in Form 10-K. The Company has restated the accompanying Condensed Consolidated Balance Sheet as of December 31, 2008, the Condensed Consolidated Statements of Operations for the three and nine month periods ended September 30, 2008 and the Condensed Consolidated Statement of Cash Flows for the nine month period ended September 30, 2008, all appearing herein, from amounts previously reported.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effects of this restatement on the unaudited Condensed Consolidated Balance Sheet as of December 31, 2008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As previously</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reported</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Adjustment</w:t>
            </w:r>
          </w:p>
        </w:tc>
        <w:tc>
          <w:tcPr>
            <w:tcW w:w="120" w:type="dxa"/>
            <w:vAlign w:val="bottom"/>
          </w:tcPr>
          <w:p>
            <w:pPr>
              <w:spacing w:after="0"/>
              <w:rPr>
                <w:sz w:val="14"/>
                <w:szCs w:val="14"/>
                <w:color w:val="auto"/>
              </w:rPr>
            </w:pPr>
          </w:p>
        </w:tc>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1,269,790</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1,272,952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(870,716)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(873,878)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w w:val="91"/>
              </w:rPr>
              <w:t>Accumulated other comprehensive income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7,353</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stock</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260" w:type="dxa"/>
            <w:vAlign w:val="bottom"/>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54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406,435</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406,435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vMerge w:val="restart"/>
          </w:tcPr>
          <w:p>
            <w:pPr>
              <w:jc w:val="right"/>
              <w:ind w:right="112"/>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effects of this restatement on the unaudited Condensed Consolidated Statements of Operations for the three and nine month periods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are as follows (in thousands, except per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September 30, 2008</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September 30, 2008</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As previously</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As previously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reported*</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Adjustment</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As restated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reported*</w:t>
            </w:r>
          </w:p>
        </w:tc>
        <w:tc>
          <w:tcPr>
            <w:tcW w:w="4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Adjustment</w:t>
            </w:r>
          </w:p>
        </w:tc>
        <w:tc>
          <w:tcPr>
            <w:tcW w:w="4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As 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36,710</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36,710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149,745</w:t>
            </w:r>
          </w:p>
        </w:tc>
        <w:tc>
          <w:tcPr>
            <w:tcW w:w="120" w:type="dxa"/>
            <w:vAlign w:val="bottom"/>
          </w:tcPr>
          <w:p>
            <w:pPr>
              <w:spacing w:after="0"/>
              <w:rPr>
                <w:sz w:val="18"/>
                <w:szCs w:val="18"/>
                <w:color w:val="auto"/>
              </w:rPr>
            </w:pPr>
          </w:p>
        </w:tc>
        <w:tc>
          <w:tcPr>
            <w:tcW w:w="28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149,745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62,184</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223,601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223,601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22,996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143,039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0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Litigation settlements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176,273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306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(36,473)</w:t>
            </w:r>
          </w:p>
        </w:tc>
        <w:tc>
          <w:tcPr>
            <w:tcW w:w="2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(37,474)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(31,378)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(1,856)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(33,234)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w w:val="97"/>
              </w:rPr>
              <w:t>Loss from continuing operations before</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(33,778)</w:t>
            </w: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(34,779)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(21,151)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(1,856)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60" w:type="dxa"/>
            <w:vAlign w:val="bottom"/>
            <w:gridSpan w:val="3"/>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(19,019)</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(20,683)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Loss from discontinued operations,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tax</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(4,308)</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6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(19,582)</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(21,246)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(20,950)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per share: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gridSpan w:val="2"/>
            <w:vMerge w:val="restart"/>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30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adjusted to reflect the classification of the results of operations of Zynetix within discontinued operations.</w:t>
      </w:r>
    </w:p>
    <w:p>
      <w:pPr>
        <w:sectPr>
          <w:pgSz w:w="11900" w:h="16838" w:orient="portrait"/>
          <w:cols w:equalWidth="0" w:num="1">
            <w:col w:w="10400"/>
          </w:cols>
          <w:pgMar w:left="240" w:top="131" w:right="125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This error resulted in changes to net loss, stock-based compensation and deferred income taxes within cash flows from operating activities; however, this error did not result in any changes to net cash flows from operating, investing or financing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dates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estimated fair value of investments, inventory reserves, expected future cash flows used to evaluate the recoverability of long-lived assets, restructuring and other related charges, contingencies associated with revenue contracts, assumptions used to determine the fair value of stock-based compensation, assumptions used to determine the fair value of intangible assets, contingent liabilities and recoverability of Sonus' net deferred tax assets and related valuation allowance estimate. Sonus regularly assesses these estimates and records changes in estimates in the period in which they become known. Sonus bases its estimates on historical experience and other assumptions that it believes to be reasonable under the circumstances. Actual results could differ materially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of Sonus and its wholly owned subsidiaries. All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color w:val="auto"/>
        </w:rPr>
        <w:t xml:space="preserve">In June 2009, the Financial Accounting Standards Board ("FASB") issued its final Statement of Financial Accounting Standards ("SFAS") No. 168,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Accounting Standards Codification and the Hierarchy of Generally Accepted Accounting Principles—a replacement of FASB Statement No. 162 </w:t>
      </w:r>
      <w:r>
        <w:rPr>
          <w:rFonts w:ascii="Arial" w:cs="Arial" w:eastAsia="Arial" w:hAnsi="Arial"/>
          <w:sz w:val="18"/>
          <w:szCs w:val="18"/>
          <w:color w:val="auto"/>
        </w:rPr>
        <w:t>("SFAS 168"). SFAS 168 made the FASB Accounting Standards Codification (the "Codification") the single source of U.S. GAAP used by nongovernmental entities in the preparation of financial statements, except for rules and interpretive releases of the SEC under authority of federal securities laws, which are sources of authoritative accounting guidance for SEC registrants. The Codification is meant to simplify user access to all authoritative accounting guidance by reorganizing U.S. GAAP pronouncements into approximately 90 accounting topics within a consistent structure; its purpose is not to create new accounting and reporting guidance. The Codification supersedes all existing non-SEC accounting and reporting standards and was effective for the Company beginning July 1, 2009.</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Following SFAS 168, the FASB will not issue new standards in the form of Statements, FASB Staff Positions or Emerging Issues Task Force Abstracts; instead, it will issue Accounting Standards Updates ("ASU"). The FASB will not consider ASUs as authoritative in their own right; these updates will serve only to update the Codification, provide background information about the guidance and provide the bases for conclusions on the change(s) in the Codification.</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In October 2009, an update was made to </w:t>
      </w:r>
      <w:r>
        <w:rPr>
          <w:rFonts w:ascii="Arial" w:cs="Arial" w:eastAsia="Arial" w:hAnsi="Arial"/>
          <w:sz w:val="16"/>
          <w:szCs w:val="16"/>
          <w:i w:val="1"/>
          <w:iCs w:val="1"/>
          <w:color w:val="auto"/>
        </w:rPr>
        <w:t>Revenue Recognition—Multiple Deliverable Revenue Arrangements</w:t>
      </w:r>
      <w:r>
        <w:rPr>
          <w:rFonts w:ascii="Arial" w:cs="Arial" w:eastAsia="Arial" w:hAnsi="Arial"/>
          <w:sz w:val="16"/>
          <w:szCs w:val="16"/>
          <w:color w:val="auto"/>
        </w:rPr>
        <w:t xml:space="preserve">.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the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and Disclosures </w:t>
      </w:r>
      <w:r>
        <w:rPr>
          <w:rFonts w:ascii="Arial" w:cs="Arial" w:eastAsia="Arial" w:hAnsi="Arial"/>
          <w:sz w:val="16"/>
          <w:szCs w:val="16"/>
          <w:color w:val="auto"/>
        </w:rPr>
        <w:t>guidance, provides a hierarchy that entities must use to estimate the selling price, eliminates the use of the residual method for</w:t>
      </w:r>
      <w:r>
        <w:rPr>
          <w:rFonts w:ascii="Arial" w:cs="Arial" w:eastAsia="Arial" w:hAnsi="Arial"/>
          <w:sz w:val="16"/>
          <w:szCs w:val="16"/>
          <w:i w:val="1"/>
          <w:iCs w:val="1"/>
          <w:color w:val="auto"/>
        </w:rPr>
        <w:t xml:space="preserve"> </w:t>
      </w:r>
      <w:r>
        <w:rPr>
          <w:rFonts w:ascii="Arial" w:cs="Arial" w:eastAsia="Arial" w:hAnsi="Arial"/>
          <w:sz w:val="16"/>
          <w:szCs w:val="16"/>
          <w:color w:val="auto"/>
        </w:rPr>
        <w:t>allocation and expands the ongoing disclosure requirements. This update is effective for the Company beginning January 1, 2011, although early adoption is permitted, and adoption can be applied prospectively or retrospectively. Management is currently evaluating the effect that implementation of this update will have, if any, on the Company's consolidated financial position and results of operations upon adoption.</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October 2009, an update was made to </w:t>
      </w:r>
      <w:r>
        <w:rPr>
          <w:rFonts w:ascii="Arial" w:cs="Arial" w:eastAsia="Arial" w:hAnsi="Arial"/>
          <w:sz w:val="16"/>
          <w:szCs w:val="16"/>
          <w:i w:val="1"/>
          <w:iCs w:val="1"/>
          <w:color w:val="auto"/>
        </w:rPr>
        <w:t>Certain Arrangements that Include Software Elements</w:t>
      </w:r>
      <w:r>
        <w:rPr>
          <w:rFonts w:ascii="Arial" w:cs="Arial" w:eastAsia="Arial" w:hAnsi="Arial"/>
          <w:sz w:val="16"/>
          <w:szCs w:val="16"/>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is effective for the Company beginning January 1, 2011, although early adoption is permitted, and adoption can be applied prospectively or retrospectively. Management is currently evaluating the effect that implementation of this update will have, if any, on the Company's consolidated financial position and results of operations upon adoption.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Sonus' products are primarily marketed based on the software elements contained therein. In addition, hardware sold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72"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 considered not essential to the functionality of the product and for which VSOE has been established is deferred based on the VSOE value, and any remaining arrangement fee is then allocated to,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6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Sonus records deferred revenue for products delivered or services performed for which collection of the amount billed is either probable or has been collected but other revenue recognition criteria have not been met. Deferred revenue also includes amounts associated with maintenance contracts. Deferred revenue expected to be recognized as revenue more than one year subsequent to the balance sheet date is reported within noncurrent liabilities in the condensed consolidated balance sheets.</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Sonus defers recognition of incremental direct costs, such as cost of goods, royalties, commissions and third-party installation costs, until recognition of the related revenue. Such costs are classified as current assets if the deferred revenue is initially classified as current and noncurrent assets if the deferred revenue is initially classified as noncurrent.</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Sonus sells the majority of its products directly to its service provider customers. For products sold to resellers and distributors, Sonus recognizes revenue on a sell-through basis utilizing information provided to Sonus from its resellers and distributors unless it has at least eight quarters of consistent history with a reseller, which provides sufficient information regarding potential product returns or refunds, or any other form of concession.</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Beginning in the fourth quarter of fiscal 2008, the Company did not have sufficient evidence of VSOE on maintenance services for one of its largest customers. Therefore, all revenue related to multiple element arrangements for this customer is recognized ratably over the arrangement's remaining maintenance period through the end of 2010. Revenue recognition on multiple element arrangements with this customer will begin when the only undelivered element of the arrangement (that does not have VSOE) is maintenance. At September 30, 2009 and December 31, 2008, Other assets included $3.7 million and $0.4 million, respectively, of deferred costs related to arrangements with this customer in which both the revenue and costs are being recognized ratably.</w:t>
      </w:r>
    </w:p>
    <w:p>
      <w:pPr>
        <w:spacing w:after="0" w:line="17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of common stock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shares used in computing basic and diluted net earnings (loss) per share is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8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80" w:type="dxa"/>
            <w:vAlign w:val="bottom"/>
            <w:gridSpan w:val="3"/>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271,121</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271,121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420" w:firstLine="351"/>
        <w:spacing w:after="0" w:line="298" w:lineRule="auto"/>
        <w:rPr>
          <w:sz w:val="20"/>
          <w:szCs w:val="20"/>
          <w:color w:val="auto"/>
        </w:rPr>
      </w:pPr>
      <w:r>
        <w:rPr>
          <w:rFonts w:ascii="Arial" w:cs="Arial" w:eastAsia="Arial" w:hAnsi="Arial"/>
          <w:sz w:val="16"/>
          <w:szCs w:val="16"/>
          <w:color w:val="auto"/>
        </w:rPr>
        <w:t>Options to purchase common stock and unvested shares of restricted stock aggregating approximately 32.4 million shares have not been included in the computation of diluted loss per share for the three and nine months ended September 30, 2009 because their effect would have been antidilutive. Options to purchase common stock and unvested shares of restricted stock aggregating approximately 41.8 million shares have not been included in the computation of diluted loss per share for the three and nine months ended September 30, 2008 because their effect would have been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comprehensive loss for the three and nine months ended September 30, 2009 and 2008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4"/>
                <w:szCs w:val="14"/>
                <w:color w:val="auto"/>
              </w:rPr>
            </w:pPr>
          </w:p>
        </w:tc>
        <w:tc>
          <w:tcPr>
            <w:tcW w:w="2840" w:type="dxa"/>
            <w:vAlign w:val="bottom"/>
            <w:gridSpan w:val="7"/>
          </w:tcPr>
          <w:p>
            <w:pPr>
              <w:jc w:val="center"/>
              <w:ind w:right="146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840" w:type="dxa"/>
            <w:vAlign w:val="bottom"/>
            <w:gridSpan w:val="7"/>
          </w:tcPr>
          <w:p>
            <w:pPr>
              <w:jc w:val="center"/>
              <w:ind w:right="14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(21,246)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(15,241)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(20,950)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w w:val="92"/>
              </w:rPr>
              <w:t>Unrealized loss on transfer of held-to-maturity marketable debt securities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to available-for-sale, net of tax</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Unrealized loss on marketable debt and equity securities classified as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available-for-sale, net of tax</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ind w:left="114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4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(3,599)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(21,531)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(20,728)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40" w:type="dxa"/>
            <w:vAlign w:val="bottom"/>
            <w:gridSpan w:val="2"/>
            <w:vMerge w:val="restart"/>
          </w:tcPr>
          <w:p>
            <w:pPr>
              <w:jc w:val="right"/>
              <w:ind w:right="752"/>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credit instruments.</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At September 30, 2009 and December 31, 2008, the amortized cost, gross unrealized gains and losses and fair value of the Company's marketable debt and equity securities and investments were comprised of the following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September 30, 2009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144,187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144,182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158,180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158,771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39,129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56,500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2008</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104,953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104,955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4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Municipal obligations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179,829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180,786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54,775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585</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55,360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84,422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vMerge w:val="restart"/>
          </w:tcPr>
          <w:p>
            <w:pPr>
              <w:jc w:val="right"/>
              <w:ind w:right="612"/>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that are measured at fair value at September 30, 2009 and December 31, 2008, comprised of the Company's available-for-sale debt and equity securities, and are reported under the captions Cash and cash equivalents, Marketable securities and Investments in the condensed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9"/>
          </w:tcPr>
          <w:p>
            <w:pPr>
              <w:jc w:val="center"/>
              <w:spacing w:after="0"/>
              <w:rPr>
                <w:sz w:val="20"/>
                <w:szCs w:val="20"/>
                <w:color w:val="auto"/>
              </w:rPr>
            </w:pPr>
            <w:r>
              <w:rPr>
                <w:rFonts w:ascii="Arial" w:cs="Arial" w:eastAsia="Arial" w:hAnsi="Arial"/>
                <w:sz w:val="14"/>
                <w:szCs w:val="14"/>
                <w:b w:val="1"/>
                <w:bCs w:val="1"/>
                <w:color w:val="auto"/>
                <w:w w:val="86"/>
              </w:rPr>
              <w:t>Fair value measurements at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8"/>
              </w:rPr>
              <w:t>Total carrying</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86"/>
              </w:rPr>
              <w:t>September 30, 2009 using:</w:t>
            </w: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10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5"/>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820" w:type="dxa"/>
            <w:vAlign w:val="bottom"/>
          </w:tcPr>
          <w:p>
            <w:pPr>
              <w:jc w:val="center"/>
              <w:ind w:left="81"/>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value at</w:t>
            </w:r>
          </w:p>
        </w:tc>
        <w:tc>
          <w:tcPr>
            <w:tcW w:w="180" w:type="dxa"/>
            <w:vAlign w:val="bottom"/>
          </w:tcPr>
          <w:p>
            <w:pPr>
              <w:spacing w:after="0"/>
              <w:rPr>
                <w:sz w:val="12"/>
                <w:szCs w:val="12"/>
                <w:color w:val="auto"/>
              </w:rPr>
            </w:pPr>
          </w:p>
        </w:tc>
        <w:tc>
          <w:tcPr>
            <w:tcW w:w="84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in active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30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84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markets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inputs</w:t>
            </w:r>
          </w:p>
        </w:tc>
        <w:tc>
          <w:tcPr>
            <w:tcW w:w="82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85"/>
              </w:rPr>
              <w:t>inputs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2009</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12"/>
              <w:spacing w:after="0"/>
              <w:rPr>
                <w:sz w:val="20"/>
                <w:szCs w:val="20"/>
                <w:color w:val="auto"/>
              </w:rPr>
            </w:pPr>
            <w:r>
              <w:rPr>
                <w:rFonts w:ascii="Arial" w:cs="Arial" w:eastAsia="Arial" w:hAnsi="Arial"/>
                <w:sz w:val="14"/>
                <w:szCs w:val="14"/>
                <w:b w:val="1"/>
                <w:bCs w:val="1"/>
                <w:color w:val="auto"/>
                <w:w w:val="87"/>
              </w:rPr>
              <w:t>(Level 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gridSpan w:val="2"/>
          </w:tcPr>
          <w:p>
            <w:pPr>
              <w:spacing w:after="0"/>
              <w:rPr>
                <w:sz w:val="14"/>
                <w:szCs w:val="14"/>
                <w:color w:val="auto"/>
              </w:rPr>
            </w:pPr>
          </w:p>
        </w:tc>
        <w:tc>
          <w:tcPr>
            <w:tcW w:w="82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w w:val="91"/>
              </w:rPr>
              <w:t>(Level 3)</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135,183</w:t>
            </w:r>
          </w:p>
        </w:tc>
        <w:tc>
          <w:tcPr>
            <w:tcW w:w="3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3"/>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U.S. government agency notes</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56,266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56,266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21,546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21,546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158,771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61,199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97,572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U.S. government agency notes</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39,189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4"/>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39,189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56,521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17,332</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39,189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10"/>
          </w:tcPr>
          <w:p>
            <w:pPr>
              <w:jc w:val="center"/>
              <w:ind w:left="677"/>
              <w:spacing w:after="0"/>
              <w:rPr>
                <w:sz w:val="20"/>
                <w:szCs w:val="20"/>
                <w:color w:val="auto"/>
              </w:rPr>
            </w:pPr>
            <w:r>
              <w:rPr>
                <w:rFonts w:ascii="Arial" w:cs="Arial" w:eastAsia="Arial" w:hAnsi="Arial"/>
                <w:sz w:val="14"/>
                <w:szCs w:val="14"/>
                <w:b w:val="1"/>
                <w:bCs w:val="1"/>
                <w:color w:val="auto"/>
                <w:w w:val="86"/>
              </w:rPr>
              <w:t>Fair value measurements at</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4"/>
                <w:szCs w:val="14"/>
                <w:b w:val="1"/>
                <w:bCs w:val="1"/>
                <w:color w:val="auto"/>
                <w:w w:val="86"/>
              </w:rPr>
              <w:t>December 31, 2008 using:</w:t>
            </w: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Total carrying</w:t>
            </w:r>
          </w:p>
        </w:tc>
        <w:tc>
          <w:tcPr>
            <w:tcW w:w="6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Quoted prices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Significant other</w:t>
            </w:r>
          </w:p>
        </w:tc>
        <w:tc>
          <w:tcPr>
            <w:tcW w:w="820" w:type="dxa"/>
            <w:vAlign w:val="bottom"/>
          </w:tcPr>
          <w:p>
            <w:pPr>
              <w:jc w:val="center"/>
              <w:ind w:left="41"/>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value at</w:t>
            </w:r>
          </w:p>
        </w:tc>
        <w:tc>
          <w:tcPr>
            <w:tcW w:w="18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 active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3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inputs</w:t>
            </w:r>
          </w:p>
        </w:tc>
        <w:tc>
          <w:tcPr>
            <w:tcW w:w="82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7"/>
              </w:rPr>
              <w:t>(Level 2)</w:t>
            </w:r>
          </w:p>
        </w:tc>
        <w:tc>
          <w:tcPr>
            <w:tcW w:w="18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87"/>
              </w:rPr>
              <w:t>(Level 3)</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90,965</w:t>
            </w:r>
          </w:p>
        </w:tc>
        <w:tc>
          <w:tcPr>
            <w:tcW w:w="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00" w:type="dxa"/>
            <w:vAlign w:val="bottom"/>
            <w:gridSpan w:val="3"/>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24,461</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6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U.S. government agency notes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4"/>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29,605</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6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35"/>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560" w:type="dxa"/>
            <w:vAlign w:val="bottom"/>
          </w:tcPr>
          <w:p>
            <w:pPr>
              <w:ind w:left="296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(6) INVENTORY</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inventory</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16,340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product costs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19,128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18,617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Evaluation inventory</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Inventory, gross</w:t>
            </w: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40,669</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Evaluation reserve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Excess and obsolescence reserve</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28,840</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(22,183)</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(22,553)</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(included in Other assets)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Company's intangible assets, which resulted from business acquisitions, consisted of the following at September 30, 2009 and December 31, 2008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16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1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1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Company amortizes its intangible assets over the estimated useful lives of the respective assets, which have a weighted average useful life of 4.2 years. Amortization expense related to intangible assets was approximately $40,000 and $0.2 million, respectively, in the three and nine months ended September 30, 2009. Amortization expense related to intangible assets was $0.3 million and $0.9 million, respectively, in the three and nine months ended September 30, 2008.</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September 30, 2009 is as follows (in thousands):</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r>
      <w:tr>
        <w:trPr>
          <w:trHeight w:val="21"/>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r>
      <w:tr>
        <w:trPr>
          <w:trHeight w:val="27"/>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change in the carrying amount of goodwill during the nine months ended September 30, 2009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Accrued expenses consist of the following (in thousands):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13,190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Royalties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taxes payable</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ACCRUAL</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nine months ended September 30, 2009, the Company recorded restructuring expenses aggregating $3.5 million related to three headcount reduction restructuring initiatives implemented as part of the Company's efforts to right-size the business to align with market needs and opportunities while managing costs to position Sonus for profitable growth. These headcount reduction restructuring initiatives occurred on August 12, 2009, March 9, 2009 and January 9, 2009. Of the $3.5 million recorded, $1.5 million was recorded in the three months ended September 30, 2009 and $2.0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ACCRUAL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was recorded in the three months ended March 31, 2009. The Company believes that actions related to these restructuring initiatives are complete as of September 30, 2009.</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amount recorded in the three months ended September 30, 2009 represents severance and related expenses for the Company's August 12, 2009 initiative, which reduced the Company's workforce by approximately 93 people, or 10% of its then-current employees worldwide.</w:t>
      </w:r>
    </w:p>
    <w:p>
      <w:pPr>
        <w:spacing w:after="0" w:line="13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the three months ended March 31, 2009, the Company recorded restructuring expenses aggregating $2.0 million related to two headcount reduction restructuring initiatives. The Company recorded $0.9 million of severance and related expenses for its January 9, 2009 restructuring initiative, which reduced the Company's workforce by approximately 40 people, or 4% of the then-current employees worldwide, and $1.1 million of severance and related expenses for its March 9, 2009 restructuring initiative, which further reduced the Company's workforce by approximately 60 people, or 6% of the then-current employees worldwide.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expects the payments related to these initiatives to be completed in the first quarter of fiscal 2010.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these initiatives during the nine months ended September 30, 2009 is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7"/>
              <w:spacing w:after="0"/>
              <w:rPr>
                <w:sz w:val="20"/>
                <w:szCs w:val="20"/>
                <w:color w:val="auto"/>
              </w:rPr>
            </w:pPr>
            <w:r>
              <w:rPr>
                <w:rFonts w:ascii="Arial" w:cs="Arial" w:eastAsia="Arial" w:hAnsi="Arial"/>
                <w:sz w:val="14"/>
                <w:szCs w:val="14"/>
                <w:b w:val="1"/>
                <w:bCs w:val="1"/>
                <w:color w:val="auto"/>
                <w:w w:val="90"/>
              </w:rPr>
              <w:t>New</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Charges</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6"/>
              </w:rPr>
              <w:t>initiatives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(reversals)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Balance</w:t>
            </w: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charged to</w:t>
            </w:r>
          </w:p>
        </w:tc>
        <w:tc>
          <w:tcPr>
            <w:tcW w:w="16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for changes</w:t>
            </w:r>
          </w:p>
        </w:tc>
        <w:tc>
          <w:tcPr>
            <w:tcW w:w="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Cash</w:t>
            </w:r>
          </w:p>
        </w:tc>
        <w:tc>
          <w:tcPr>
            <w:tcW w:w="100" w:type="dxa"/>
            <w:vAlign w:val="bottom"/>
          </w:tcPr>
          <w:p>
            <w:pPr>
              <w:spacing w:after="0"/>
              <w:rPr>
                <w:sz w:val="12"/>
                <w:szCs w:val="12"/>
                <w:color w:val="auto"/>
              </w:rPr>
            </w:pPr>
          </w:p>
        </w:tc>
        <w:tc>
          <w:tcPr>
            <w:tcW w:w="5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78"/>
              </w:rPr>
              <w:t>expense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4"/>
              </w:rPr>
              <w:t>in estimate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payments</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exchange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issues options to purchase its common stock and restricted shares of common stock pursuant to the 2007 Stock Incentive Plan (the "2007 Stock Plan"). Under the 2007 Stock Plan, the Company may provide equity awards, including stock options and restricted stock, stock appreciation rights and restricted stock units to employees, officers, directors (including those directors who are not employees or officers of the Company), consultants and advisors of the Company and its subsidiaries.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and nine months ended September 30, 2009 and 2008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left="320"/>
              <w:spacing w:after="0" w:line="149" w:lineRule="exact"/>
              <w:rPr>
                <w:sz w:val="20"/>
                <w:szCs w:val="20"/>
                <w:color w:val="auto"/>
              </w:rPr>
            </w:pPr>
            <w:r>
              <w:rPr>
                <w:rFonts w:ascii="Arial" w:cs="Arial" w:eastAsia="Arial" w:hAnsi="Arial"/>
                <w:sz w:val="14"/>
                <w:szCs w:val="14"/>
                <w:b w:val="1"/>
                <w:bCs w:val="1"/>
                <w:color w:val="auto"/>
                <w:w w:val="82"/>
              </w:rPr>
              <w:t>ended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3,419</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19,404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5"/>
          <w:szCs w:val="15"/>
          <w:color w:val="auto"/>
        </w:rPr>
        <w:t>The Company included $0.1 million and $0.2 million of stock-based compensation in inventory at September 30, 2009 and December 31, 2008, respectively.</w:t>
      </w:r>
    </w:p>
    <w:p>
      <w:pPr>
        <w:spacing w:after="0" w:line="260"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At September 30, 2009, there was $22.4 million, net of expected forfeitures, of unrecognized stock-based compensation expense related to unvested stock option and restricted stock awards, which is expected to be recognized over a weighted average period of approximately 2.5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grant-date fair values of options to purchase common stock granted in the three and nine months ended September 30, 2009 and 2008, excluding the options granted to the Company's President and Chief Executive Officer ("Dr. Nottenburg"), were estimated using the Black-Scholes valuation model with the following assumptions: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2.47%</w:t>
            </w: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3.11%</w:t>
            </w:r>
          </w:p>
        </w:tc>
        <w:tc>
          <w:tcPr>
            <w:tcW w:w="13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1.76% - 2.47%</w:t>
            </w:r>
          </w:p>
        </w:tc>
        <w:tc>
          <w:tcPr>
            <w:tcW w:w="1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2.75% - 3.12%</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64.77%</w:t>
            </w:r>
          </w:p>
        </w:tc>
        <w:tc>
          <w:tcPr>
            <w:tcW w:w="7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66.78%</w:t>
            </w:r>
          </w:p>
        </w:tc>
        <w:tc>
          <w:tcPr>
            <w:tcW w:w="13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64.34%</w:t>
            </w:r>
          </w:p>
        </w:tc>
        <w:tc>
          <w:tcPr>
            <w:tcW w:w="13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70.58%</w:t>
            </w: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life (years)</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4.5</w:t>
            </w:r>
          </w:p>
        </w:tc>
        <w:tc>
          <w:tcPr>
            <w:tcW w:w="13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4.5</w:t>
            </w:r>
          </w:p>
        </w:tc>
        <w:tc>
          <w:tcPr>
            <w:tcW w:w="13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4.5</w:t>
            </w:r>
          </w:p>
        </w:tc>
      </w:tr>
    </w:tbl>
    <w:p>
      <w:pPr>
        <w:spacing w:after="0" w:line="20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grant date fair values of the options to purchase the Company's common stock granted to Dr. Nottenburg were estimated using the Black-Scholes valuation model with the following assumptions: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June 16, 2008</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January 15, 2009</w:t>
            </w:r>
          </w:p>
        </w:tc>
      </w:tr>
      <w:tr>
        <w:trPr>
          <w:trHeight w:val="161"/>
        </w:trPr>
        <w:tc>
          <w:tcPr>
            <w:tcW w:w="4380" w:type="dxa"/>
            <w:vAlign w:val="bottom"/>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Award</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Award</w:t>
            </w:r>
          </w:p>
        </w:tc>
        <w:tc>
          <w:tcPr>
            <w:tcW w:w="160" w:type="dxa"/>
            <w:vAlign w:val="bottom"/>
          </w:tcPr>
          <w:p>
            <w:pPr>
              <w:spacing w:after="0"/>
              <w:rPr>
                <w:sz w:val="14"/>
                <w:szCs w:val="1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70.24%</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Expected life (years)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Based on the above assumptions, the weighted average fair values of stock options granted during the three and nine months ended September 30, 2009 were $1.13 and $0.96 per share, respectively. The weighted average fair values of stock options granted during the three and nine months ended September 30, 2008 were $1.74 and $2.31 per share,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Restricted Stock and Performance Stock Award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nine months ended September 30, 2009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36,875,380</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1,721,500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(1,649,444)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(7,130,551)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Outstanding at September 30, 2009</w:t>
            </w: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5.03</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4.98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0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29,753,081</w:t>
            </w: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September 30,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29,369,683</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700" w:type="dxa"/>
            <w:vAlign w:val="bottom"/>
            <w:gridSpan w:val="2"/>
          </w:tcPr>
          <w:p>
            <w:pPr>
              <w:spacing w:after="0"/>
              <w:rPr>
                <w:sz w:val="20"/>
                <w:szCs w:val="20"/>
                <w:color w:val="auto"/>
              </w:rPr>
            </w:pPr>
            <w:r>
              <w:rPr>
                <w:rFonts w:ascii="Arial" w:cs="Arial" w:eastAsia="Arial" w:hAnsi="Arial"/>
                <w:sz w:val="18"/>
                <w:szCs w:val="18"/>
                <w:color w:val="auto"/>
              </w:rPr>
              <w:t>Exercisable at September 30, 2009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23,324,567</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total intrinsic values of stock options exercised during the three and nine months ended September 30, 2009 were approximately $70,000 and $88,000, respectively. The total intrinsic values of stock options exercised during the three and nine months ended September 30, 2008 were approximately $16,000 and $155,000,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nine months ended September 30, 2009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2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balance at January 1,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3,539,161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310,000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(890,048)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(294,834)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r>
      <w:tr>
        <w:trPr>
          <w:trHeight w:val="21"/>
        </w:trPr>
        <w:tc>
          <w:tcPr>
            <w:tcW w:w="2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balance at September 30,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2,664,279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r>
      <w:tr>
        <w:trPr>
          <w:trHeight w:val="27"/>
        </w:trPr>
        <w:tc>
          <w:tcPr>
            <w:tcW w:w="24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840" w:right="240" w:hanging="550"/>
        <w:spacing w:after="0" w:line="268" w:lineRule="auto"/>
        <w:tabs>
          <w:tab w:leader="none" w:pos="2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500,000 shares issued to Dr. Nottenburg on January 15, 2009, which were included in 2008 activity, as this grant met the criteria for an award on June 16, 2008.</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the Company's performance stock awards for the nine months ended September 30, 2009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4980" w:type="dxa"/>
            <w:vAlign w:val="bottom"/>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September 30,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r>
      <w:tr>
        <w:trPr>
          <w:trHeight w:val="27"/>
        </w:trPr>
        <w:tc>
          <w:tcPr>
            <w:tcW w:w="49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did not record stock-based compensation expense in either the three or nine months ended September 30, 2009 related to performance-based stock awards, as the Company does not currently believe it is probable that the performance conditions will be achieved.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Exchange Offer</w:t>
      </w:r>
    </w:p>
    <w:p>
      <w:pPr>
        <w:spacing w:after="0" w:line="225" w:lineRule="exact"/>
        <w:rPr>
          <w:sz w:val="20"/>
          <w:szCs w:val="20"/>
          <w:color w:val="auto"/>
        </w:rPr>
      </w:pPr>
    </w:p>
    <w:p>
      <w:pPr>
        <w:ind w:right="20" w:firstLine="341"/>
        <w:spacing w:after="0" w:line="292" w:lineRule="auto"/>
        <w:rPr>
          <w:sz w:val="20"/>
          <w:szCs w:val="20"/>
          <w:color w:val="auto"/>
        </w:rPr>
      </w:pPr>
      <w:r>
        <w:rPr>
          <w:rFonts w:ascii="Arial" w:cs="Arial" w:eastAsia="Arial" w:hAnsi="Arial"/>
          <w:sz w:val="16"/>
          <w:szCs w:val="16"/>
          <w:color w:val="auto"/>
        </w:rPr>
        <w:t>At the Company's 2009 Annual Meeting of Stockholders, held on June 19, 2009, the Company's stockholders approved an amendment to the 2007 Stock Plan and a one-time voluntary stock option exchange program (the "Exchange Offer"). On September 8, 2009, the Company commenced the Exchange Offer, which allowed employees to surrender eligible outstanding stock options with exercise prices equal to or greater than the highest intra-day trading price of the Company's common stock as reported on The Nasdaq Global Select Market during the previous 52 weeks in exchange for a lesser amount of restricted stock. The number of shares of restricted stock granted to each participant in the Exchange Offer was determined according to exchange ratios based on a combination of exercise prices and remaining contractual terms of the surrendered stock options. Shares of restricted stock issued under the Exchange Offer were completely unvested at the time they were granted and will become vested on the basis of the participant's continued employment with the Company or any of its subsidiaries over a period of three years following the exchange date, with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shares vesting annually.</w:t>
      </w:r>
    </w:p>
    <w:p>
      <w:pPr>
        <w:spacing w:after="0" w:line="5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Exchange Offer expired on October 5, 2009. Pursuant to the Exchange Offer, a total of 185 eligible participants tendered and the Company accepted for cancellation options to purchase an aggregate of 5,476,701 shares of the Company's common stock with exercise prices greater than or equal to $3.54. The eligible stock options that were accepted for cancellation represented approximately 36% of the options eligible for participation in the Exchange Offer. In accordance with the terms and conditions of the Exchange Offer, on October 6, 2009, the Company issued 1,015,360 shares of restricted stock in exchange for the tendered stock options. The exchange ratios were designed to provide for the grant of replacement restricted stock that will have a fair value, in the aggregate, that is no greater than the fair value of the stock options surrendered. The Company expects the amount of additional stock-based compensation expense, reflecting the excess of fair value of shares of restricted stock issued over the fair value of stock options tendered to be immaterial to its consolidated results of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MAJOR CUSTOMERS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customers each contributed at least 10% of the Company's revenue in at least one of the three and nine month periods ended September 30, 2009 and 2008:</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Three months</w:t>
            </w:r>
          </w:p>
        </w:tc>
        <w:tc>
          <w:tcPr>
            <w:tcW w:w="12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gridSpan w:val="2"/>
          </w:tcPr>
          <w:p>
            <w:pPr>
              <w:jc w:val="center"/>
              <w:ind w:left="284"/>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left="304"/>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Customer</w:t>
            </w: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220" w:type="dxa"/>
            <w:vAlign w:val="bottom"/>
            <w:gridSpan w:val="4"/>
            <w:vMerge w:val="continue"/>
          </w:tcPr>
          <w:p>
            <w:pPr>
              <w:spacing w:after="0"/>
              <w:rPr>
                <w:sz w:val="12"/>
                <w:szCs w:val="12"/>
                <w:color w:val="auto"/>
              </w:rPr>
            </w:pPr>
          </w:p>
        </w:tc>
        <w:tc>
          <w:tcPr>
            <w:tcW w:w="42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2"/>
                <w:szCs w:val="12"/>
                <w:color w:val="auto"/>
              </w:rPr>
            </w:pPr>
          </w:p>
        </w:tc>
        <w:tc>
          <w:tcPr>
            <w:tcW w:w="44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Softbank Telecom</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Global Crossing</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AT&amp;T</w:t>
            </w:r>
          </w:p>
        </w:tc>
        <w:tc>
          <w:tcPr>
            <w:tcW w:w="7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At September 30, 2009, one customer accounted for at least 10% of the Company's accounts receivable balance, representing 13% of total accounts receivable. At December 31, 2008, one customer accounted for at least 10% of the Company's accounts receivable balance, representing 11% of total accounts receivable. The Company performs ongoing credit evaluations of its customers and generally does not require collateral on accounts receivable. Sonus maintains an allowance for doubtful accounts and such losses have historically been within management's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provision for income taxes reflects the Company's estimate of the effective rate expected to be applicable for the full fiscal year, adjusted for any discrete events, which are recorded in the period that they occur. This estimate is re-evaluated each quarter based on the Company's estimated tax expense for the full fiscal year.</w:t>
      </w:r>
    </w:p>
    <w:p>
      <w:pPr>
        <w:spacing w:after="0" w:line="194"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During the fourth quarter of fiscal 2008, the Company concluded that there was insufficient positive evidence to overcome the more objective negative evidence related to its cumulative losses and other factors. Accordingly, the Company recorded an increase to its valuation allowance on substantially all of its domestic net deferred tax assets. The estimated effective rate for the year ended December 31, 2009 does not include any benefit for the Company's projected domestic losses, as the Company has continued to conclude that a valuation allowance is appropriate.</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Company's benefit for the nine months ended September 30, 2009 includes a discrete benefit of $1.1 million realized during the second quarter related to the Company's United Kingdom operations, as the result of a settlement with the tax authorities, offset by a tax provision applicable to certain taxable jurisdictions. The Company's effective tax rates, including discrete items, were 2.2% and 27.7% for the nine months ended September 30, 2009 and 2008, respectively. The income tax benefit of $6.4 million in the nine months ended September 30, 2008 primarily reflects a benefit for federal, state and foreign taxes and differed from the statutory federal and state rates due to losses in certain foreign jurisdictions for which the Company was unable to recognize a tax benefit, and the impact of permanent nondeductible items, such as stock-based compensation expense.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where the product is shipped to or where the services are performed. The following table summarizes revenue by geographic area as a percentage of total revenue:</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w:t>
            </w: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jc w:val="center"/>
              <w:ind w:left="300"/>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r>
      <w:tr>
        <w:trPr>
          <w:trHeight w:val="210"/>
        </w:trPr>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Europe, Middle East and Africa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9"/>
              </w:rPr>
              <w:t>Japan</w:t>
            </w:r>
          </w:p>
        </w:tc>
        <w:tc>
          <w:tcPr>
            <w:tcW w:w="19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Other Asia Pacific</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w:t>
            </w:r>
          </w:p>
        </w:tc>
        <w:tc>
          <w:tcPr>
            <w:tcW w:w="19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7"/>
        </w:trPr>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gridSpan w:val="2"/>
          </w:tcPr>
          <w:p>
            <w:pPr>
              <w:ind w:left="80"/>
              <w:spacing w:after="0"/>
              <w:rPr>
                <w:sz w:val="20"/>
                <w:szCs w:val="20"/>
                <w:color w:val="auto"/>
              </w:rPr>
            </w:pPr>
            <w:r>
              <w:rPr>
                <w:rFonts w:ascii="Arial" w:cs="Arial" w:eastAsia="Arial" w:hAnsi="Arial"/>
                <w:sz w:val="18"/>
                <w:szCs w:val="18"/>
                <w:color w:val="auto"/>
              </w:rPr>
              <w:t>Represents less than 1% of revenue.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LITIGATION SETTLEMENTS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Securities Litigation</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January 6, 2006, a purchaser of the Company's common stock filed a complaint in the United States District Court for the District of Massachusetts that is essentially identical to an amended Consolidated Complaint alleging that Sonus made false and misleading statements about its products and business previously filed against the defendants and dismissed on October 5, 2005. The Court appointed the Public Employees' Retirement System of Mississippi as lead plaintiff. The lead plaintiff filed an Amended Consolidated Class Action Complaint on March 5, 2007 (the "2002 Securities Litigation"). On April 19, 2007, the defendants filed a motion to dismiss the 2002 Securities Litigation. On September 23, 2008 Sonus agreed to settle the litigation and, on October 3, 2008, entered into a Memorandum of Understanding with the plaintiff setting forth the terms of the settlement. Pursuant to the settlement, subject to confirmatory discovery and final court approval, the Company agreed to pay $9.5 million to the shareholder class in the case, as well as $0.1 million toward the cost of the class notice process. In addition, the Company had accrued $0.4 million in incremental legal fees in connection with the confirmatory discovery and settlement approval process. On February 4, 2009, the Court issued an order in which it certified a settlement class, preliminarily approved the settlement, and ordered that notice be sent to the settlement class. The hearing on final court approval of the settlement was held on June 16, 2009, and the Court entered its Orders finally approving the settlement and the request of plaintiff's counsel for attorneys' fees on June 23, 2009. There were no class member objections to the settlement. On February 17, 2009, the Company placed $9.5 million into escrow related to this settlement. The Company does not have any directors and officers insurance available for this claim. At December 31, 2008, the Company had accruals aggregating $10.0 million related to this settlement, of which $9.6 million is reported as Accrued litigation settlements and $0.4 million is included as a component of Accrued expenses in the Condensed Consolidated Balance Sheet. On July 16, 2009, the escrow amount was released to the plaintiff.</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PARTIES</w:t>
      </w:r>
    </w:p>
    <w:p>
      <w:pPr>
        <w:spacing w:after="0" w:line="231"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Company's President and Chief Executive Officer serves on the Board of Directors of Comverse Technology ("Comverse"), a worldwide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effective June 13, 2008 (the "Commencement Date").</w:t>
      </w:r>
    </w:p>
    <w:p>
      <w:pPr>
        <w:spacing w:after="0" w:line="167" w:lineRule="exact"/>
        <w:rPr>
          <w:sz w:val="20"/>
          <w:szCs w:val="20"/>
          <w:color w:val="auto"/>
        </w:rPr>
      </w:pPr>
    </w:p>
    <w:p>
      <w:pPr>
        <w:ind w:right="540" w:firstLine="351"/>
        <w:spacing w:after="0" w:line="318" w:lineRule="auto"/>
        <w:rPr>
          <w:sz w:val="20"/>
          <w:szCs w:val="20"/>
          <w:color w:val="auto"/>
        </w:rPr>
      </w:pPr>
      <w:r>
        <w:rPr>
          <w:rFonts w:ascii="Arial" w:cs="Arial" w:eastAsia="Arial" w:hAnsi="Arial"/>
          <w:sz w:val="15"/>
          <w:szCs w:val="15"/>
          <w:color w:val="auto"/>
        </w:rPr>
        <w:t>Management believes the contract terms and arrangements with these vendors are customary and in accordance with the Company's normal business practices. Costs incurred for purchases from these companies, in the aggregate, were $0.7 million and $4.5 million for the three and nine months ended September 30, 2009, respectively. Costs incurred for purchases from these companies, in the aggregate, were $2.0 million for the three months ended September 30, 2008, and $4.6 million for the period from Dr. Nottenburg's Commencement Date through September 30, 2008. At September 30, 2009 and December 31, 2008, the Company had aggregate outstanding accounts payable balances of $0.4 million and $0.5 million, respectively, to these companies.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the Company are asserted under Section 10(b) of the Securities Exchange Act of 1934, as amended (the "Exchange Act") and Section 11 of the Securities Act of 1933 (the "Securities Act") and against the individual defendants under Sections 11 and 15 of the Securities Act and Sections 10(b) and 20(a) of the Exchange Act. Other plaintiffs have filed substantially similar class action cases against approximately 300 other publicly traded companies and their IPO underwriters which, along with the actions against the Company, have been transferred to a single federal judge for purposes of coordinated case management. On July 15, 2002, the Company, together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court granted a portion of the motion to dismiss by dismissing the Section 10(b) claims against certain defendants including the Company, but denied the remainder of the motion as to the defendants. In June 2003, a special committee of the Company's Board of Directors authorized Sonus to enter into a proposed settlement with the plaintiffs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 On December 5, 2006, the Court of Appeals for the Second Circuit reversed the court's October 2004 order certifying a class. On June 25, 2007, the court entered an order terminating the settlement. On November 13, 2007, the issuer defendants in certain designated "focus cases" filed a motion to dismiss the second consolidated amended class action complaints that were filed in those cases. On March 26, 2008, the District Court issued an Opinion and Order denying, in large part, the motions to dismiss the amended complaints in the "focus cases." On April 2, 2009, the plaintiffs filed a motion for preliminary approval of a new proposed settlement between plaintiffs, the underwriter defendants, the issuer defendants and the insurers for the issuer defendants. On June 10, 2009, the Court issued an opinion preliminarily approving the proposed settlement, and scheduling a settlement fairness hearing for September 10, 2009.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court issued an opinion granting plaintiffs' motion for final approval of the settlement, approval of the plan of distribution of the settlement fund and certification of the settlement classes. On October 20, 2009, a petition for permission to appeal the court's October 5, 2009 certification of the settlement classes was filed in the United States Court of Appeals for the Second Circuit. Due to the inherent uncertainties of litigation, the Company is unable to determine the ultimate outcome or potential range of loss, if any.</w:t>
      </w:r>
    </w:p>
    <w:p>
      <w:pPr>
        <w:spacing w:after="0" w:line="18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October 5, 2007, Vanessa Simmonds, a purported shareholder, filed a complaint in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Between October 2, 2007 and October 12, 2007, the plaintiff also filed fifty-four separate lawsuits naming fifty-four additional issuers as nominal defendants and ten underwriters as defendants. These 54 cases, along with the complaint filed by the plaintiff with respect to Sonus' IPO, were reassigned to the Honorable James L. Robart, as related cases. On July 25, 2008, the underwriter and 29 of the issuer defendants (including Sonus) filed motions to dismiss the case. On September 8, 2008, the plaintiff filed oppositions to the motions, and the issuer and underwriters defendants filed replies in support of their motions to dismiss on October 23, 2008. Oral argument on all motions to dismiss was held on January 16, 2009, at which time the Judge took the pending motions to dismiss under advisement. The Judge stayed discovery pending his ruling on all motions to dismiss.</w:t>
      </w:r>
    </w:p>
    <w:p>
      <w:pPr>
        <w:spacing w:after="0" w:line="17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March 12, 2009, the court entered its judgment and granted the moving issuers' motion to dismiss, finding plaintiff's demand letters were insufficient to put the issuers on notice of the claims asserted against them. The judge also granted the underwriters' motion to dismiss as to the claims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arising from the non-moving issuers' IPOs, finding plaintiff's claims were time-barred under the applicable statute of limitations.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March 31, 2009, the plaintiff-appellant appealed the judgment to the Court of Appeals for the Ninth Circuit, and thereafter filed an amended notice of appeal on April 10, 2009 at the court's request. The underwriter defendants filed a cross-appeal in each of the cases wherein the issuers moved for dismissal (including the appeal relating to the Sonus IPO). The plaintiff's opening brief on appeal was filed on August 26, 2009, and the issuers' (including the Company) and the underwriters' responses were filed on October 2, 2009. The plaintiff filed a reply brief on November 2, 2009, and underwriters may file a reply brief on their cross-appeal by November 17, 2009. The Company does not currently believe that this claim will have a material impact on its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Accounting Investigation</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announced on March 19, 2007, the SEC is conducting a formal private investigation into the Company's historical stock option granting practices. If the Company is subject to adverse findings, it could be required to pay damages or penalties or have other remedies imposed, including criminal penalties, which could adversely impact the Company's business,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 addition, we are often a party to disputes and legal proceedings that we consider routine and incidental to our business. Management does not expect the results of any of these actions to have a material adverse effect on our business, results of operations or financial condition.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"could", "expects", "may", "anticipates", "believes", "intends", "estimates", "plans", "envisions",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our Annual Report on Form 10-K for the year ended December 31, 2008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voice infrastructure solutions allow wireline and wireless service providers to build converged voice over IP ("VoIP") networks. Our products are built on the same distributed, IP-based principles embraced by the IP Multimedia Subsystem ("IMS") architecture, as defined by the Third Generation Partnership Program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we are uniquely positioned to offer an elegant evolution path to our customers.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has been adjusted to give effect to the immaterial restatement described in Note 1 to the unaudited interim financial statements presented in Item 1 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incurred net losses in fiscal 2008 and 2007. Operating expenses, including litigation settlements, stock-based compensation and professional services such as legal fees were the main factors in these reported net losses. We recorded $19.1 million and $24.7 million in fiscal 2008 and 2007, respectively, of operating expense for the settlements of litigation, net of insurance recovery. Additionally, in fiscal 2008 we recorded $88.4 million of income tax expense for a valuation allowance against certain deferred tax assets. We continue to enhance our expense management processes related to our operating expenses. We anticipate, however, that we may incur net losses in future quarters and years. In addition, the current macroeconomic environment may impact our profitability, as we believe the global economic crisis may cause customers to delay or forego capacity and technology purchases.</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reported losses from operations of $3.5 million and $37.5 million for the three months ended September 30, 2009 and 2008, respectively, and losses from operations of $19.0 million and $33.2 million for the nine month periods then ended.</w:t>
      </w:r>
    </w:p>
    <w:p>
      <w:pPr>
        <w:spacing w:after="0" w:line="186"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We reported a net loss of $3.4 million for the three months ended September 30, 2009, compared to a net loss of $21.2 million for the three months ended September 30, 2008. Our net loss for the nine months ended September 30, 2009 was $15.2 million, compared to a net loss of $20.9 million for the nine months ended September 30, 2008. Our results for the three and nine months ended September 30, 2008 include $0.6 million and $4.3 million, respectively, of loss from discontinued operations, net of tax. Our lower revenue in the current year was a significant factor in our reported net loss in the three and nine months ended September 30, 2009. This lower revenue resulted in lower gross profit of $35.2 million in the three months ended September 30, 2009, compared to $39.0 million in the same prior year quarter, and $98.8 million in the nine months ended September 30, 2009, compared to $143.0 million in the same prior year period. Operating expenses, including $1.5 million of restructuring expense, were $38.8 million in the three months ended September 30, 2009, compared to</w:t>
      </w:r>
    </w:p>
    <w:p>
      <w:pPr>
        <w:ind w:right="220"/>
        <w:spacing w:after="0" w:line="281" w:lineRule="auto"/>
        <w:rPr>
          <w:sz w:val="20"/>
          <w:szCs w:val="20"/>
          <w:color w:val="auto"/>
        </w:rPr>
      </w:pPr>
      <w:r>
        <w:rPr>
          <w:rFonts w:ascii="Arial" w:cs="Arial" w:eastAsia="Arial" w:hAnsi="Arial"/>
          <w:sz w:val="16"/>
          <w:szCs w:val="16"/>
          <w:color w:val="auto"/>
        </w:rPr>
        <w:t>$76.5 million, including $19.1 million of expense for litigation settlements, in the three months ended September 30, 2008. Operating expenses were $117.8 million, including $3.5 million of restructuring expense, in the nine months ended September 30, 2009, compared to $176.3 million, including $19.1 million of expense for litigation settlements, in the nine months ended September 30, 2008. The reductions in the three and nine months ended September 30, 2009 are also attributable to lower personnel-related costs as a result of lower stock-based compensation and our recent headcount reduction restructuring initiatives. During 2009 we have implemented three headcount reduction restructuring initiatives, including one in the third quarter, and in December 2008 we had implemented one headcount reduction restructuring initiative as well. As a result of these headcount reduction restructuring initiatives,</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reduced our headcount by approximately 240 employees, or approximately 25% of our total worldwide workforce. However, while we have eliminated jobs in some areas of the business, we continue to hire for select positions in some geographies to support our business plans. As of September 30, 2009, we have completed the actions related to these restructuring initiatives.</w:t>
      </w:r>
    </w:p>
    <w:p>
      <w:pPr>
        <w:spacing w:after="0" w:line="19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our strong financial foundation;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responding quickly to changes in the macroeconomic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improving the cost-effectiveness of our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winning new business from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and enhancing our product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leveraging our global sales and support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channels and markets for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the third quarter of 2008, we committed to a plan to sell our Zynetix Limited ("Zynetix") subsidiary. We completed the sale of Zynetix on November 26, 2008. The results of operations of Zynetix have been reclassified as discontinued operations in our condensed consolidated statements of operations for the three and nine months ended September 30,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Warranty, royalty, litigation and other loss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refer to our Annual Report on Form 10-K for the fiscal year ended December 31, 2008, which was filed with the SEC on February 26, 2009. There were no significant changes to our critical accounting policies during either the three or nine months ended September 30,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2009 and 2008</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and nine months ended September 30, 2009 and 2008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4020" w:type="dxa"/>
            <w:vAlign w:val="bottom"/>
            <w:gridSpan w:val="6"/>
          </w:tcPr>
          <w:p>
            <w:pPr>
              <w:jc w:val="center"/>
              <w:ind w:right="26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2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4020" w:type="dxa"/>
            <w:vAlign w:val="bottom"/>
            <w:gridSpan w:val="6"/>
          </w:tcPr>
          <w:p>
            <w:pPr>
              <w:jc w:val="center"/>
              <w:ind w:right="26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33,544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36,710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149,745</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22,621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25,474</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69,517</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73,856</w:t>
            </w:r>
          </w:p>
        </w:tc>
        <w:tc>
          <w:tcPr>
            <w:tcW w:w="2280" w:type="dxa"/>
            <w:vAlign w:val="bottom"/>
          </w:tcPr>
          <w:p>
            <w:pPr>
              <w:spacing w:after="0"/>
              <w:rPr>
                <w:sz w:val="19"/>
                <w:szCs w:val="19"/>
                <w:color w:val="auto"/>
              </w:rPr>
            </w:pPr>
          </w:p>
        </w:tc>
      </w:tr>
      <w:tr>
        <w:trPr>
          <w:trHeight w:val="21"/>
        </w:trPr>
        <w:tc>
          <w:tcPr>
            <w:tcW w:w="2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56,165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158,784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223,601</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Product revenue is comprised of sales of our voice infrastructure products, including our GSX9000™ and GSX4000™ Open Services Switches, NBS™ Network Border Switch, PSX™ Call Routing Server, SGX™ Signaling Gateway, ASX™ Call Feature Server, IMX® Application Platform, Sonus Insight™ Management System and related product offerings. Product revenue for the three and nine months ended September 30, 2009 decreased 8.6% and 40.4%, respectively, compared to the same periods of the prior year. The decreases in the current year periods are primarily attributable to lower product sales and shipments, principally resulting from the current macroeconomic environment, coupled with the change in the fourth quarter of fiscal 2008 to ratable recognition of revenue from AT&amp;T on a two-year maintenance contract, which also impacts the timing of the recognition of certain product revenue attributable to this customer.</w:t>
      </w:r>
    </w:p>
    <w:p>
      <w:pPr>
        <w:spacing w:after="0" w:line="20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Service revenue is primarily comprised of hardware and software maintenance and support, network design, installation and other professional services. Service revenue decreased 11.2% and 5.9% in the three and nine months ended September 30, 2009, respectively, compared to the same periods of the prior year. The decreases in the current periods are primarily attributable to pressure on maintenance pricing, coupled with the change in the fourth quarter of fiscal 2008 to ratable recognition of revenue from AT&amp;T on a two-year maintenance contract.</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Global Crossing contributed approximately 12% and 10% of our revenue in the three and nine months ended September 30, 2009, respectively, and Softbank Telecom contributed approximately 17% of our revenue in the three months ended September 30, 2009. AT&amp;T contributed approximately 36% and 37% of our revenue in the three and nine months ended September 30, 2008, respectively. There were no other customers that contributed more than 10% of our revenue in either the three or nine months ended September 30, 2009 or 2008.</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International revenue was approximately 34% and 28% of revenue, respectively, in the three and nine months ended September 30, 2009, and 19% and 18% of revenue, respectively, in the comparable periods of the prior year. We expect that international revenue will fluctuate as a percentage of revenue from quarter to quarter.</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deferred product revenue was $41.6 million and $30.7 million at September 30, 2009 and December 31, 2008, respectively. Our deferred service revenue was $41.8 million and $48.3 million at September 30, 2009 and December 31, 2008, respectively. Our deferred revenue balance may fluctuate as a result of the timing of revenue recognition, customer payments, maintenance contract renewals, contractual billing rights, customer creditworthiness and maintenance revenue deferrals included in multiple element arrangements.</w:t>
      </w:r>
    </w:p>
    <w:p>
      <w:pPr>
        <w:spacing w:after="0" w:line="197"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Cost of Revenue/Gross Profit. </w:t>
      </w:r>
      <w:r>
        <w:rPr>
          <w:rFonts w:ascii="Arial" w:cs="Arial" w:eastAsia="Arial" w:hAnsi="Arial"/>
          <w:sz w:val="15"/>
          <w:szCs w:val="15"/>
          <w:color w:val="auto"/>
        </w:rPr>
        <w:t>Our cost of revenue consists primarily of amounts paid to third-party manufacturers for purchased materials and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royalties, manufacturing and professional services personnel and related costs and inventory obsolescence. Our cost of revenue and gross profit as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percentage of revenue ("gross margin") for the three and nine months ended September 30, 2009 and 2008 were as follows (in thousands, except percentages):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10,160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11,643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27,041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46,643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10,755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11,524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32,986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33,919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20,915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23,167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60,027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3"/>
              </w:rPr>
              <w:t>80,562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412"/>
        </w:trPr>
        <w:tc>
          <w:tcPr>
            <w:tcW w:w="20" w:type="dxa"/>
            <w:vAlign w:val="bottom"/>
          </w:tcPr>
          <w:p>
            <w:pPr>
              <w:spacing w:after="0"/>
              <w:rPr>
                <w:sz w:val="24"/>
                <w:szCs w:val="2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 (% of respective revenue)</w:t>
            </w:r>
          </w:p>
        </w:tc>
        <w:tc>
          <w:tcPr>
            <w:tcW w:w="20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Product</w:t>
            </w:r>
          </w:p>
        </w:tc>
        <w:tc>
          <w:tcPr>
            <w:tcW w:w="2080" w:type="dxa"/>
            <w:vAlign w:val="bottom"/>
          </w:tcPr>
          <w:p>
            <w:pPr>
              <w:jc w:val="right"/>
              <w:ind w:right="112"/>
              <w:spacing w:after="0"/>
              <w:rPr>
                <w:sz w:val="20"/>
                <w:szCs w:val="20"/>
                <w:color w:val="auto"/>
              </w:rPr>
            </w:pPr>
            <w:r>
              <w:rPr>
                <w:rFonts w:ascii="Arial" w:cs="Arial" w:eastAsia="Arial" w:hAnsi="Arial"/>
                <w:sz w:val="18"/>
                <w:szCs w:val="18"/>
                <w:color w:val="auto"/>
              </w:rPr>
              <w:t>69.7%</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68.3%</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69.7%</w:t>
            </w:r>
          </w:p>
        </w:tc>
        <w:tc>
          <w:tcPr>
            <w:tcW w:w="68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2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52.5%</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54.8%</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2"/>
        </w:trPr>
        <w:tc>
          <w:tcPr>
            <w:tcW w:w="20" w:type="dxa"/>
            <w:vAlign w:val="bottom"/>
          </w:tcPr>
          <w:p>
            <w:pPr>
              <w:spacing w:after="0"/>
              <w:rPr>
                <w:sz w:val="19"/>
                <w:szCs w:val="19"/>
                <w:color w:val="auto"/>
              </w:rPr>
            </w:pPr>
          </w:p>
        </w:tc>
        <w:tc>
          <w:tcPr>
            <w:tcW w:w="4640" w:type="dxa"/>
            <w:vAlign w:val="bottom"/>
          </w:tcPr>
          <w:p>
            <w:pPr>
              <w:ind w:left="260"/>
              <w:spacing w:after="0"/>
              <w:rPr>
                <w:sz w:val="20"/>
                <w:szCs w:val="20"/>
                <w:color w:val="auto"/>
              </w:rPr>
            </w:pPr>
            <w:r>
              <w:rPr>
                <w:rFonts w:ascii="Arial" w:cs="Arial" w:eastAsia="Arial" w:hAnsi="Arial"/>
                <w:sz w:val="18"/>
                <w:szCs w:val="18"/>
                <w:color w:val="auto"/>
              </w:rPr>
              <w:t>Total gross profit margin</w:t>
            </w:r>
          </w:p>
        </w:tc>
        <w:tc>
          <w:tcPr>
            <w:tcW w:w="2080" w:type="dxa"/>
            <w:vAlign w:val="bottom"/>
          </w:tcPr>
          <w:p>
            <w:pPr>
              <w:jc w:val="right"/>
              <w:ind w:right="112"/>
              <w:spacing w:after="0"/>
              <w:rPr>
                <w:sz w:val="20"/>
                <w:szCs w:val="20"/>
                <w:color w:val="auto"/>
              </w:rPr>
            </w:pPr>
            <w:r>
              <w:rPr>
                <w:rFonts w:ascii="Arial" w:cs="Arial" w:eastAsia="Arial" w:hAnsi="Arial"/>
                <w:sz w:val="18"/>
                <w:szCs w:val="18"/>
                <w:color w:val="auto"/>
              </w:rPr>
              <w:t>62.8%</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62.7%</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62.2%</w:t>
            </w:r>
          </w:p>
        </w:tc>
        <w:tc>
          <w:tcPr>
            <w:tcW w:w="680" w:type="dxa"/>
            <w:vAlign w:val="bottom"/>
          </w:tcPr>
          <w:p>
            <w:pPr>
              <w:jc w:val="right"/>
              <w:spacing w:after="0"/>
              <w:rPr>
                <w:sz w:val="20"/>
                <w:szCs w:val="20"/>
                <w:color w:val="auto"/>
              </w:rPr>
            </w:pPr>
            <w:r>
              <w:rPr>
                <w:rFonts w:ascii="Arial" w:cs="Arial" w:eastAsia="Arial" w:hAnsi="Arial"/>
                <w:sz w:val="18"/>
                <w:szCs w:val="18"/>
                <w:color w:val="auto"/>
              </w:rPr>
              <w:t>64.0%</w:t>
            </w:r>
          </w:p>
        </w:tc>
      </w:tr>
    </w:tbl>
    <w:p>
      <w:pPr>
        <w:spacing w:after="0" w:line="20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changes in product gross margin were primarily due to product mix. The current year decreases in service gross margin are primarily due to lower levels of service revenue as a function of our fixed service cost base. We have reduced our fixed service cost base through our recent restructuring headcount reduction initiatives. We believe that our gross margin over time will remain within our long-term financial model of 58% to 62%.</w:t>
      </w:r>
    </w:p>
    <w:p>
      <w:pPr>
        <w:spacing w:after="0" w:line="16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consist primarily of salaries and related personnel expenses and prototype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related to the design, development, testing and enhancement of our products. Research and development expenses were $14.1 million for the three months ended September 30, 2009, a decrease of $4.1 million, or 22.5%, from $18.2 million in the same period of the prior year. Research and development expenses were $46.0 million for the nine months ended September 30, 2009, a decrease of $11.1 million, or 19.5%, compared to the same period of the prior year. The decreases in the current year periods primarily reflect lower employee-related costs, including lower stock-based compensation expense and lower salary and related costs as a result of our recent headcount reduction restructuring initiatives, partially offset by increased hiring activity in our India facility. 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 We believe that our research and development expenses in fiscal 2009 will decrease from prior year levels, primarily as a result of the ongoing migration of our development and quality assurance centers to lower-cost geographies.</w:t>
      </w:r>
    </w:p>
    <w:p>
      <w:pPr>
        <w:spacing w:after="0" w:line="17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consist primarily of salaries and related personnel costs, commissions, travel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expenses, customer evaluations inventory and other marketing and sales support expenses. Sales and marketing expenses were $11.5 million for the three months ended September 30, 2009, a decrease of $6.0 million, or 34.2%, compared to $17.5 million in the three months ended September 30, 2008. Sales and marketing expenses decreased $19.4 million, or 35.0%, to $36.0 million in the nine months ended September 30, 2009, compared to $55.4 million in the same period of the prior year. The current year decreases are primarily attributable to lower employee-related costs, including commission, travel and stock-based compensation expenses. We believe that our sales and marketing expenses will decrease from prior year levels, primarily the result of lower personnel and related costs.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and related personnel costs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technology ("IT") and administrative personnel, foreign exchange gains and losses, allowance for doubtful accounts and professional fees. General and administrative expenses were $11.6 million in the three months ended September 30, 2009, a decrease of $10.0 million, or 46.5%, compared to $21.6 million in the three months ended September 30, 2008. General and administrative expenses decreased by $12.4 million, or 27.8%, to $32.3 million for the nine months ended September 30, 2009, from $44.7 million in the nine months ended September 30, 2008. These decreases are primarily attributable to lower legal and audit fees and lower stock-based compensation expense. We believe that our general and administrative expenses will decrease from prior year levels, primarily due to lower expected professional fees and other consulting costs and personnel-related expenses.</w:t>
      </w:r>
    </w:p>
    <w:p>
      <w:pPr>
        <w:spacing w:after="0" w:line="17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Litigation Settlements.</w:t>
      </w:r>
      <w:r>
        <w:rPr>
          <w:sz w:val="20"/>
          <w:szCs w:val="20"/>
          <w:color w:val="auto"/>
        </w:rPr>
        <w:tab/>
      </w:r>
      <w:r>
        <w:rPr>
          <w:rFonts w:ascii="Arial" w:cs="Arial" w:eastAsia="Arial" w:hAnsi="Arial"/>
          <w:sz w:val="15"/>
          <w:szCs w:val="15"/>
          <w:color w:val="auto"/>
        </w:rPr>
        <w:t>We recorded $19.1 million of expense reported as Litigation Settlements in our consolidated statements of operations for the three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and nine months ended September 30, 2008. On September 16, 2008, we reached an agreement to settle the C2 Patent Litigation. The parties entered into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and license agreement that provided for the payment of $9.5 million in full settlement of all claims against customers as well as fully paid licenses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and our customers. The settlement was paid on September 24, 2008. On September 23, 2008, we reached a tentative agreement to settle the 2002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Litigation. Pursuant to the settlement, we paid $9.5 million to the shareholder class in the case, as well as $0.1 million toward the cost of the class notice process.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2008, we had accrued $10.0 million for the 2002 Securities Litigation settlement, including the aforementioned $9.6 million for the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class notice process as well as $0.4 million for costs related to the confirmatory discovery process. The $0.4 million for discovery costs is included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component of General and administrative expenses for both the three and nine month periods ended September 30, 2008. On February 17, 2009, we placed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 million into escrow related to this settlement. On July 16, 2009, the escrow amount was released to the plaintiff. We did not record any expense reported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 in our consolidated statements of operations for either the three or nine months ended September 30, 2009.</w:t>
      </w:r>
    </w:p>
    <w:p>
      <w:pPr>
        <w:spacing w:after="0" w:line="21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In the three months ended September 30, 2009, we recorded $1.5 million of restructuring expense related to our August 12, 2009 headcount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reduction restructuring initiative, which reduced our then-current workforce by approximately 93 people, or 10% of our employees worldwide. In the three months ended March 31, 2009, we recorded restructuring expenses aggregating $2.0 million related to two headcount reduction restructuring initiatives implemented as part of our efforts to right-size the business to align with market opportunities while managing costs to position Sonus for profitable growth. We recorded $0.9 million of severance and related expenses for our January 9, 2009 headcount reduction restructuring initiative, which reduced our workforce by approximately 40 people, or 4% of employees worldwide. We recorded $1.1 million of severance and related expenses for our March 10, 2009 headcount reduction restructuring initiative, which further reduced our workforce by approximately 60 people, or 6% of employees worldwide.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consists of interest earned on our cash equivalents, marketable securities and long-term investments.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relates to interest on capital lease obligations in the three and nine month periods ended September 30, 2009 and 2008. Interest income, net of interest expense, was $0.8 million and $2.7 million in the three months ended September 30, 2009 and 2008, respectively, and $3.4 million and $9.8 million in the nine month periods, respectively. The reductions in interest income, net, in the current year periods reflect a lower average portfolio yield, coupled with lower cash and investment balances compared to the prior year.</w:t>
      </w:r>
    </w:p>
    <w:p>
      <w:pPr>
        <w:spacing w:after="0" w:line="19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We recorded approximately $12,000 and $2,000 of other income in the three months ended September 30, 2009 and 2008,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and $24,000 and $387,000 of other income in the nine months then ended. The amount for the nine months ended September 30, 2008</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relates to a change in estimate to our loss contingency for the settlement of an employment tax audit by the Internal Revenue Service in 2008.</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provision for income taxes reflects our estimate of the effective rate expected to be applicable for the full fiscal year, adjusted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discrete events, which are recorded in the period that they occur. This estimate is reevaluated each quarter based on our estimated tax expense for the full fiscal year.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the fourth quarter of fiscal 2008, we concluded that there was insufficient positive evidence to overcome the more objective negative evidence related to our cumulative losses and other factors. Accordingly, we recorded an increase to our valuation allowance on substantially all of our domestic net deferred tax assets. The estimated effective rate for the year ended December 31, 2009 does not include any benefit for our projected domestic losses as we have continued to conclude that a valuation allowance is appropriate.</w:t>
      </w:r>
    </w:p>
    <w:p>
      <w:pPr>
        <w:spacing w:after="0" w:line="197"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Our benefit for the nine months ended September 30, 2009 includes a discrete benefit of $1.1 million realized during the second quarter related to our United Kingdom operations, as the result of a settlement with the tax authorities, offset by a tax provision applicable to certain taxable jurisdictions. Our effective tax rates, including discrete items, were 2.2% and 27.7% for the nine months ended September 30, 2009 and 2008, respectively. Our income tax benefit of</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$6.4 million in the nine months ended September 30, 2008, primarily reflected a benefit for federal, state and foreign taxes and differed from the statutory federal and state rates due to losses in certain foreign jurisdictions for which we were unable to recognize a tax benefit, and the impact of permanent nondeductible items, such as stock-based compensation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2009, our cash, cash equivalents, marketable securities and investments totaled $394.2 million.</w:t>
      </w:r>
    </w:p>
    <w:p>
      <w:pPr>
        <w:spacing w:after="0" w:line="225"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Our operating activities provided $10.7 million of cash in the nine months ended September 30, 2009, compared to $2.9 million of cash used in operating activities during the nine months ended September 30, 2008. Cash provided by operating activities during the nine months ended September 30, 2009 was primarily the result of a net decrease in accounts receivable, which was mainly driven by strong cash collections, partially offset by increases in inventory and other operating assets, as well a net reduction in our operating liabilities. The increase in operating assets is primarily attributable to higher deferred costs, including cost of goods, royalties, commissions and third party installation costs, for which the related revenue has not yet been recognized. The decrease in our operating liabilities is primarily attributable to the payment of litigation settlements and related costs, lower employee compensation and related costs, including reductions for the payment of bonuses to our executives and employees under our bonus programs, the completion of an employee stock purchase under our ESPP, lower taxes payable, accrued royalties and professional fees. Our net loss (adjusted for non-cash items such as depreciation, amortization and stock-based compensation) contributed $2.4 million to the cash provided by operating activities.</w:t>
      </w:r>
    </w:p>
    <w:p>
      <w:pPr>
        <w:spacing w:after="0" w:line="17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investing activities provided $44.8 million of cash in the nine months ended September 30, 2009, which is primarily attributable to $49.6 million of net sales and maturities of marketable securities and investments, net of $4.8 million for purchases of property and equipment. In the first quarter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of 2009, we had placed $9.5 million into escrow related to the agreement to settle the 2002 Securities Litigation. The escrow amount was released on July 16, 2009.</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Our financing activities provided $0.4 million of cash in the nine months ended September 30, 2009, including $1.1 million of proceeds from the sale of common stock in connection with our ESPP and $32,000 from the exercise of stock options. These amounts were partially offset by $0.5 million used to pay withholding obligations related to the net share settlement of restricted stock awards upon vesting and $0.2 million used for payments on our capital leases for office equipment.</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Based on our current expectations, we believe our cash, cash equivalents, marketable debt securities and long-term investments will be sufficient to meet our anticipated cash needs for working capital and capital expenditures for at least 12 months. Although it is difficult to predict future liquidity requirements with certainty, and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to improve our controls environment and for other general corporate activities, as well as to vigorously defend against existing and potential litigation. See Note 16 to our condensed consolidated financial statements for a description of legal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 xml:space="preserve">In June 2009, the Financial Accounting Standards Board ("FASB") issued its final Statement of Financial Accounting Standards ("SFAS") No. 168,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Accounting Standards Codification and the Hierarchy of Generally Accepted Accounting Principles—a replacement of FASB Statement No. 162 </w:t>
      </w:r>
      <w:r>
        <w:rPr>
          <w:rFonts w:ascii="Arial" w:cs="Arial" w:eastAsia="Arial" w:hAnsi="Arial"/>
          <w:sz w:val="16"/>
          <w:szCs w:val="16"/>
          <w:color w:val="auto"/>
        </w:rPr>
        <w:t>("SFAS 168"). SFAS 168 made the FASB Accounting Standards Codification (the "Codification") the single source of U.S. GAAP used by nongovernmental entities in the preparation of financial statements, except for rules and interpretive releases of the SEC under authority of federal securities laws, which are sources of authoritative accounting guidance for SEC registrants. The Codification is meant to simplify user access to all authoritative accounting guidance by reorganizing U.S. GAAP pronouncements into approximately 90 accounting topics within a consistent structure; its purpose is not to create new accounting and reporting guidance. The Codification supersedes all existing non-SEC accounting and reporting standards and was effective for the Company beginning July 1, 2009. Following SFAS 168, the FASB will not issue new standards in the form of Statements, FASB Staff Positions or Emerging Issues Task Force Abstracts; instead, it will issue Accounting Standards Updates ("ASU"). The FASB will not consider ASUs as authoritative in their own right; these updates will serve only to update the Codification, provide background information about the guidance and provide the bases for conclusions on the change(s) in the Codification.</w:t>
      </w:r>
    </w:p>
    <w:p>
      <w:pPr>
        <w:spacing w:after="0" w:line="17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October 2009, an update was made to </w:t>
      </w:r>
      <w:r>
        <w:rPr>
          <w:rFonts w:ascii="Arial" w:cs="Arial" w:eastAsia="Arial" w:hAnsi="Arial"/>
          <w:sz w:val="16"/>
          <w:szCs w:val="16"/>
          <w:i w:val="1"/>
          <w:iCs w:val="1"/>
          <w:color w:val="auto"/>
        </w:rPr>
        <w:t>Revenue Recognition—Multiple Deliverable Revenue Arrangements</w:t>
      </w:r>
      <w:r>
        <w:rPr>
          <w:rFonts w:ascii="Arial" w:cs="Arial" w:eastAsia="Arial" w:hAnsi="Arial"/>
          <w:sz w:val="16"/>
          <w:szCs w:val="16"/>
          <w:color w:val="auto"/>
        </w:rPr>
        <w:t xml:space="preserve">.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the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and Disclosures </w:t>
      </w:r>
      <w:r>
        <w:rPr>
          <w:rFonts w:ascii="Arial" w:cs="Arial" w:eastAsia="Arial" w:hAnsi="Arial"/>
          <w:sz w:val="16"/>
          <w:szCs w:val="16"/>
          <w:color w:val="auto"/>
        </w:rPr>
        <w:t>guidance, provides a hierarchy that entities must use to estimate the selling price, eliminates the use of the residual method for</w:t>
      </w:r>
      <w:r>
        <w:rPr>
          <w:rFonts w:ascii="Arial" w:cs="Arial" w:eastAsia="Arial" w:hAnsi="Arial"/>
          <w:sz w:val="16"/>
          <w:szCs w:val="16"/>
          <w:i w:val="1"/>
          <w:iCs w:val="1"/>
          <w:color w:val="auto"/>
        </w:rPr>
        <w:t xml:space="preserve"> </w:t>
      </w:r>
      <w:r>
        <w:rPr>
          <w:rFonts w:ascii="Arial" w:cs="Arial" w:eastAsia="Arial" w:hAnsi="Arial"/>
          <w:sz w:val="16"/>
          <w:szCs w:val="16"/>
          <w:color w:val="auto"/>
        </w:rPr>
        <w:t>allocation and expands the ongoing disclosure requirements. This update is effective for the Company beginning January 1, 2011, although early adoption is permitted, and adoption can be applied prospectively or retrospectively. We are currently evaluating the effect that implementation of this update will have, if any, on our consolidated financial position and results of operations upon adoption.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In October 2009, an update was made to </w:t>
      </w:r>
      <w:r>
        <w:rPr>
          <w:rFonts w:ascii="Arial" w:cs="Arial" w:eastAsia="Arial" w:hAnsi="Arial"/>
          <w:sz w:val="18"/>
          <w:szCs w:val="18"/>
          <w:i w:val="1"/>
          <w:iCs w:val="1"/>
          <w:color w:val="auto"/>
        </w:rPr>
        <w:t>Certain Arrangements that Include Software Elements</w:t>
      </w:r>
      <w:r>
        <w:rPr>
          <w:rFonts w:ascii="Arial" w:cs="Arial" w:eastAsia="Arial" w:hAnsi="Arial"/>
          <w:sz w:val="18"/>
          <w:szCs w:val="18"/>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is effective for the Company beginning January 1, 2011, although early adoption is permitted, and adoption can be applied prospectively or retrospectively. We are currently evaluating the effect that implementation of this update will have, if any, on our consolidated financial position and results of operations upon adoption.</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than what was disclosed in our Annual Report on Form 10-K for the fiscal year ended December 31, 2008.</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defined in Rules 13a-15(e) and 15d-15(e) under the Securities Exchange Act of 1934, as amended (the "Exchange Act")), as of September 30, 2009.</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this evaluation, our Chief Executive Officer and Chief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98"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i w:val="1"/>
          <w:iCs w:val="1"/>
          <w:color w:val="auto"/>
        </w:rPr>
        <w:t xml:space="preserve">Limitations on Effectiveness of Controls. </w:t>
      </w:r>
      <w:r>
        <w:rPr>
          <w:rFonts w:ascii="Arial" w:cs="Arial" w:eastAsia="Arial" w:hAnsi="Arial"/>
          <w:sz w:val="16"/>
          <w:szCs w:val="16"/>
          <w:color w:val="auto"/>
        </w:rPr>
        <w:t>Our management has concluded that our disclosure controls and procedures and internal controls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that the objectives of our control system are met. However, our management (including our Chief Executive Officer and Chief Financial Officer) does not expect that the disclosure controls and procedures or internal controls will prevent all error and/or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errors and instances of fraud, if any, within the company have been or will be detected. These inherent limitations include the realities that judgments in decision making can be faulty and that breakdowns can occur because of simple errors or mistakes. Additionally, controls can be circumvented by the individual acts of some persons, by collusion of two or more people, or by management override of the control. The design of any system is also based in part upon certain assumptions about the likelihood of future events, and there can be no assurances that any design will succeed in achieving its stated goals under all potential future conditions. Because of the inherent limitations in a cost-effective control system, misstatements due to error or fraud may occur and may not be detected.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changes in our internal control over financial reporting (as defined in Rules 13a-15(f) and 15d-15(f) under the Exchange Act) were identified in connection with the evaluation as of September 30, 2009 referenced above that has materially affected, or is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a party to the legal proceedings described in Part I, Item 3, "Legal Proceedings" of our Annual Report on Form 10-K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Material developments to these legal proceedings during the quarter ended September 30, 2009 are detailed above in Note 14 and Note 16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There are no material changes to the risk factors as previously disclosed in our Annual Report on Form 10-K for the year ended December 31, 2008, as modified and supplemented by the risk factors disclosed in our Quarterly Report on Form 10-Q for the quarter ended June 30, 2009.</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 vested shares to satisfy the tax withholding obligations that arise in connection with such vesting. The following table summarizes repurchases of our common stock during the third quarter of fiscal 2009, which represent shares returned to satisfy tax withholding obligations: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2009 to July 31, 2009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August 1, 2009 to August 31, 2009</w:t>
            </w:r>
          </w:p>
        </w:tc>
        <w:tc>
          <w:tcPr>
            <w:tcW w:w="980" w:type="dxa"/>
            <w:vAlign w:val="bottom"/>
          </w:tcPr>
          <w:p>
            <w:pPr>
              <w:jc w:val="right"/>
              <w:spacing w:after="0"/>
              <w:rPr>
                <w:sz w:val="20"/>
                <w:szCs w:val="20"/>
                <w:color w:val="auto"/>
              </w:rPr>
            </w:pPr>
            <w:r>
              <w:rPr>
                <w:rFonts w:ascii="Arial" w:cs="Arial" w:eastAsia="Arial" w:hAnsi="Arial"/>
                <w:sz w:val="18"/>
                <w:szCs w:val="18"/>
                <w:color w:val="auto"/>
              </w:rPr>
              <w:t>79,275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2009 to September 30, 2009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2740" w:type="dxa"/>
            <w:vAlign w:val="bottom"/>
            <w:gridSpan w:val="3"/>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91,485</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p>
      <w:pPr>
        <w:ind w:left="1240"/>
        <w:spacing w:after="0"/>
        <w:tabs>
          <w:tab w:leader="none" w:pos="600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right"/>
        <w:ind w:right="739"/>
        <w:spacing w:after="0"/>
        <w:tabs>
          <w:tab w:leader="none" w:pos="7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44" w:lineRule="exact"/>
        <w:rPr>
          <w:sz w:val="20"/>
          <w:szCs w:val="20"/>
          <w:color w:val="auto"/>
        </w:rPr>
      </w:pPr>
    </w:p>
    <w:p>
      <w:pPr>
        <w:ind w:left="1940"/>
        <w:spacing w:after="0"/>
        <w:tabs>
          <w:tab w:leader="none" w:pos="2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jc w:val="right"/>
        <w:ind w:right="739"/>
        <w:spacing w:after="0"/>
        <w:tabs>
          <w:tab w:leader="none" w:pos="7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jc w:val="center"/>
        <w:ind w:right="-1140"/>
        <w:spacing w:after="0"/>
        <w:tabs>
          <w:tab w:leader="none" w:pos="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Dated: November 5, 2009</w:t>
            </w:r>
          </w:p>
        </w:tc>
        <w:tc>
          <w:tcPr>
            <w:tcW w:w="5980" w:type="dxa"/>
            <w:vAlign w:val="bottom"/>
            <w:gridSpan w:val="2"/>
          </w:tcPr>
          <w:p>
            <w:pPr>
              <w:ind w:left="1360"/>
              <w:spacing w:after="0"/>
              <w:rPr>
                <w:sz w:val="20"/>
                <w:szCs w:val="20"/>
                <w:color w:val="auto"/>
              </w:rPr>
            </w:pPr>
            <w:r>
              <w:rPr>
                <w:rFonts w:ascii="Arial" w:cs="Arial" w:eastAsia="Arial" w:hAnsi="Arial"/>
                <w:sz w:val="18"/>
                <w:szCs w:val="18"/>
                <w:color w:val="auto"/>
              </w:rPr>
              <w:t>SONUS NETWORKS, INC.</w:t>
            </w:r>
          </w:p>
        </w:tc>
      </w:tr>
      <w:tr>
        <w:trPr>
          <w:trHeight w:val="459"/>
        </w:trPr>
        <w:tc>
          <w:tcPr>
            <w:tcW w:w="3200" w:type="dxa"/>
            <w:vAlign w:val="bottom"/>
          </w:tcPr>
          <w:p>
            <w:pPr>
              <w:spacing w:after="0"/>
              <w:rPr>
                <w:sz w:val="24"/>
                <w:szCs w:val="24"/>
                <w:color w:val="auto"/>
              </w:rPr>
            </w:pPr>
          </w:p>
        </w:tc>
        <w:tc>
          <w:tcPr>
            <w:tcW w:w="1760" w:type="dxa"/>
            <w:vAlign w:val="bottom"/>
          </w:tcPr>
          <w:p>
            <w:pPr>
              <w:ind w:left="1360"/>
              <w:spacing w:after="0"/>
              <w:rPr>
                <w:sz w:val="20"/>
                <w:szCs w:val="20"/>
                <w:color w:val="auto"/>
              </w:rPr>
            </w:pPr>
            <w:r>
              <w:rPr>
                <w:rFonts w:ascii="Arial" w:cs="Arial" w:eastAsia="Arial" w:hAnsi="Arial"/>
                <w:sz w:val="18"/>
                <w:szCs w:val="18"/>
                <w:color w:val="auto"/>
              </w:rPr>
              <w:t>By:</w:t>
            </w:r>
          </w:p>
        </w:tc>
        <w:tc>
          <w:tcPr>
            <w:tcW w:w="4220" w:type="dxa"/>
            <w:vAlign w:val="bottom"/>
          </w:tcPr>
          <w:p>
            <w:pPr>
              <w:jc w:val="center"/>
              <w:spacing w:after="0"/>
              <w:rPr>
                <w:sz w:val="20"/>
                <w:szCs w:val="20"/>
                <w:color w:val="auto"/>
              </w:rPr>
            </w:pPr>
            <w:r>
              <w:rPr>
                <w:rFonts w:ascii="Arial" w:cs="Arial" w:eastAsia="Arial" w:hAnsi="Arial"/>
                <w:sz w:val="18"/>
                <w:szCs w:val="18"/>
                <w:color w:val="auto"/>
                <w:w w:val="93"/>
              </w:rPr>
              <w:t>/s/ RICHARD J. GAYNOR</w:t>
            </w:r>
          </w:p>
        </w:tc>
      </w:tr>
      <w:tr>
        <w:trPr>
          <w:trHeight w:val="97"/>
        </w:trPr>
        <w:tc>
          <w:tcPr>
            <w:tcW w:w="3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r>
      <w:tr>
        <w:trPr>
          <w:trHeight w:val="282"/>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88"/>
              </w:rPr>
              <w:t>Richard J. Gaynor</w:t>
            </w:r>
          </w:p>
        </w:tc>
      </w:tr>
      <w:tr>
        <w:trPr>
          <w:trHeight w:val="216"/>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r>
      <w:tr>
        <w:trPr>
          <w:trHeight w:val="222"/>
        </w:trPr>
        <w:tc>
          <w:tcPr>
            <w:tcW w:w="3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Financial Officer)</w:t>
            </w:r>
          </w:p>
        </w:tc>
      </w:tr>
      <w:tr>
        <w:trPr>
          <w:trHeight w:val="459"/>
        </w:trPr>
        <w:tc>
          <w:tcPr>
            <w:tcW w:w="3200" w:type="dxa"/>
            <w:vAlign w:val="bottom"/>
          </w:tcPr>
          <w:p>
            <w:pPr>
              <w:spacing w:after="0"/>
              <w:rPr>
                <w:sz w:val="24"/>
                <w:szCs w:val="24"/>
                <w:color w:val="auto"/>
              </w:rPr>
            </w:pPr>
          </w:p>
        </w:tc>
        <w:tc>
          <w:tcPr>
            <w:tcW w:w="1760" w:type="dxa"/>
            <w:vAlign w:val="bottom"/>
          </w:tcPr>
          <w:p>
            <w:pPr>
              <w:ind w:left="1360"/>
              <w:spacing w:after="0"/>
              <w:rPr>
                <w:sz w:val="20"/>
                <w:szCs w:val="20"/>
                <w:color w:val="auto"/>
              </w:rPr>
            </w:pPr>
            <w:r>
              <w:rPr>
                <w:rFonts w:ascii="Arial" w:cs="Arial" w:eastAsia="Arial" w:hAnsi="Arial"/>
                <w:sz w:val="18"/>
                <w:szCs w:val="18"/>
                <w:color w:val="auto"/>
              </w:rPr>
              <w:t>By:</w:t>
            </w: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/s/ WAYNE PASTORE</w:t>
            </w:r>
          </w:p>
        </w:tc>
      </w:tr>
      <w:tr>
        <w:trPr>
          <w:trHeight w:val="97"/>
        </w:trPr>
        <w:tc>
          <w:tcPr>
            <w:tcW w:w="3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r>
      <w:tr>
        <w:trPr>
          <w:trHeight w:val="289"/>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84"/>
              </w:rPr>
              <w:t>Wayne Pastore</w:t>
            </w:r>
          </w:p>
        </w:tc>
      </w:tr>
    </w:tbl>
    <w:p>
      <w:pPr>
        <w:jc w:val="center"/>
        <w:ind w:left="4940"/>
        <w:spacing w:after="0"/>
        <w:rPr>
          <w:sz w:val="20"/>
          <w:szCs w:val="20"/>
          <w:color w:val="auto"/>
        </w:rPr>
      </w:pPr>
      <w:r>
        <w:rPr>
          <w:rFonts w:ascii="Arial" w:cs="Arial" w:eastAsia="Arial" w:hAnsi="Arial"/>
          <w:sz w:val="18"/>
          <w:szCs w:val="18"/>
          <w:i w:val="1"/>
          <w:iCs w:val="1"/>
          <w:color w:val="auto"/>
        </w:rPr>
        <w:t>Vice President, Finance, Corporate Controller and</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tabs>
          <w:tab w:leader="none" w:pos="600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right"/>
        <w:ind w:right="739"/>
        <w:spacing w:after="0"/>
        <w:tabs>
          <w:tab w:leader="none" w:pos="7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44" w:lineRule="exact"/>
        <w:rPr>
          <w:sz w:val="20"/>
          <w:szCs w:val="20"/>
          <w:color w:val="auto"/>
        </w:rPr>
      </w:pPr>
    </w:p>
    <w:p>
      <w:pPr>
        <w:ind w:left="1940"/>
        <w:spacing w:after="0"/>
        <w:tabs>
          <w:tab w:leader="none" w:pos="2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jc w:val="right"/>
        <w:ind w:right="739"/>
        <w:spacing w:after="0"/>
        <w:tabs>
          <w:tab w:leader="none" w:pos="7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jc w:val="center"/>
        <w:ind w:right="-1140"/>
        <w:spacing w:after="0"/>
        <w:tabs>
          <w:tab w:leader="none" w:pos="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spacing w:after="0"/>
        <w:rPr>
          <w:rFonts w:ascii="Arial" w:cs="Arial" w:eastAsia="Arial" w:hAnsi="Arial"/>
          <w:sz w:val="22"/>
          <w:szCs w:val="22"/>
          <w:color w:val="0000EE"/>
        </w:rPr>
      </w:pPr>
      <w:hyperlink w:anchor="page4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25" w:lineRule="exact"/>
        <w:rPr>
          <w:sz w:val="20"/>
          <w:szCs w:val="20"/>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41" w:name="page42"/>
    <w:bookmarkEnd w:id="41"/>
    <w:p>
      <w:pPr>
        <w:spacing w:after="0"/>
        <w:rPr>
          <w:rFonts w:ascii="Arial" w:cs="Arial" w:eastAsia="Arial" w:hAnsi="Arial"/>
          <w:sz w:val="22"/>
          <w:szCs w:val="22"/>
          <w:color w:val="0000EE"/>
        </w:rPr>
      </w:pPr>
      <w:hyperlink w:anchor="page4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J. Gaynor, certify that:</w:t>
      </w:r>
    </w:p>
    <w:p>
      <w:pPr>
        <w:spacing w:after="0" w:line="225" w:lineRule="exact"/>
        <w:rPr>
          <w:sz w:val="20"/>
          <w:szCs w:val="20"/>
          <w:color w:val="auto"/>
        </w:rPr>
      </w:pPr>
    </w:p>
    <w:p>
      <w:pPr>
        <w:ind w:left="72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43" w:name="page44"/>
    <w:bookmarkEnd w:id="43"/>
    <w:p>
      <w:pPr>
        <w:spacing w:after="0"/>
        <w:rPr>
          <w:rFonts w:ascii="Arial" w:cs="Arial" w:eastAsia="Arial" w:hAnsi="Arial"/>
          <w:sz w:val="22"/>
          <w:szCs w:val="22"/>
          <w:color w:val="0000EE"/>
        </w:rPr>
      </w:pPr>
      <w:hyperlink w:anchor="page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30, 2009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5, 2009</w:t>
      </w:r>
    </w:p>
    <w:p>
      <w:pPr>
        <w:ind w:left="582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45" w:name="page46"/>
    <w:bookmarkEnd w:id="45"/>
    <w:p>
      <w:pPr>
        <w:spacing w:after="0"/>
        <w:rPr>
          <w:rFonts w:ascii="Arial" w:cs="Arial" w:eastAsia="Arial" w:hAnsi="Arial"/>
          <w:sz w:val="22"/>
          <w:szCs w:val="22"/>
          <w:color w:val="0000EE"/>
        </w:rPr>
      </w:pPr>
      <w:hyperlink w:anchor="page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30, 2009 as filed with the Securities and Exchange Commission on the date hereof (the "Report"), the undersigned, Richard J. Gaynor,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5, 2009</w:t>
      </w:r>
    </w:p>
    <w:p>
      <w:pPr>
        <w:ind w:left="5820"/>
        <w:spacing w:after="0"/>
        <w:rPr>
          <w:sz w:val="20"/>
          <w:szCs w:val="20"/>
          <w:color w:val="auto"/>
        </w:rPr>
      </w:pPr>
      <w:r>
        <w:rPr>
          <w:rFonts w:ascii="Arial" w:cs="Arial" w:eastAsia="Arial" w:hAnsi="Arial"/>
          <w:sz w:val="18"/>
          <w:szCs w:val="18"/>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0"/>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2019-12-10T19:55:38Z</dcterms:created>
  <dcterms:modified xsi:type="dcterms:W3CDTF">2019-12-10T19:55:38Z</dcterms:modified>
</cp:coreProperties>
</file>