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120"/>
        <w:spacing w:after="0"/>
        <w:tabs>
          <w:tab w:leader="none" w:pos="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3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660" w:space="720"/>
            <w:col w:w="1720" w:space="720"/>
            <w:col w:w="2180" w:space="720"/>
            <w:col w:w="2640"/>
          </w:cols>
          <w:pgMar w:left="240" w:top="685" w:right="299" w:bottom="1440" w:gutter="0" w:footer="0" w:header="0"/>
          <w:type w:val="continuous"/>
        </w:sectPr>
      </w:pPr>
    </w:p>
    <w:p>
      <w:pPr>
        <w:jc w:val="center"/>
        <w:ind w:left="1840"/>
        <w:spacing w:after="0"/>
        <w:rPr>
          <w:sz w:val="20"/>
          <w:szCs w:val="20"/>
          <w:color w:val="auto"/>
        </w:rPr>
      </w:pPr>
      <w:r>
        <w:rPr>
          <w:rFonts w:ascii="Arial" w:cs="Arial" w:eastAsia="Arial" w:hAnsi="Arial"/>
          <w:sz w:val="14"/>
          <w:szCs w:val="14"/>
          <w:color w:val="auto"/>
        </w:rPr>
        <w:t>(Do not check if a</w:t>
      </w:r>
    </w:p>
    <w:p>
      <w:pPr>
        <w:jc w:val="center"/>
        <w:ind w:left="184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185"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April 22, 2010, there were 275,007,680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31, 2010</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96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740" w:type="dxa"/>
            <w:vAlign w:val="bottom"/>
            <w:gridSpan w:val="7"/>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4"/>
                <w:szCs w:val="14"/>
                <w:color w:val="auto"/>
              </w:rPr>
            </w:pPr>
          </w:p>
        </w:tc>
        <w:tc>
          <w:tcPr>
            <w:tcW w:w="2960" w:type="dxa"/>
            <w:vAlign w:val="bottom"/>
            <w:tcBorders>
              <w:bottom w:val="single" w:sz="8" w:color="0000EE"/>
            </w:tcBorders>
            <w:gridSpan w:val="15"/>
            <w:vMerge w:val="continue"/>
          </w:tcPr>
          <w:p>
            <w:pPr>
              <w:spacing w:after="0"/>
              <w:rPr>
                <w:sz w:val="14"/>
                <w:szCs w:val="14"/>
                <w:color w:val="auto"/>
              </w:rPr>
            </w:pPr>
          </w:p>
        </w:tc>
        <w:tc>
          <w:tcPr>
            <w:tcW w:w="5740" w:type="dxa"/>
            <w:vAlign w:val="bottom"/>
            <w:gridSpan w:val="7"/>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82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80" w:type="dxa"/>
            <w:vAlign w:val="bottom"/>
            <w:gridSpan w:val="15"/>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March 31, 2010 and December 31, 2009 (unaudited)</w:t>
              </w:r>
            </w:hyperlink>
          </w:p>
        </w:tc>
        <w:tc>
          <w:tcPr>
            <w:tcW w:w="8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for the Three Months Ended March 31, 2010 and 2009</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gridSpan w:val="4"/>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(unaudited)</w:t>
              </w:r>
            </w:hyperlink>
          </w:p>
        </w:tc>
        <w:tc>
          <w:tcPr>
            <w:tcW w:w="6460" w:type="dxa"/>
            <w:vAlign w:val="bottom"/>
            <w:tcBorders>
              <w:top w:val="single" w:sz="8" w:color="0000EE"/>
            </w:tcBorders>
            <w:gridSpan w:val="10"/>
          </w:tcPr>
          <w:p>
            <w:pPr>
              <w:spacing w:after="0"/>
              <w:rPr>
                <w:sz w:val="17"/>
                <w:szCs w:val="17"/>
                <w:color w:val="auto"/>
              </w:rPr>
            </w:pPr>
          </w:p>
        </w:tc>
        <w:tc>
          <w:tcPr>
            <w:tcW w:w="36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Cash Flows for the Three Months Ended March 31, 2010 and 2009</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gridSpan w:val="4"/>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(unaudited)</w:t>
              </w:r>
            </w:hyperlink>
          </w:p>
        </w:tc>
        <w:tc>
          <w:tcPr>
            <w:tcW w:w="6520" w:type="dxa"/>
            <w:vAlign w:val="bottom"/>
            <w:tcBorders>
              <w:top w:val="single" w:sz="8" w:color="0000EE"/>
            </w:tcBorders>
            <w:gridSpan w:val="11"/>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60" w:type="dxa"/>
            <w:vAlign w:val="bottom"/>
            <w:gridSpan w:val="1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06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580" w:type="dxa"/>
            <w:vAlign w:val="bottom"/>
            <w:tcBorders>
              <w:left w:val="single" w:sz="8" w:color="0000EE"/>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tcPr>
          <w:p>
            <w:pPr>
              <w:spacing w:after="0"/>
              <w:rPr>
                <w:sz w:val="24"/>
                <w:szCs w:val="24"/>
                <w:color w:val="auto"/>
              </w:rPr>
            </w:pPr>
          </w:p>
        </w:tc>
        <w:tc>
          <w:tcPr>
            <w:tcW w:w="2660" w:type="dxa"/>
            <w:vAlign w:val="bottom"/>
            <w:tcBorders>
              <w:bottom w:val="single" w:sz="8" w:color="0000EE"/>
            </w:tcBorders>
            <w:gridSpan w:val="14"/>
          </w:tcPr>
          <w:p>
            <w:pPr>
              <w:spacing w:after="0"/>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 OTHER INFORMATION</w:t>
              </w:r>
            </w:hyperlink>
          </w:p>
        </w:tc>
        <w:tc>
          <w:tcPr>
            <w:tcW w:w="604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1.</w:t>
              </w:r>
            </w:hyperlink>
          </w:p>
        </w:tc>
        <w:tc>
          <w:tcPr>
            <w:tcW w:w="360" w:type="dxa"/>
            <w:vAlign w:val="bottom"/>
            <w:gridSpan w:val="2"/>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7820" w:type="dxa"/>
            <w:vAlign w:val="bottom"/>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2.</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March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31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281,799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Accounts receivable, net of allowance for doubtful accounts of $666 at both March 31, 2010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December 31, 2009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20,426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0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13,518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525,074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540,737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020" w:type="dxa"/>
            <w:vAlign w:val="bottom"/>
            <w:shd w:val="clear" w:color="auto" w:fill="CCEEFF"/>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vMerge w:val="restart"/>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108,041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126,499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0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Preferred stock, $0.01 par value; 5,000,000 shares authorized, none issued and outstanding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Common stock, $0.001 par value; 600,000,000 shares authorized; 277,303,840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w w:val="92"/>
              </w:rPr>
              <w:t>276,792,897 shares issued; 275,006,930 and 274,495,987 shares outstanding at March 31,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2010 and December 31, 2009, respectively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1,289,415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1,286,326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(878,944)</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Treasury stock, at cost; 2,296,910 common shares</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525,074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540,737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Product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36,278</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Product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12,301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0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70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(17,764)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(16,201)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020" w:type="dxa"/>
            <w:vAlign w:val="bottom"/>
            <w:gridSpan w:val="2"/>
            <w:vMerge w:val="continue"/>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418"/>
        </w:trPr>
        <w:tc>
          <w:tcPr>
            <w:tcW w:w="7020" w:type="dxa"/>
            <w:vAlign w:val="bottom"/>
            <w:gridSpan w:val="2"/>
          </w:tcPr>
          <w:p>
            <w:pPr>
              <w:spacing w:after="0"/>
              <w:rPr>
                <w:sz w:val="20"/>
                <w:szCs w:val="20"/>
                <w:color w:val="auto"/>
              </w:rPr>
            </w:pPr>
            <w:r>
              <w:rPr>
                <w:rFonts w:ascii="Arial" w:cs="Arial" w:eastAsia="Arial" w:hAnsi="Arial"/>
                <w:sz w:val="18"/>
                <w:szCs w:val="18"/>
                <w:color w:val="auto"/>
              </w:rPr>
              <w:t>Shares used to compute loss per share:</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274,701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273,095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274,701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273,095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cash flows provided by operating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Other operating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(2,098)</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(5,039)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(16,445)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(1,763)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intangible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2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(121,856)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Sale/maturities of marketable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Arial" w:cs="Arial" w:eastAsia="Arial" w:hAnsi="Arial"/>
                <w:sz w:val="18"/>
                <w:szCs w:val="18"/>
                <w:color w:val="auto"/>
              </w:rPr>
              <w:t>Increase in restricted cash</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(64,126)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7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 of common stock in connection with employee stock purchase plan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Payment of tax withholding obligations related to net share settlements of restricted stock awards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Arial" w:cs="Arial" w:eastAsia="Arial" w:hAnsi="Arial"/>
                <w:sz w:val="18"/>
                <w:szCs w:val="18"/>
                <w:color w:val="auto"/>
              </w:rPr>
              <w:t>Principal payments of capital lease obligations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7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9"/>
        </w:trPr>
        <w:tc>
          <w:tcPr>
            <w:tcW w:w="7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(60,462)</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125,323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122,207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192,079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paid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20"/>
              <w:spacing w:after="0"/>
              <w:rPr>
                <w:sz w:val="20"/>
                <w:szCs w:val="20"/>
                <w:color w:val="auto"/>
              </w:rPr>
            </w:pPr>
            <w:r>
              <w:rPr>
                <w:rFonts w:ascii="Arial" w:cs="Arial" w:eastAsia="Arial" w:hAnsi="Arial"/>
                <w:sz w:val="18"/>
                <w:szCs w:val="18"/>
                <w:color w:val="auto"/>
              </w:rPr>
              <w:t>Income taxes paid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refunds received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 incurred, but not yet paid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ind w:left="120"/>
              <w:spacing w:after="0"/>
              <w:rPr>
                <w:sz w:val="20"/>
                <w:szCs w:val="20"/>
                <w:color w:val="auto"/>
              </w:rPr>
            </w:pPr>
            <w:r>
              <w:rPr>
                <w:rFonts w:ascii="Arial" w:cs="Arial" w:eastAsia="Arial" w:hAnsi="Arial"/>
                <w:sz w:val="18"/>
                <w:szCs w:val="18"/>
                <w:color w:val="auto"/>
              </w:rPr>
              <w:t>Property and equipment acquired under capital lease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video and data infrastructure solutions for wireline and wireless service providers. The Company's infrastructure solutions allow such wireline and wireless operators to build converged voice over Internet Protocol ("IP") networks. Sonus' products include carrier-class infrastructure equipment and software that enables voice services to be delivered over IP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include all adjustments, consisting only of normal recurring items, necessary for their fair presentation in conformity with accounting principles generally accepted in the United States of America ("U.S. GAAP") and the rules and regulations of the U.S. Securities and Exchange Commission ("SEC").</w:t>
      </w:r>
    </w:p>
    <w:p>
      <w:pPr>
        <w:spacing w:after="0" w:line="194"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Interim results are not necessarily indicative of results for a full year. The information included in this Form 10-Q should be read in conjunction with the Company's Annual Report on Form 10-K for the year ended December 31, 2009 filed on February 25, 2010 with the SEC.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condensed consolidated financial statements include the accounts of Sonus and its wholly-owned subsidiaries.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inventory reserves, expected future cash flows used to evaluate the recoverability of long-lived assets, contingencies associated with revenue contracts, assumptions used to determine the fair value of stock-based compensation, assumptions used to determine the fair value of purchased intangible assets, contingent liabilities and recoverability of the Company's net deferred tax assets and related valuation allowance.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Company recorded net losses on foreign currency remeasurement and transactions of $0.2 million and $0.4 million for the three months ended March 31, 2010 and 2009, respectively. These amounts include $0.9 million and $0.5 million of losses in the three months ended March 31, 2010 and 2009, respectively, related to the Company's remeasurement of its U.S. dollar foreign subsidiaries. Foreign currency gains and losses are included as a component of General and administrative expenses in the condensed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October 2009, the FASB issued an update to </w:t>
      </w:r>
      <w:r>
        <w:rPr>
          <w:rFonts w:ascii="Arial" w:cs="Arial" w:eastAsia="Arial" w:hAnsi="Arial"/>
          <w:sz w:val="16"/>
          <w:szCs w:val="16"/>
          <w:i w:val="1"/>
          <w:iCs w:val="1"/>
          <w:color w:val="auto"/>
        </w:rPr>
        <w:t>Certain Arrangements that Include Software Elements</w:t>
      </w:r>
      <w:r>
        <w:rPr>
          <w:rFonts w:ascii="Arial" w:cs="Arial" w:eastAsia="Arial" w:hAnsi="Arial"/>
          <w:sz w:val="16"/>
          <w:szCs w:val="16"/>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will require the Company to account for many of its multiple-element arrangements as non-software transactions and could impact the timing of revenue recognized in a reporting period. This update is effective for the Company beginning January 1, 2011, although early adoption is permitted, and adoption can be applied prospectively or retrospectively. The Company is currently evaluating the effect that implementation of this update will have on its consolidated financial position and results of operations upon adoption.</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October 2009, the FASB issued an update to the accounting guidance related to the separation criteria used to determine the unit of accounting for multiple-element arrangements.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ASC 820, provides a hierarchy that entities must use to estimate the selling price, eliminates the use of the residual method for allocation and expands the ongoing disclosure requirements. This guidance is effective for the Company beginning January 1, 2011, although early adoption is permitted, and adoption can be applied prospectively or retrospectively.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Company is currently evaluating the effect that implementation of this update will have, if any, on its consolidated financial position and results of operations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Company's products are primarily marketed based on the software elements contained therein. In addition, hardware sold generally cannot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the Company has future obligations, including a requirement to deliver additional elements that are essential to the functionality of the delivered elements or for which vendor-specific objective evidence of fair value ("VSOE") does not exist or when customer acceptance is required, Sonus defers revenue recognition and related costs until those obligations are satisfied. The ordering patterns and sales lead times associated with customer orders may vary significantly from period to period.</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for any undelivered elements that are considered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records deferred revenue for products delivered or services performed for which collection of the amount billed is either probable or has been collected but other revenue recognition criteria have not been met. Deferred revenue also includes customer deposits and amounts associated with maintenance contracts. Deferred revenue expected to be recognized as revenue more than one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year subsequent to the balance sheet date is reported with long-term liabilities in the condensed consolidated balance sheets.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4" w:lineRule="exact"/>
        <w:rPr>
          <w:sz w:val="20"/>
          <w:szCs w:val="20"/>
          <w:color w:val="auto"/>
        </w:rPr>
      </w:pPr>
    </w:p>
    <w:p>
      <w:pPr>
        <w:ind w:right="500" w:firstLine="348"/>
        <w:spacing w:after="0" w:line="306" w:lineRule="auto"/>
        <w:rPr>
          <w:sz w:val="20"/>
          <w:szCs w:val="20"/>
          <w:color w:val="auto"/>
        </w:rPr>
      </w:pPr>
      <w:r>
        <w:rPr>
          <w:rFonts w:ascii="Arial" w:cs="Arial" w:eastAsia="Arial" w:hAnsi="Arial"/>
          <w:sz w:val="16"/>
          <w:szCs w:val="16"/>
          <w:color w:val="auto"/>
        </w:rPr>
        <w:t>The Company sells the majority of its products directly to its service provider customers. For products sold to resellers and distributors with whom the Company has at least eight quarters of consistent history regarding the potential for product returns or refunds or any form of concession, the Company recognizes revenue on a sell-in basis. For all other resellers and distributors, the Company recognizes revenue on a sell-through basis.</w:t>
      </w:r>
    </w:p>
    <w:p>
      <w:pPr>
        <w:spacing w:after="0" w:line="16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Beginning in the fourth quarter of fiscal 2008, the Company concluded that it no longer had sufficient evidence of VSOE on maintenance services for AT&amp;T Inc. ("AT&amp;T"), one of its largest customers. Therefore, all revenue related to multiple-element arrangements for this customer entered into beginning in the fourth quarter of fiscal 2008 is being recognized ratably over the maintenance period. Revenue recognition on multiple-element arrangements with this customer will begin when the only undelivered element of the arrangement is maintenance. Beginning in the fourth quarter of 2008, for orders from AT&amp;T that contain bundled product and maintenance, the Company has allocated a fixed percentage (which represents the maintenance renewal rate for its largest customers for which the Company has VSOE) of the arrangement fee to service revenue with the residual amount classified as product revenue. The Company has and will continue to apply this methodology on a consistent basis. At March 31, 2010, Other current assets included $0.4 million of deferred product costs related to arrangements with AT&amp;T in which both the revenue and product costs are being recognized ratably. At March 31, 2010 and December 31, 2009, Other assets included $3.0 million and $3.9 million, respectively, of deferred product costs related to arrangements with this customer in which both the revenue and product costs are being recognized ratably.</w:t>
      </w:r>
    </w:p>
    <w:p>
      <w:pPr>
        <w:spacing w:after="0" w:line="17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excludes any taxes assessed by a governmental authority that are directly imposed on a revenue-producing transaction (i.e., sales, use, value added) from its revenue and costs. Reimbursement received for out-of-pocket expenses is recorded as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calculations of shares used to compute basic and diluted earnings (loss) per share for the three months ended March 31, 2010 and 2009 are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510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5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274,701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273,095</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274,701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273,095</w:t>
            </w:r>
          </w:p>
        </w:tc>
      </w:tr>
      <w:tr>
        <w:trPr>
          <w:trHeight w:val="27"/>
        </w:trPr>
        <w:tc>
          <w:tcPr>
            <w:tcW w:w="5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Options to purchase the Company's common stock, unvested shares of restricted stock and performance-based stock awards aggregating approximately 26.8 million and 37.0 million shares of common stock have not been included in the computation of diluted loss per share for the three months ended March 31, 2010 and 2009, respectively, because their effect would have been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comprehensive loss for the three months ended March 31, 2010 and 2009 is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7"/>
              </w:rPr>
              <w:t>Three months ended</w:t>
            </w:r>
          </w:p>
        </w:tc>
      </w:t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(16,227)</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22"/>
        </w:trPr>
        <w:tc>
          <w:tcPr>
            <w:tcW w:w="5180" w:type="dxa"/>
            <w:vAlign w:val="bottom"/>
          </w:tcPr>
          <w:p>
            <w:pPr>
              <w:ind w:left="120"/>
              <w:spacing w:after="0"/>
              <w:rPr>
                <w:sz w:val="20"/>
                <w:szCs w:val="20"/>
                <w:color w:val="auto"/>
              </w:rPr>
            </w:pPr>
            <w:r>
              <w:rPr>
                <w:rFonts w:ascii="Arial" w:cs="Arial" w:eastAsia="Arial" w:hAnsi="Arial"/>
                <w:sz w:val="18"/>
                <w:szCs w:val="18"/>
                <w:color w:val="auto"/>
                <w:w w:val="91"/>
              </w:rPr>
              <w:t>Unrealized loss on available-for-sale marketable securities, net of tax</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r>
      <w:tr>
        <w:trPr>
          <w:trHeight w:val="21"/>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(17,279)</w:t>
            </w:r>
          </w:p>
        </w:tc>
      </w:tr>
      <w:tr>
        <w:trPr>
          <w:trHeight w:val="27"/>
        </w:trPr>
        <w:tc>
          <w:tcPr>
            <w:tcW w:w="5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(investment grade) credit instruments.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amortized cost, gross unrealized gains and losses and fair value of the Company's marketable debt and equity securities and investments at March 31, 2010 and December 31, 2009 were comprised of the following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March 31, 2010</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41,879</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112,081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112,205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78,994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79,114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281,532</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281,799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Investments</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2009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95,843</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6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continu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238,744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239,223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1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49,653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vMerge w:val="restart"/>
          </w:tcPr>
          <w:p>
            <w:pPr>
              <w:jc w:val="right"/>
              <w:ind w:right="652"/>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97"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value of the assets or liabilities.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following table shows the fair value of the Company's financial assets at March 31, 2010 and December 31, 2009. These financial assets are comprised of the Company's available-for-sale debt and equity securities and reported under the captions Cash and cash equivalents, Marketable securities and Investments in the condensed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March 31, 2010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5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281,799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Investments</w:t>
            </w: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5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December 31, 2009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5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obligations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239,223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184,926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w:t>
            </w: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6,455</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28,270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80" w:type="dxa"/>
            <w:vAlign w:val="bottom"/>
            <w:gridSpan w:val="3"/>
          </w:tcPr>
          <w:p>
            <w:pPr>
              <w:jc w:val="right"/>
              <w:ind w:right="717"/>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reviewed the level classifications of its investments at March 31, 2010 compared to December 31, 2009 and determined that there were no significant transfers between levels in the three months ended March 31,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net, at March 31, 2010 and December 31, 2009 consists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4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11,036</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17,652</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20,132</w:t>
            </w:r>
          </w:p>
        </w:tc>
      </w:tr>
      <w:tr>
        <w:trPr>
          <w:trHeight w:val="21"/>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28,422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31,168</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(20,119)</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(21,925)</w:t>
            </w:r>
          </w:p>
        </w:tc>
      </w:tr>
      <w:tr>
        <w:trPr>
          <w:trHeight w:val="21"/>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(included in 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9,243</w:t>
            </w:r>
          </w:p>
        </w:tc>
      </w:tr>
      <w:tr>
        <w:trPr>
          <w:trHeight w:val="27"/>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March 31, 2010 and December 31, 2009 consist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5320" w:type="dxa"/>
            <w:vAlign w:val="bottom"/>
            <w:gridSpan w:val="4"/>
          </w:tcPr>
          <w:p>
            <w:pPr>
              <w:spacing w:after="0"/>
              <w:rPr>
                <w:sz w:val="20"/>
                <w:szCs w:val="20"/>
                <w:color w:val="auto"/>
              </w:rPr>
            </w:pPr>
            <w:r>
              <w:rPr>
                <w:rFonts w:ascii="Arial" w:cs="Arial" w:eastAsia="Arial" w:hAnsi="Arial"/>
                <w:sz w:val="14"/>
                <w:szCs w:val="14"/>
                <w:b w:val="1"/>
                <w:bCs w:val="1"/>
                <w:color w:val="auto"/>
              </w:rPr>
              <w:t>March 31, 2010</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5320" w:type="dxa"/>
            <w:vAlign w:val="bottom"/>
            <w:gridSpan w:val="4"/>
          </w:tcPr>
          <w:p>
            <w:pPr>
              <w:spacing w:after="0"/>
              <w:rPr>
                <w:sz w:val="20"/>
                <w:szCs w:val="20"/>
                <w:color w:val="auto"/>
              </w:rPr>
            </w:pPr>
            <w:r>
              <w:rPr>
                <w:rFonts w:ascii="Arial" w:cs="Arial" w:eastAsia="Arial" w:hAnsi="Arial"/>
                <w:sz w:val="14"/>
                <w:szCs w:val="14"/>
                <w:b w:val="1"/>
                <w:bCs w:val="1"/>
                <w:color w:val="auto"/>
              </w:rPr>
              <w:t>December 31, 2009</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January 15, 2010, the Company entered into an intellectual property asset purchase and license agreement with Winphoria, Inc. ("Winphoria") and Motorola, Inc. ("Motorola") to purchase certain of Winphoria's software code and related patents and licensed certain other related intellectual property from Winphoria and Motorola. The purchase price included an initial payment of $2.0 million and future potential royalty payments dependent upon future sales of certain of the Company's products over the next five to seven years that include the Winphoria technology that was purchased or licensed. The identifiable intangible assets acquired were recorded as intellectual property and will be amortized on a straight-line basis over five years, the expected useful life of the technology. This identifiable intangible asset is included as a component of Intangible assets in the Company's condensed consolidated balance sheet at March 31, 2010.</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Amortization expense related to intangible assets was approximately $138,000 and $96,000 in the three months ended March 31, 2010 and 2009,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March 31, 2010 is as follows (in thousands):</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Goodwill is recorded when the consideration in a business combination exceeds the fair value of net tangible and identifiable intangible assets acquired. The changes in the carrying amounts of goodwill during the three months ended March 31, 2010 and 2009 are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8,159</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8,131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6"/>
              </w:rPr>
              <w:t>Foreign currency translation adjustment</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March 31:</w:t>
            </w:r>
          </w:p>
        </w:tc>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06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(3,106)</w:t>
            </w: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(3,106)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20" w:type="dxa"/>
            <w:vAlign w:val="bottom"/>
            <w:vMerge w:val="restart"/>
          </w:tcPr>
          <w:p>
            <w:pPr>
              <w:jc w:val="right"/>
              <w:ind w:right="1392"/>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March 31, 2010 and December 31, 2009 consist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Royalties</w:t>
            </w:r>
          </w:p>
        </w:tc>
        <w:tc>
          <w:tcPr>
            <w:tcW w:w="16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1,039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Sales taxes payable</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2,278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216"/>
        </w:trPr>
        <w:tc>
          <w:tcPr>
            <w:tcW w:w="48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19,292</w:t>
            </w:r>
          </w:p>
        </w:tc>
        <w:tc>
          <w:tcPr>
            <w:tcW w:w="160" w:type="dxa"/>
            <w:vAlign w:val="bottom"/>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ACCRUAL</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three months ended March 31, 2009, the Company recorded restructuring expenses aggregating $2.0 million related to headcount initiatives implemented as part of the Company's efforts to right-size the business to align with market opportunities while managing costs to position Sonus for profitable growth. The Company recorded $0.9 million of severance and related expenses for its January 9, 2009 restructuring initiative, which reduced the Company's workforce by approximately 40 people, or 4% of employees worldwide. The Company recorded $1.1 million of severance and related expenses for its March 10, 2009 restructuring initiative, which further reduced the Company's workforce by approximately 60 people, or 6% of employees worldwide.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expects to complete the payments related to these initiatives in the second quarter of fiscal 2010.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these initiatives during the three months ended March 31, 2010 is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6"/>
              <w:spacing w:after="0"/>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4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Cash</w:t>
            </w: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payments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2007 Stock Incentive Plan, as Amended (the "2007 Plan"), provides for the award of options to purchase the Company's common stock ("stock options"), stock appreciation rights, restricted common stock ("restricted stock"), performance-based share awards, restricted stock units and other stock-based awards to employees, officers, directors (including those directors who are not employees or officers of the Company), consultants and advisors of the Company and its subsidiaries.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three months ended March 31, 2010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Intrinsic Value</w:t>
            </w: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24,081,565</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569,500</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(32,969)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(223,493)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(1,555,522)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4420" w:type="dxa"/>
            <w:vAlign w:val="bottom"/>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424"/>
        </w:trPr>
        <w:tc>
          <w:tcPr>
            <w:tcW w:w="4420" w:type="dxa"/>
            <w:vAlign w:val="bottom"/>
            <w:gridSpan w:val="2"/>
          </w:tcPr>
          <w:p>
            <w:pPr>
              <w:spacing w:after="0"/>
              <w:rPr>
                <w:sz w:val="20"/>
                <w:szCs w:val="20"/>
                <w:color w:val="auto"/>
              </w:rPr>
            </w:pPr>
            <w:r>
              <w:rPr>
                <w:rFonts w:ascii="Arial" w:cs="Arial" w:eastAsia="Arial" w:hAnsi="Arial"/>
                <w:sz w:val="18"/>
                <w:szCs w:val="18"/>
                <w:color w:val="auto"/>
              </w:rPr>
              <w:t>Outstanding at March 31, 2010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22,839,081</w:t>
            </w:r>
          </w:p>
        </w:tc>
        <w:tc>
          <w:tcPr>
            <w:tcW w:w="16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2,335</w:t>
            </w:r>
          </w:p>
        </w:tc>
        <w:tc>
          <w:tcPr>
            <w:tcW w:w="160" w:type="dxa"/>
            <w:vAlign w:val="bottom"/>
          </w:tcPr>
          <w:p>
            <w:pPr>
              <w:spacing w:after="0"/>
              <w:rPr>
                <w:sz w:val="24"/>
                <w:szCs w:val="24"/>
                <w:color w:val="auto"/>
              </w:rPr>
            </w:pPr>
          </w:p>
        </w:tc>
      </w:tr>
      <w:tr>
        <w:trPr>
          <w:trHeight w:val="29"/>
        </w:trPr>
        <w:tc>
          <w:tcPr>
            <w:tcW w:w="4420" w:type="dxa"/>
            <w:vAlign w:val="bottom"/>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March 31, 2010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22,478,559</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60" w:type="dxa"/>
            <w:vAlign w:val="bottom"/>
            <w:shd w:val="clear" w:color="auto" w:fill="CCEEFF"/>
          </w:tcPr>
          <w:p>
            <w:pPr>
              <w:spacing w:after="0"/>
              <w:rPr>
                <w:sz w:val="24"/>
                <w:szCs w:val="24"/>
                <w:color w:val="auto"/>
              </w:rPr>
            </w:pPr>
          </w:p>
        </w:tc>
      </w:tr>
      <w:tr>
        <w:trPr>
          <w:trHeight w:val="430"/>
        </w:trPr>
        <w:tc>
          <w:tcPr>
            <w:tcW w:w="4420" w:type="dxa"/>
            <w:vAlign w:val="bottom"/>
            <w:gridSpan w:val="2"/>
          </w:tcPr>
          <w:p>
            <w:pPr>
              <w:spacing w:after="0"/>
              <w:rPr>
                <w:sz w:val="20"/>
                <w:szCs w:val="20"/>
                <w:color w:val="auto"/>
              </w:rPr>
            </w:pPr>
            <w:r>
              <w:rPr>
                <w:rFonts w:ascii="Arial" w:cs="Arial" w:eastAsia="Arial" w:hAnsi="Arial"/>
                <w:sz w:val="18"/>
                <w:szCs w:val="18"/>
                <w:color w:val="auto"/>
              </w:rPr>
              <w:t>Exercisable at March 31, 2010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18,097,320</w:t>
            </w:r>
          </w:p>
        </w:tc>
        <w:tc>
          <w:tcPr>
            <w:tcW w:w="16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24"/>
                <w:szCs w:val="24"/>
                <w:color w:val="auto"/>
              </w:rPr>
            </w:pPr>
          </w:p>
        </w:tc>
      </w:tr>
    </w:tbl>
    <w:p>
      <w:pPr>
        <w:spacing w:after="0" w:line="21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grant date fair values of stock options granted in the three months ended March 31, 2010 were estimated using the Black-Scholes valuation model with the following assumptions: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Expected life (years)</w:t>
            </w:r>
          </w:p>
        </w:tc>
        <w:tc>
          <w:tcPr>
            <w:tcW w:w="2740" w:type="dxa"/>
            <w:vAlign w:val="bottom"/>
          </w:tcPr>
          <w:p>
            <w:pPr>
              <w:jc w:val="right"/>
              <w:ind w:right="72"/>
              <w:spacing w:after="0"/>
              <w:rPr>
                <w:sz w:val="20"/>
                <w:szCs w:val="20"/>
                <w:color w:val="auto"/>
              </w:rPr>
            </w:pPr>
            <w:r>
              <w:rPr>
                <w:rFonts w:ascii="Arial" w:cs="Arial" w:eastAsia="Arial" w:hAnsi="Arial"/>
                <w:sz w:val="18"/>
                <w:szCs w:val="18"/>
                <w:color w:val="auto"/>
              </w:rPr>
              <w:t>4.5</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weighted average grant date fair value of stock options granted during the three months ended March 31, 2010 was $1.23.</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total intrinsic values of stock options exercised during the three months ended March 31, 2010 and 2009 were approximately $41,000 and $17,000, respectively. The Company received cash from stock option exercises of approximately $35,000 and $1,000 in the three months ended March 31, 2010 and 2009, respectively.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three months ended March 31, 2010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4860" w:type="dxa"/>
            <w:vAlign w:val="bottom"/>
          </w:tcPr>
          <w:p>
            <w:pPr>
              <w:spacing w:after="0"/>
              <w:rPr>
                <w:sz w:val="14"/>
                <w:szCs w:val="14"/>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3,444,496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(199,546)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(221,809)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r>
      <w:tr>
        <w:trPr>
          <w:trHeight w:val="21"/>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March 31,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3,208,141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r>
      <w:tr>
        <w:trPr>
          <w:trHeight w:val="27"/>
        </w:trPr>
        <w:tc>
          <w:tcPr>
            <w:tcW w:w="4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fair value of shares of restricted stock that vested during the three months ended March 31, 2010 was $1.1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three months ended March 31, 2010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4980" w:type="dxa"/>
            <w:vAlign w:val="bottom"/>
          </w:tcPr>
          <w:p>
            <w:pPr>
              <w:spacing w:after="0"/>
              <w:rPr>
                <w:sz w:val="14"/>
                <w:szCs w:val="1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March 31, 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r>
      <w:tr>
        <w:trPr>
          <w:trHeight w:val="27"/>
        </w:trPr>
        <w:tc>
          <w:tcPr>
            <w:tcW w:w="49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There are 241,167 shares of the Company's common stock that are not included in the table above, as the Company has not finalized the performance conditions for these awards. The Company will begin to record stock-based compensation expense at the time that the performance conditions are defined and when it becomes probable that the respective performance conditions will be achieved.</w:t>
      </w:r>
    </w:p>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months ended March 31, 2010 and 2009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1,044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w:t>
            </w:r>
          </w:p>
        </w:tc>
      </w:tr>
      <w:tr>
        <w:trPr>
          <w:trHeight w:val="27"/>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r>
      <w:tr>
        <w:trPr>
          <w:trHeight w:val="216"/>
        </w:trPr>
        <w:tc>
          <w:tcPr>
            <w:tcW w:w="5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160" w:type="dxa"/>
            <w:vAlign w:val="bottom"/>
          </w:tcPr>
          <w:p>
            <w:pPr>
              <w:spacing w:after="0"/>
              <w:rPr>
                <w:sz w:val="18"/>
                <w:szCs w:val="18"/>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included $0.1 million of stock-based compensation in inventory at both March 31, 2010 and December 31, 2009.</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There is no income tax benefit for employee stock-based compensation expense for the three months ended March 31, 2010 and 2009 due to the valuation allowance recorded.</w:t>
      </w:r>
    </w:p>
    <w:p>
      <w:pPr>
        <w:spacing w:after="0" w:line="186"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At March 31, 2010, there was $17.8 million, net of expected forfeitures, of unrecognized stock-based compensation expense related to unvested stock option and restricted stock awards, as well as performance-based stock awards for which the Company believes it is probable the performance conditions will be satisfied. This expense is expected to be recognized over a weighted average period of approximately 2.5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MAJOR CUSTOMERS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customers each contributed 10% or more of the Company's revenue in at least one of the three month periods ended March 31, 2010 and 2009: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40" w:type="dxa"/>
            <w:vAlign w:val="bottom"/>
            <w:gridSpan w:val="5"/>
          </w:tcPr>
          <w:p>
            <w:pPr>
              <w:jc w:val="center"/>
              <w:ind w:right="2440"/>
              <w:spacing w:after="0"/>
              <w:rPr>
                <w:sz w:val="20"/>
                <w:szCs w:val="20"/>
                <w:color w:val="auto"/>
              </w:rPr>
            </w:pPr>
            <w:r>
              <w:rPr>
                <w:rFonts w:ascii="Arial" w:cs="Arial" w:eastAsia="Arial" w:hAnsi="Arial"/>
                <w:sz w:val="14"/>
                <w:szCs w:val="14"/>
                <w:b w:val="1"/>
                <w:bCs w:val="1"/>
                <w:color w:val="auto"/>
                <w:w w:val="87"/>
              </w:rPr>
              <w:t>Three months ended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Customer</w:t>
            </w:r>
          </w:p>
        </w:tc>
        <w:tc>
          <w:tcPr>
            <w:tcW w:w="2240" w:type="dxa"/>
            <w:vAlign w:val="bottom"/>
          </w:tcPr>
          <w:p>
            <w:pPr>
              <w:spacing w:after="0"/>
              <w:rPr>
                <w:sz w:val="14"/>
                <w:szCs w:val="14"/>
                <w:color w:val="auto"/>
              </w:rPr>
            </w:pPr>
          </w:p>
        </w:tc>
        <w:tc>
          <w:tcPr>
            <w:tcW w:w="3640" w:type="dxa"/>
            <w:vAlign w:val="bottom"/>
            <w:gridSpan w:val="5"/>
          </w:tcPr>
          <w:p>
            <w:pPr>
              <w:jc w:val="center"/>
              <w:ind w:right="244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240" w:type="dxa"/>
            <w:vAlign w:val="bottom"/>
            <w:gridSpan w:val="5"/>
            <w:vMerge w:val="continue"/>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Borders>
              <w:top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5"/>
              </w:rPr>
              <w:t>AT&amp;T</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KDDI Corporation</w:t>
            </w:r>
          </w:p>
        </w:tc>
        <w:tc>
          <w:tcPr>
            <w:tcW w:w="300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920" w:type="dxa"/>
            <w:vAlign w:val="bottom"/>
            <w:tcBorders>
              <w:bottom w:val="single" w:sz="8" w:color="auto"/>
            </w:tcBorders>
            <w:gridSpan w:val="2"/>
          </w:tcPr>
          <w:p>
            <w:pPr>
              <w:spacing w:after="0"/>
              <w:rPr>
                <w:sz w:val="8"/>
                <w:szCs w:val="8"/>
                <w:color w:val="auto"/>
              </w:rPr>
            </w:pPr>
          </w:p>
        </w:tc>
        <w:tc>
          <w:tcPr>
            <w:tcW w:w="8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2780" w:type="dxa"/>
            <w:vAlign w:val="bottom"/>
            <w:gridSpan w:val="3"/>
          </w:tcPr>
          <w:p>
            <w:pPr>
              <w:ind w:left="2300"/>
              <w:spacing w:after="0"/>
              <w:rPr>
                <w:sz w:val="20"/>
                <w:szCs w:val="20"/>
                <w:color w:val="auto"/>
              </w:rPr>
            </w:pPr>
            <w:r>
              <w:rPr>
                <w:rFonts w:ascii="Arial" w:cs="Arial" w:eastAsia="Arial" w:hAnsi="Arial"/>
                <w:sz w:val="18"/>
                <w:szCs w:val="18"/>
                <w:color w:val="auto"/>
              </w:rPr>
              <w:t>*</w:t>
            </w:r>
          </w:p>
        </w:tc>
        <w:tc>
          <w:tcPr>
            <w:tcW w:w="2760" w:type="dxa"/>
            <w:vAlign w:val="bottom"/>
            <w:gridSpan w:val="3"/>
          </w:tcPr>
          <w:p>
            <w:pPr>
              <w:ind w:left="60"/>
              <w:spacing w:after="0"/>
              <w:rPr>
                <w:sz w:val="20"/>
                <w:szCs w:val="20"/>
                <w:color w:val="auto"/>
              </w:rPr>
            </w:pPr>
            <w:r>
              <w:rPr>
                <w:rFonts w:ascii="Arial" w:cs="Arial" w:eastAsia="Arial" w:hAnsi="Arial"/>
                <w:sz w:val="18"/>
                <w:szCs w:val="18"/>
                <w:color w:val="auto"/>
                <w:w w:val="87"/>
              </w:rPr>
              <w:t>Represents less than 10% of revenue.</w:t>
            </w:r>
          </w:p>
        </w:tc>
        <w:tc>
          <w:tcPr>
            <w:tcW w:w="2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jc w:val="right"/>
              <w:ind w:right="1892"/>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MAJOR CUSTOMERS (Continued)</w:t>
      </w:r>
    </w:p>
    <w:p>
      <w:pPr>
        <w:spacing w:after="0" w:line="231"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At March 31, 2010, two customers each accounted for 10% or more of the Company's accounts receivable balance, representing approximately 31% in the aggregate of total accounts receivable. At December 31, 2009, there were no customers that accounted for 10% or more of the Company's accounts receivable balance. The Company performs ongoing credit evaluations of its customers and generally does not require collateral on accounts receivable. The Company maintains an allowance for doubtful accounts and such losses have historically been within management's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Company's provision for income taxes of $146,000 and $26,000 for the three months ended March 31, 2010 and 2009, respectively, reflect the Company's estimates of the effective rates expected to be applicable for the respective full fiscal years, adjusted for any discrete events, which are recorded in the period that they occur. These estimates are reevaluated each quarter based on the Company's estimated tax expense for the full fiscal year.</w:t>
      </w:r>
    </w:p>
    <w:p>
      <w:pPr>
        <w:spacing w:after="0" w:line="16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During the fourth quarter of fiscal 2008, the Company concluded that there was insufficient positive evidence to overcome the more objective negative evidence related to its cumulative losses and other factors. Accordingly, the Company recorded an increase to its valuation allowance on substantially all of its domestic net deferred tax assets. The estimated annual effective rate for the year ending December 31, 2010 does not include any benefit for projected domestic losses as the Company continues to conclude that a valuation allowance for its domestic losses is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231"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The Company's classification of revenue by geographic area is determined by the location where the product is shipped to or where the services are performed. The following table summarizes revenue by geographic area as a percentage of total revenue for the three months ended March 31, 2010 and 2009:</w:t>
      </w:r>
    </w:p>
    <w:p>
      <w:pPr>
        <w:spacing w:after="0" w:line="10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Three months ended</w:t>
            </w:r>
          </w:p>
        </w:tc>
      </w:tr>
      <w:tr>
        <w:trPr>
          <w:trHeight w:val="161"/>
        </w:trPr>
        <w:tc>
          <w:tcPr>
            <w:tcW w:w="2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4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Japan</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7"/>
        </w:trPr>
        <w:tc>
          <w:tcPr>
            <w:tcW w:w="2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840" w:hanging="550"/>
        <w:spacing w:after="0"/>
        <w:tabs>
          <w:tab w:leader="none" w:pos="2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less than 1% of revenue.</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Due to the uneven ordering patterns of customers and the timing of project completions, the domestic and international components as a percentage of the Company's revenue fluctuate from quarter to quarter and year to year.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PARTIES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Company's President and Chief Executive Officer serves on the Board of Directors of Comverse Technology, Inc. ("Comverse"), a worldwide provider of software and systems. Comverse has several majority-owned subsidiaries, including Ulticom, Inc. and Verint Systems. All three companies are vendors of the Company. The Company had well-established and ongoing business relationships with these vendors prior to the appointment of Dr. Nottenburg as the Company's President and Chief Executive Officer effective June 13, 2008. Costs incurred for purchases from these companies, in the aggregate, were $1.3 million and $2.2 million for the three months ended March 31, 2010 and 2009, respectively. At March 31, 2010 and December 31, 2009, the Company had aggregate outstanding accounts payable balances of $0.1 million and $0.2 million, respectively, to these companies.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date of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purchases to make additional purchases in the after market. The claims against the Company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the Company, have been transferred to a single federal judge for purposes of coordinated case management.</w:t>
      </w:r>
    </w:p>
    <w:p>
      <w:pPr>
        <w:spacing w:after="0" w:line="18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On July 15, 2001,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District Court certified the class in a case against certain defendants. On February 15, 2005, the District Court preliminarily approved the terms of the proposed settlement contingent on modifications to the proposed settlement.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 (Continued)</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August 31, 2005, the District Court approved the terms of the proposed settlement, as modified. On April 24, 2006, the District Court held a hearing on a motion to approve the final settlement and took the matter under advisement.</w:t>
      </w:r>
    </w:p>
    <w:p>
      <w:pPr>
        <w:spacing w:after="0" w:line="18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December 5, 2006, the United States Court of Appeals for the Second Circuit reversed the District Court's October 2004 order certifying a class. On June 25, 2007, the District Court entered an order terminating the settlement. On November 13, 2007, the issuer defendants in certain designated "focus cases" filed a motion to dismiss the second consolidated amended class action complaints that were filed in those cases. On March 26, 2008, the District Court issued an Opinion and Order denying, in large part, the motions to dismiss the amended complaints in the "focus cases." On April 2, 2009, the plaintiffs filed a motion for preliminary approval of a new proposed settlement between the plaintiffs, the underwriter defendants, the issuer defendants and the insurers for the issuer defendants. On June 10, 2009, the District Court issued an opinion preliminarily approving the proposed settlement, and scheduling a settlement fairness hearing for September 10, 2009.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District Court issued an opinion granting the plaintiffs' motion for final approval of the settlement, approval of the plan of distribution of the settlement fund and certification of the settlement classes. Various notices of appeal of the District Court's October 5, 2009 order have been filed in the Court of Appeals. An Order and Final Judgment was entered on January 14, 2010. Due to the inherent uncertainties of litigation, the Company is unable to determine the ultimate outcome or potential range of loss, if any.</w:t>
      </w:r>
    </w:p>
    <w:p>
      <w:pPr>
        <w:spacing w:after="0" w:line="17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October 5, 2007, Vanessa Simmonds, a purported shareholder, filed a complaint in the United States District Court for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Between October 2, 2007 and October 12, 2007, the plaintiff also filed fifty-four separate lawsuits naming 54 additional issuers as nominal defendants and ten underwriters as defendants. These 54 cases, along with the complaint filed by the plaintiff with respect to Sonus' IPO, were reassigned to a single federal judge in the United States District Court for the Western District of Washington, as related cases. On March 12, 2009, the District Court entered its judgment and granted the moving issuers' motion to dismiss, finding plaintiff's demand letters were insufficient to put the issuers on notice of the claims asserted against them. The District Court also granted the underwriters' motion to dismiss as to the claims arising from the non-moving issuers' IPOs, finding plaintiff's claims were time-barred under the applicable statute of limitations.</w:t>
      </w:r>
    </w:p>
    <w:p>
      <w:pPr>
        <w:spacing w:after="0" w:line="18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March 31, 2009, plaintiff-appellant appealed the judgment to the United States Court of Appeals for the Ninth Circuit. The underwriter defendants filed a cross-appeal in each of the cases wherein the issuers moved for dismissal (including the appeal relating to the Sonus IPO). Briefing before the United States Court of Appeals for the Ninth Circuit was complete as of November 17,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2009. The Company does not currently expect that this claim will have a material impact on its financial position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addition, we are often a party to disputes and legal proceedings that we consider routine and incidental to our business. Management does not expect the results of any of these actions to have a material adverse effect on our business, results of operations or financial condition.</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"could", "expects", "may", "anticipates", "believes", "intends", "estimates", "plans", "envisions",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factors set forth in our Annual Report on Form 10-K for the year ended December 31, 2009 and the additional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Our voice infrastructure solutions allow wireline and wireless operators to build converged voice over IP ("VoIP") networks. Our products are built on the same distributed, IP-based principles embraced by the IP Multimedia Subsystem ("IMS") architecture, as defined by the Third Generation Partnership Project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we are uniquely positioned to offer an intuitive evolution from a distributed softswitch architecture to IMS with little or no impact on existing Sonus equipment or services. Additionally, the Sonus all-IP architecture is positioned to take advantage of wireless long-term evolution ("LTE") implementations as they emerge. Our investment in product development is focused on delivering high-growth solutions that leverage these IMS and LTE architectures.</w:t>
      </w:r>
    </w:p>
    <w:p>
      <w:pPr>
        <w:spacing w:after="0" w:line="1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reported losses from operations of $0.5 million and $17.8 million for the three months ended March 31, 2010 and 2009, respectively. We reported net losses of $0.1 million and $16.2 million for the three months ended March 31, 2010 and 2009, respectively.</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higher revenue in the current year period was a significant factor in our lower reported net loss for the three months ended March 31, 2010 compared to the three months ended March 31, 2009. This higher revenue resulted in higher gross profit of $38.2 million in the three months ended March 31, 2010, compared to $23.2 million in the same prior year quarter.</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Operating expenses were $38.7 million in the three months ended March 31, 2010. This amount compares to $41.0 million, including $2.0 million of restructuring expense, in the three months ended March 31, 2009. Lower research and development expenses and general and administrative expenses in the three months ended March 31, 2010 were partially offset by higher sales and marketing expenses. These higher sales and marketing expenses were primarily attributable to higher sales commissions resulting from our higher revenue in the current year quarter. Our personnel-related costs, with the exception of sales commissions which are a function of our revenue levels, have been reduced primarily as a result of our fiscal 2009 and 2008 headcount restructuring initiatives (the "restructuring initiatives"), including two such restructuring initiatives in the three months ended March 31, 2009. As a result of these restructuring initiatives, we reduced our total headcount by approximately 240 employees, or approximately 25% of our total worldwide workforce. However, while we have eliminated jobs in some areas of the business, we continue to hire for positions in certain geographies, such as for our development center in India, to support our business plans.</w:t>
      </w:r>
    </w:p>
    <w:p>
      <w:pPr>
        <w:spacing w:after="0" w:line="17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our technology leadership to attract and retain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embracing the principles outlined by 3GPP and delivering the industry's most advanced IMS-ready product suite;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specific market segments, such as wireless operators;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solutions to address emerging IP-based markets, such as network border switching;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global sales, marketing, support and distribution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actively contributing to the standards definition and adoption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pursuing strategic acquisitions and alliances.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a complete discussion of our critical accounting policies and estimates, please refer to our Annual Report on Form 10-K for the fiscal year ended December 31, 2009, which was filed with the SEC on February 25, 2010. There were no significant changes to our critical accounting policies during the three months ended March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8"/>
          <w:szCs w:val="18"/>
          <w:color w:val="auto"/>
        </w:rPr>
        <w:t>Revenue for the three months ended March 31, 2010 and 2009 was as follows (in thousands, except percentages):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4"/>
          </w:tcPr>
          <w:p>
            <w:pPr>
              <w:jc w:val="right"/>
              <w:ind w:right="177"/>
              <w:spacing w:after="0"/>
              <w:rPr>
                <w:sz w:val="20"/>
                <w:szCs w:val="20"/>
                <w:color w:val="auto"/>
              </w:rPr>
            </w:pPr>
            <w:r>
              <w:rPr>
                <w:rFonts w:ascii="Arial" w:cs="Arial" w:eastAsia="Arial" w:hAnsi="Arial"/>
                <w:sz w:val="14"/>
                <w:szCs w:val="14"/>
                <w:b w:val="1"/>
                <w:bCs w:val="1"/>
                <w:color w:val="auto"/>
                <w:w w:val="90"/>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360"/>
              <w:spacing w:after="0"/>
              <w:rPr>
                <w:sz w:val="20"/>
                <w:szCs w:val="20"/>
                <w:color w:val="auto"/>
              </w:rPr>
            </w:pPr>
            <w:r>
              <w:rPr>
                <w:rFonts w:ascii="Arial" w:cs="Arial" w:eastAsia="Arial" w:hAnsi="Arial"/>
                <w:sz w:val="14"/>
                <w:szCs w:val="14"/>
                <w:b w:val="1"/>
                <w:bCs w:val="1"/>
                <w:color w:val="auto"/>
                <w:w w:val="91"/>
              </w:rPr>
              <w:t>Increase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from prior year</w:t>
            </w:r>
          </w:p>
        </w:tc>
      </w:tr>
      <w:tr>
        <w:trPr>
          <w:trHeight w:val="142"/>
        </w:trPr>
        <w:tc>
          <w:tcPr>
            <w:tcW w:w="33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19,403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21,609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r>
      <w:tr>
        <w:trPr>
          <w:trHeight w:val="21"/>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41,012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r>
      <w:tr>
        <w:trPr>
          <w:trHeight w:val="27"/>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 xml:space="preserve">Product revenue is comprised of sales of our voice infrastructure products, including our GSX9000 and GSX4000 Open Services Switches, NBS Network Border Switch, PSX Policy &amp; Routing Server, SGX Signaling Gateway, ASX Call Feature Server, IMX Service Delivery Platform, Sonus Insight Management System, ASX Access Gateway Control Function, the Insight </w:t>
      </w:r>
      <w:r>
        <w:rPr>
          <w:rFonts w:ascii="Arial" w:cs="Arial" w:eastAsia="Arial" w:hAnsi="Arial"/>
          <w:sz w:val="16"/>
          <w:szCs w:val="16"/>
          <w:i w:val="1"/>
          <w:iCs w:val="1"/>
          <w:color w:val="auto"/>
        </w:rPr>
        <w:t>x</w:t>
      </w:r>
      <w:r>
        <w:rPr>
          <w:rFonts w:ascii="Arial" w:cs="Arial" w:eastAsia="Arial" w:hAnsi="Arial"/>
          <w:sz w:val="16"/>
          <w:szCs w:val="16"/>
          <w:color w:val="auto"/>
        </w:rPr>
        <w:t>Authority Provisioning System and related product offerings.</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One of the primary factors contributing to the increase in product revenue in the three months ended March 31, 2010 compared to the three months ended March 31, 2009 is the low revenue in the prior year quarter (our lowest in several years), which was due primarily to declines in the global economy which resulted in reduced telecommunications spending and reduced demand for our products and services. The increase in product revenue primarily resulted from the completion of a number of customer projects for which the revenue recognition criteria were met in the three months ended March 31, 2010, resulting in approximately $14 million of revenue. Six of these projects were related to deployments for new customers, which contributed approximately $9 million of product revenue, with the remaining $5 million in product revenue related to longer-term projects (generally, greater than one year) for existing customers. The remaining increase is attributable to an increase in product revenue from AT&amp;T Inc. ("AT&amp;T").</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Beginning in the fourth quarter of fiscal 2008, we concluded that we no longer had sufficient evidence of VSOE on maintenance services for AT&amp;T, one of our largest customers. Therefore, all</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revenue related to multiple-element arrangements for this customer entered into during that quarter and subsequent periods is being recognized ratably over the maintenance period. Revenue recognition on multiple-element arrangements with AT&amp;T will begin when the only undelivered element of the arrangement is maintenance. Beginning in the fourth quarter of 2008, for orders from AT&amp;T that contain bundled product and maintenance, we have allocated a fixed percentage (which represents the maintenance renewal rate for our largest customers for which we have VSOE) of the arrangement fee to service revenue with the residual amount classified as product revenue. We have and will continue to apply this methodology on a consistent basis. Product revenue recognized from AT&amp;T increased approximately $3 million in the three months ended March 31, 2010, compared to the three months ended March 31, 2009, primarily due to fiscal 2010 orders being recognized as revenue over a shorter period than orders placed in fiscal 2009.</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Service revenue is primarily comprised of hardware and software maintenance and support ("maintenance revenue") and network design, installation and other professional services ("professional services revenue"). Higher maintenance revenue accounted for $1.8 million of the increase in service revenue in the three months ended March 31, 2010 compared to the same prior year quarter. Of this amount, $1.2 million represents maintenance revenue from new customers and $1.2 million relates to higher maintenance revenue from AT&amp;T, primarily due to the shorter revenue recognition period discussed above. These increases were partially offset by $0.6 million of decreases in maintenance revenue, principally related to the decommissioning of customer equipment or termination of maintenance agreements. Higher professional services revenue accounted for $2.7 million of the increase in service revenue in the three months ended March 31, 2010, compared to the same quarter of the prior year. Of this amount, $2.3 million relates to professional services for the previously described new customer deployments completed in the quarter and $0.4 million represents additional professional services provided to our existing customer base.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currently believe that our fiscal 2010 revenue will range from flat to low single-digit percentage growth compared to our fiscal 2009 revenue.</w:t>
      </w:r>
    </w:p>
    <w:p>
      <w:pPr>
        <w:spacing w:after="0" w:line="248"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AT&amp;T and KDDI Corporation contributed approximately 15% and 11%, respectively, of our revenue in the three months ended March 31, 2010. AT&amp;T contributed approximately 11% of our revenue in the three months ended March 31, 2009. There were no other customers that contributed 10% or more of our revenue in the three months ended March 31, 2010 or 2009.</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International revenue was approximately 42% and 29% of revenue in the three months ended March 31, 2010 and 2009, respectively. Due to the uneven ordering patterns of customers and the timing of project completions, we expect that the domestic and international components as a percentage of our revenue will fluctuate from quarter to quarter and year to year.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deferred product revenue was $36.9 million and $47.7 million at March 31, 2010 and December 31, 2009, respectively, and our deferred service revenue was $46.7 million and $52.3 million at March 31, 2010 and December 31, 2009, respectively. Our deferred revenue balance may fluctuate as a result of the timing of revenue recognition, customer payments, maintenance contract renewals, contractual billing rights and maintenance revenue deferrals included in multiple element arrangements.</w:t>
      </w:r>
    </w:p>
    <w:p>
      <w:pPr>
        <w:spacing w:after="0" w:line="197"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Cost of Revenue/Gross Profit. </w:t>
      </w:r>
      <w:r>
        <w:rPr>
          <w:rFonts w:ascii="Arial" w:cs="Arial" w:eastAsia="Arial" w:hAnsi="Arial"/>
          <w:sz w:val="15"/>
          <w:szCs w:val="15"/>
          <w:color w:val="auto"/>
        </w:rPr>
        <w:t>Our cost of revenue consists primarily of amounts paid to third-party manufacturers for purchased materials and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royalties, manufacturing and professional services personnel and related costs and inventory obsolescence. Our cost of revenue and gross profit as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percentage of revenue ("gross margin") for the three months ended March 31, 2010 and 2009 were as follows (in thousands, except percentages):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60" w:type="dxa"/>
            <w:vAlign w:val="bottom"/>
          </w:tcPr>
          <w:p>
            <w:pPr>
              <w:spacing w:after="0"/>
              <w:rPr>
                <w:sz w:val="14"/>
                <w:szCs w:val="14"/>
                <w:color w:val="auto"/>
              </w:rPr>
            </w:pPr>
          </w:p>
        </w:tc>
        <w:tc>
          <w:tcPr>
            <w:tcW w:w="800" w:type="dxa"/>
            <w:vAlign w:val="bottom"/>
            <w:gridSpan w:val="3"/>
          </w:tcPr>
          <w:p>
            <w:pPr>
              <w:ind w:left="300"/>
              <w:spacing w:after="0"/>
              <w:rPr>
                <w:sz w:val="20"/>
                <w:szCs w:val="20"/>
                <w:color w:val="auto"/>
              </w:rPr>
            </w:pPr>
            <w:r>
              <w:rPr>
                <w:rFonts w:ascii="Arial" w:cs="Arial" w:eastAsia="Arial" w:hAnsi="Arial"/>
                <w:sz w:val="14"/>
                <w:szCs w:val="14"/>
                <w:b w:val="1"/>
                <w:bCs w:val="1"/>
                <w:color w:val="auto"/>
                <w:w w:val="84"/>
              </w:rPr>
              <w:t>Increase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from prior year</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12,301</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6,134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6,167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100.5%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11,663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40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24,230</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17,797</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300" w:type="dxa"/>
        <w:tblCellMar>
          <w:top w:w="0" w:type="dxa"/>
          <w:left w:w="0" w:type="dxa"/>
          <w:bottom w:w="0" w:type="dxa"/>
          <w:right w:w="0" w:type="dxa"/>
        </w:tblCellMar>
      </w:tblPr>
      <w:tr>
        <w:trPr>
          <w:trHeight w:val="412"/>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Product</w:t>
            </w:r>
          </w:p>
        </w:tc>
        <w:tc>
          <w:tcPr>
            <w:tcW w:w="1840" w:type="dxa"/>
            <w:vAlign w:val="bottom"/>
          </w:tcPr>
          <w:p>
            <w:pPr>
              <w:jc w:val="right"/>
              <w:ind w:right="152"/>
              <w:spacing w:after="0"/>
              <w:rPr>
                <w:sz w:val="20"/>
                <w:szCs w:val="20"/>
                <w:color w:val="auto"/>
              </w:rPr>
            </w:pPr>
            <w:r>
              <w:rPr>
                <w:rFonts w:ascii="Arial" w:cs="Arial" w:eastAsia="Arial" w:hAnsi="Arial"/>
                <w:sz w:val="18"/>
                <w:szCs w:val="18"/>
                <w:color w:val="auto"/>
              </w:rPr>
              <w:t>66.1%</w:t>
            </w:r>
          </w:p>
        </w:tc>
        <w:tc>
          <w:tcPr>
            <w:tcW w:w="2280" w:type="dxa"/>
            <w:vAlign w:val="bottom"/>
          </w:tcPr>
          <w:p>
            <w:pPr>
              <w:jc w:val="right"/>
              <w:ind w:right="1492"/>
              <w:spacing w:after="0"/>
              <w:rPr>
                <w:sz w:val="20"/>
                <w:szCs w:val="20"/>
                <w:color w:val="auto"/>
              </w:rPr>
            </w:pPr>
            <w:r>
              <w:rPr>
                <w:rFonts w:ascii="Arial" w:cs="Arial" w:eastAsia="Arial" w:hAnsi="Arial"/>
                <w:sz w:val="18"/>
                <w:szCs w:val="18"/>
                <w:color w:val="auto"/>
              </w:rPr>
              <w:t>68.4%</w:t>
            </w:r>
          </w:p>
        </w:tc>
      </w:tr>
      <w:tr>
        <w:trPr>
          <w:trHeight w:val="216"/>
        </w:trPr>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54.3%</w:t>
            </w:r>
          </w:p>
        </w:tc>
        <w:tc>
          <w:tcPr>
            <w:tcW w:w="2280" w:type="dxa"/>
            <w:vAlign w:val="bottom"/>
            <w:shd w:val="clear" w:color="auto" w:fill="CCEEFF"/>
          </w:tcPr>
          <w:p>
            <w:pPr>
              <w:jc w:val="right"/>
              <w:ind w:right="1492"/>
              <w:spacing w:after="0"/>
              <w:rPr>
                <w:sz w:val="20"/>
                <w:szCs w:val="20"/>
                <w:color w:val="auto"/>
              </w:rPr>
            </w:pPr>
            <w:r>
              <w:rPr>
                <w:rFonts w:ascii="Arial" w:cs="Arial" w:eastAsia="Arial" w:hAnsi="Arial"/>
                <w:sz w:val="18"/>
                <w:szCs w:val="18"/>
                <w:color w:val="auto"/>
              </w:rPr>
              <w:t>46.0%</w:t>
            </w:r>
          </w:p>
        </w:tc>
      </w:tr>
      <w:tr>
        <w:trPr>
          <w:trHeight w:val="222"/>
        </w:trPr>
        <w:tc>
          <w:tcPr>
            <w:tcW w:w="272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1840" w:type="dxa"/>
            <w:vAlign w:val="bottom"/>
          </w:tcPr>
          <w:p>
            <w:pPr>
              <w:jc w:val="right"/>
              <w:ind w:right="152"/>
              <w:spacing w:after="0"/>
              <w:rPr>
                <w:sz w:val="20"/>
                <w:szCs w:val="20"/>
                <w:color w:val="auto"/>
              </w:rPr>
            </w:pPr>
            <w:r>
              <w:rPr>
                <w:rFonts w:ascii="Arial" w:cs="Arial" w:eastAsia="Arial" w:hAnsi="Arial"/>
                <w:sz w:val="18"/>
                <w:szCs w:val="18"/>
                <w:color w:val="auto"/>
              </w:rPr>
              <w:t>61.2%</w:t>
            </w:r>
          </w:p>
        </w:tc>
        <w:tc>
          <w:tcPr>
            <w:tcW w:w="2280" w:type="dxa"/>
            <w:vAlign w:val="bottom"/>
          </w:tcPr>
          <w:p>
            <w:pPr>
              <w:jc w:val="right"/>
              <w:ind w:right="1492"/>
              <w:spacing w:after="0"/>
              <w:rPr>
                <w:sz w:val="20"/>
                <w:szCs w:val="20"/>
                <w:color w:val="auto"/>
              </w:rPr>
            </w:pPr>
            <w:r>
              <w:rPr>
                <w:rFonts w:ascii="Arial" w:cs="Arial" w:eastAsia="Arial" w:hAnsi="Arial"/>
                <w:sz w:val="18"/>
                <w:szCs w:val="18"/>
                <w:color w:val="auto"/>
              </w:rPr>
              <w:t>56.6%</w:t>
            </w:r>
          </w:p>
        </w:tc>
      </w:tr>
    </w:tbl>
    <w:p>
      <w:pPr>
        <w:spacing w:after="0" w:line="20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decrease in product gross margin in the three months ended March 31, 2010 compared to the three months ended March 31, 2009 was primarily due to changes in product and customer mix, which reduced our product gross margin by approximately 4 percentage points, partially offset by lower manufacturing-related costs, which contributed approximately 2 percentage points to our product gross margin. The increase in service gross margin in the three months ended March 31, 2010 compared to the same prior year quarter was due to our ability to leverage our higher service revenue against our primarily fixed cost base. Our service cost of revenue is relatively fixed in advance of any particular quarter and therefore, changes in service revenue will have a significant impact on service gross margins.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believe that our gross margin over time will remain within our long-term financial model of 58% to 62%.</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 Research and development expenses for the three months ended March 31, 2010 and 2009 were as follows (in thousands, except percentages):</w:t>
      </w:r>
    </w:p>
    <w:p>
      <w:pPr>
        <w:spacing w:after="0" w:line="177" w:lineRule="exact"/>
        <w:rPr>
          <w:sz w:val="20"/>
          <w:szCs w:val="20"/>
          <w:color w:val="auto"/>
        </w:rPr>
      </w:pPr>
    </w:p>
    <w:tbl>
      <w:tblPr>
        <w:tblLayout w:type="fixed"/>
        <w:tblInd w:w="46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tcPr>
          <w:p>
            <w:pPr>
              <w:jc w:val="center"/>
              <w:ind w:left="227"/>
              <w:spacing w:after="0"/>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227"/>
              <w:spacing w:after="0"/>
              <w:rPr>
                <w:sz w:val="20"/>
                <w:szCs w:val="20"/>
                <w:color w:val="auto"/>
              </w:rPr>
            </w:pPr>
            <w:r>
              <w:rPr>
                <w:rFonts w:ascii="Arial" w:cs="Arial" w:eastAsia="Arial" w:hAnsi="Arial"/>
                <w:sz w:val="14"/>
                <w:szCs w:val="14"/>
                <w:b w:val="1"/>
                <w:bCs w:val="1"/>
                <w:color w:val="auto"/>
                <w:w w:val="92"/>
              </w:rPr>
              <w:t>from prior year</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7"/>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6"/>
        </w:trPr>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ind w:left="380"/>
              <w:spacing w:after="0"/>
              <w:rPr>
                <w:sz w:val="20"/>
                <w:szCs w:val="20"/>
                <w:color w:val="auto"/>
              </w:rPr>
            </w:pPr>
            <w:r>
              <w:rPr>
                <w:rFonts w:ascii="Arial" w:cs="Arial" w:eastAsia="Arial" w:hAnsi="Arial"/>
                <w:sz w:val="18"/>
                <w:szCs w:val="18"/>
                <w:color w:val="auto"/>
                <w:w w:val="83"/>
              </w:rPr>
              <w:t>14,940</w:t>
            </w:r>
          </w:p>
        </w:tc>
        <w:tc>
          <w:tcPr>
            <w:tcW w:w="260" w:type="dxa"/>
            <w:vAlign w:val="bottom"/>
          </w:tcPr>
          <w:p>
            <w:pPr>
              <w:spacing w:after="0"/>
              <w:rPr>
                <w:sz w:val="18"/>
                <w:szCs w:val="18"/>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16,353</w:t>
            </w:r>
          </w:p>
        </w:tc>
        <w:tc>
          <w:tcPr>
            <w:tcW w:w="500" w:type="dxa"/>
            <w:vAlign w:val="bottom"/>
          </w:tcPr>
          <w:p>
            <w:pPr>
              <w:spacing w:after="0"/>
              <w:rPr>
                <w:sz w:val="18"/>
                <w:szCs w:val="18"/>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w:t>
            </w:r>
          </w:p>
        </w:tc>
      </w:tr>
    </w:tbl>
    <w:p>
      <w:pPr>
        <w:spacing w:after="0" w:line="20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decrease in the current period primarily reflects lower employee-related costs, including salary and related costs as a result of our restructuring initiatives. As a result of these initiatives, we reduced our research and development headcount by approximately 140 people. The savings from these headcount reductions were partially offset by an increase of approximately 80 employees at our development center in India. These changes in headcount resulted in a net decrease in employee-related costs of $2.5 million, including $0.2 million of lower stock-based compensation expense. These reductions were partially offset by $1.1 million of increased expense for new product development for both our new and existing product offerings and related activities. 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2010 will increase from fiscal 2009 levels due to our increased focus on new product development, partially offset by lower development costs as a result of the recent migration of many of our research and development activities to our development center in India.</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consist primarily of salaries and related personnel costs, commissions, travel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expenses, promotions, customer evaluations inventory and other marketing and sales support expenses. Sales and marketing expenses for the three months ended March 31, 2010 and 2009 were as follows (in thousands, except percentages):</w:t>
      </w:r>
    </w:p>
    <w:p>
      <w:pPr>
        <w:spacing w:after="0" w:line="177" w:lineRule="exact"/>
        <w:rPr>
          <w:sz w:val="20"/>
          <w:szCs w:val="20"/>
          <w:color w:val="auto"/>
        </w:rPr>
      </w:pPr>
    </w:p>
    <w:tbl>
      <w:tblPr>
        <w:tblLayout w:type="fixed"/>
        <w:tblInd w:w="46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tcPr>
          <w:p>
            <w:pPr>
              <w:ind w:left="580"/>
              <w:spacing w:after="0"/>
              <w:rPr>
                <w:sz w:val="20"/>
                <w:szCs w:val="20"/>
                <w:color w:val="auto"/>
              </w:rPr>
            </w:pPr>
            <w:r>
              <w:rPr>
                <w:rFonts w:ascii="Arial" w:cs="Arial" w:eastAsia="Arial" w:hAnsi="Arial"/>
                <w:sz w:val="14"/>
                <w:szCs w:val="14"/>
                <w:b w:val="1"/>
                <w:bCs w:val="1"/>
                <w:color w:val="auto"/>
              </w:rPr>
              <w:t>Increase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6"/>
              </w:rPr>
              <w:t>from prior year</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7"/>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6"/>
        </w:trPr>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ind w:left="380"/>
              <w:spacing w:after="0"/>
              <w:rPr>
                <w:sz w:val="20"/>
                <w:szCs w:val="20"/>
                <w:color w:val="auto"/>
              </w:rPr>
            </w:pPr>
            <w:r>
              <w:rPr>
                <w:rFonts w:ascii="Arial" w:cs="Arial" w:eastAsia="Arial" w:hAnsi="Arial"/>
                <w:sz w:val="18"/>
                <w:szCs w:val="18"/>
                <w:color w:val="auto"/>
                <w:w w:val="83"/>
              </w:rPr>
              <w:t>13,594</w:t>
            </w:r>
          </w:p>
        </w:tc>
        <w:tc>
          <w:tcPr>
            <w:tcW w:w="260" w:type="dxa"/>
            <w:vAlign w:val="bottom"/>
          </w:tcPr>
          <w:p>
            <w:pPr>
              <w:spacing w:after="0"/>
              <w:rPr>
                <w:sz w:val="18"/>
                <w:szCs w:val="18"/>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12,147</w:t>
            </w:r>
          </w:p>
        </w:tc>
        <w:tc>
          <w:tcPr>
            <w:tcW w:w="500" w:type="dxa"/>
            <w:vAlign w:val="bottom"/>
          </w:tcPr>
          <w:p>
            <w:pPr>
              <w:spacing w:after="0"/>
              <w:rPr>
                <w:sz w:val="18"/>
                <w:szCs w:val="18"/>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ind w:left="360"/>
              <w:spacing w:after="0"/>
              <w:rPr>
                <w:sz w:val="20"/>
                <w:szCs w:val="20"/>
                <w:color w:val="auto"/>
              </w:rPr>
            </w:pPr>
            <w:r>
              <w:rPr>
                <w:rFonts w:ascii="Arial" w:cs="Arial" w:eastAsia="Arial" w:hAnsi="Arial"/>
                <w:sz w:val="18"/>
                <w:szCs w:val="18"/>
                <w:color w:val="auto"/>
                <w:w w:val="84"/>
              </w:rPr>
              <w:t>1,447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11.9%</w:t>
            </w:r>
          </w:p>
        </w:tc>
      </w:tr>
    </w:tbl>
    <w:p>
      <w:pPr>
        <w:spacing w:after="0" w:line="201" w:lineRule="exact"/>
        <w:rPr>
          <w:sz w:val="20"/>
          <w:szCs w:val="20"/>
          <w:color w:val="auto"/>
        </w:rPr>
      </w:pPr>
    </w:p>
    <w:p>
      <w:pPr>
        <w:ind w:right="340" w:firstLine="348"/>
        <w:spacing w:after="0" w:line="255" w:lineRule="auto"/>
        <w:rPr>
          <w:sz w:val="20"/>
          <w:szCs w:val="20"/>
          <w:color w:val="auto"/>
        </w:rPr>
      </w:pPr>
      <w:r>
        <w:rPr>
          <w:rFonts w:ascii="Arial" w:cs="Arial" w:eastAsia="Arial" w:hAnsi="Arial"/>
          <w:sz w:val="18"/>
          <w:szCs w:val="18"/>
          <w:color w:val="auto"/>
        </w:rPr>
        <w:t>The increase in the three months ended March 31, 2010 compared to the same prior year quarter is primarily attributable to $1.8 million of higher sales employee-related expense, including $1.2 million of higher sales commission expense resulting from higher revenue. This increase was partially offset by $0.3 million of lower marketing employee-related expense as a result of our restructuring initiatives, coupled with $0.2 million of other net reductions in marketing expense. We believe that our sales and marketing expenses will increase in fiscal 2010 from fiscal 2009 levels, primarily attributable to higher personnel and related costs.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primarily of salaries and other employee-related costs for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administrative personnel, recruiting expenses, allowance for doubtful accounts and professional fees. General and administrative expenses for the three months ended March 31, 2010 and 2009 were as follows (in thousands, except percentages):</w:t>
      </w:r>
    </w:p>
    <w:p>
      <w:pPr>
        <w:spacing w:after="0" w:line="177" w:lineRule="exact"/>
        <w:rPr>
          <w:sz w:val="20"/>
          <w:szCs w:val="20"/>
          <w:color w:val="auto"/>
        </w:rPr>
      </w:pPr>
    </w:p>
    <w:tbl>
      <w:tblPr>
        <w:tblLayout w:type="fixed"/>
        <w:tblInd w:w="470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36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ind w:left="560"/>
              <w:spacing w:after="0"/>
              <w:rPr>
                <w:sz w:val="20"/>
                <w:szCs w:val="20"/>
                <w:color w:val="auto"/>
              </w:rPr>
            </w:pPr>
            <w:r>
              <w:rPr>
                <w:rFonts w:ascii="Arial" w:cs="Arial" w:eastAsia="Arial" w:hAnsi="Arial"/>
                <w:sz w:val="14"/>
                <w:szCs w:val="14"/>
                <w:b w:val="1"/>
                <w:bCs w:val="1"/>
                <w:color w:val="auto"/>
              </w:rPr>
              <w:t>Decrease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2"/>
              </w:rPr>
              <w:t>from prior year</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7"/>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6"/>
        </w:trPr>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ind w:left="420"/>
              <w:spacing w:after="0"/>
              <w:rPr>
                <w:sz w:val="20"/>
                <w:szCs w:val="20"/>
                <w:color w:val="auto"/>
              </w:rPr>
            </w:pPr>
            <w:r>
              <w:rPr>
                <w:rFonts w:ascii="Arial" w:cs="Arial" w:eastAsia="Arial" w:hAnsi="Arial"/>
                <w:sz w:val="18"/>
                <w:szCs w:val="18"/>
                <w:color w:val="auto"/>
                <w:w w:val="83"/>
              </w:rPr>
              <w:t>10,144</w:t>
            </w:r>
          </w:p>
        </w:tc>
        <w:tc>
          <w:tcPr>
            <w:tcW w:w="260" w:type="dxa"/>
            <w:vAlign w:val="bottom"/>
          </w:tcPr>
          <w:p>
            <w:pPr>
              <w:spacing w:after="0"/>
              <w:rPr>
                <w:sz w:val="18"/>
                <w:szCs w:val="18"/>
                <w:color w:val="auto"/>
              </w:rPr>
            </w:pP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10,495</w:t>
            </w:r>
          </w:p>
        </w:tc>
        <w:tc>
          <w:tcPr>
            <w:tcW w:w="500" w:type="dxa"/>
            <w:vAlign w:val="bottom"/>
          </w:tcPr>
          <w:p>
            <w:pPr>
              <w:spacing w:after="0"/>
              <w:rPr>
                <w:sz w:val="18"/>
                <w:szCs w:val="18"/>
                <w:color w:val="auto"/>
              </w:rPr>
            </w:pP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w w:val="71"/>
              </w:rPr>
              <w:t>(351)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w:t>
            </w:r>
          </w:p>
        </w:tc>
      </w:tr>
    </w:tbl>
    <w:p>
      <w:pPr>
        <w:spacing w:after="0" w:line="20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decrease in the three months ended March 31, 2010 compared to the three months ended March 31, 2009 is primarily attributable to $0.9 million of lower non-income tax-related expense and $0.1 million of lower foreign currency translation expense. These decreases were partially offset by $0.4 million of higher employee-related expense, including a net increase of $0.2 million in bonus expense related to the implementation of our new Company-wide employee bonus program in fiscal 2010, and $0.3 million of higher legal-related and professional fees. We believe that our general and administrative expenses will decrease in fiscal 2010 from fiscal 2009 levels, primarily due to lower expected professional fees and personnel-related expenses in the remainder of the fiscal year.</w:t>
      </w:r>
    </w:p>
    <w:p>
      <w:pPr>
        <w:spacing w:after="0" w:line="198"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Restructuring. </w:t>
      </w:r>
      <w:r>
        <w:rPr>
          <w:rFonts w:ascii="Arial" w:cs="Arial" w:eastAsia="Arial" w:hAnsi="Arial"/>
          <w:sz w:val="18"/>
          <w:szCs w:val="18"/>
          <w:color w:val="auto"/>
        </w:rPr>
        <w:t>In the three months ended March 31, 2009, we recorded restructuring expenses aggregating $2.0 million related to two restructuring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implemented as part of our efforts to right-size the business to align with market opportunities while managing costs to position Sonus for profitable growth. Of this amount, $0.9 million was recorded for severance and related expenses for our January 9, 2009 restructuring initiative, which reduced our workforce by approximately 40 people, or 4% of employees worldwide, and $1.1 million was for severance and related expenses for our March 10, 2009 restructuring initiative, which further reduced our workforce by approximately 60 people, or 6% of employees worldwide. We did not record any restructuring expense in the three months ended March 31, 2010.</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and interest expense for the three months ended March 31, 2010 and 2009 were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80" w:type="dxa"/>
            <w:vAlign w:val="bottom"/>
            <w:gridSpan w:val="3"/>
          </w:tcPr>
          <w:p>
            <w:pPr>
              <w:jc w:val="center"/>
              <w:ind w:left="202"/>
              <w:spacing w:after="0"/>
              <w:rPr>
                <w:sz w:val="20"/>
                <w:szCs w:val="20"/>
                <w:color w:val="auto"/>
              </w:rPr>
            </w:pPr>
            <w:r>
              <w:rPr>
                <w:rFonts w:ascii="Arial" w:cs="Arial" w:eastAsia="Arial" w:hAnsi="Arial"/>
                <w:sz w:val="14"/>
                <w:szCs w:val="14"/>
                <w:b w:val="1"/>
                <w:bCs w:val="1"/>
                <w:color w:val="auto"/>
                <w:w w:val="83"/>
              </w:rPr>
              <w:t>Decrease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from prior year</w:t>
            </w:r>
          </w:p>
        </w:tc>
      </w:tr>
      <w:tr>
        <w:trPr>
          <w:trHeight w:val="142"/>
        </w:trPr>
        <w:tc>
          <w:tcPr>
            <w:tcW w:w="3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-68.8%</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1"/>
              </w:rPr>
              <w:t>-83.5%</w:t>
            </w:r>
          </w:p>
        </w:tc>
      </w:tr>
      <w:tr>
        <w:trPr>
          <w:trHeight w:val="21"/>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-68.0%</w:t>
            </w:r>
          </w:p>
        </w:tc>
      </w:tr>
      <w:tr>
        <w:trPr>
          <w:trHeight w:val="27"/>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Interest income consists of interest earned on our cash equivalents, marketable securities and long-term investments. Interest expense primarily relates to interest on capital lease obligations. The reduction in interest income, net, in the three months ended March 31, 2010 compared to the same prior year quarter is primarily attributable to a lower average portfolio yield.</w:t>
      </w:r>
    </w:p>
    <w:p>
      <w:pPr>
        <w:spacing w:after="0" w:line="194" w:lineRule="exact"/>
        <w:rPr>
          <w:sz w:val="20"/>
          <w:szCs w:val="20"/>
          <w:color w:val="auto"/>
        </w:rPr>
      </w:pPr>
    </w:p>
    <w:p>
      <w:pPr>
        <w:jc w:val="both"/>
        <w:ind w:right="500" w:firstLine="351"/>
        <w:spacing w:after="0" w:line="335"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Our provision for income taxes was $146,000 and $26,000 for the three months ended March 31, 2010 and 2009, respectively.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amounts reflect our estimates of the effective rates expected to be applicable for the respective full fiscal years, adjusted for any discrete events, which are recorded in the period that they occur. These estimates are reevaluated each quarter based on our estimated tax expense for the full fiscal year.</w:t>
      </w:r>
    </w:p>
    <w:p>
      <w:pPr>
        <w:spacing w:after="0" w:line="14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fourth quarter of fiscal 2008, we concluded that there was insufficient positive evidence to overcome the more objective negative evidence related to our cumulative losses and other factors. Accordingly, we recorded an increase to our valuation allowance on substantially all of our domestic net deferred tax assets. The estimated annual effective rate for the year ending December 31, 2010 does not include any benefit for our projected domestic losses as we have continued to conclude that a valuation allowance for our domestic losses is appropriate.</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provision for income taxes for the three months ended March 31, 2010 represents forecasted tax expense on the earnings of our foreign operations. Our effective tax rate for the three months ended March 31, 2009 was less than the statutory federal and state rates primarily due to our inability to recognize tax benefits on domestic losses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2010, our cash, cash equivalents, marketable securities and investments totaled $413.0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operating activities provided $3.3 million and $8.9 million of cash in the three months ended March 31, 2010 and 2009, respectively.</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Cash provided by operating activities in the three months ended March 31, 2010 was primarily the result of a net decrease in accounts receivable, which was mainly driven by our focus on cash collections, higher accounts payable and lower inventory, partially offset by decreases in deferred revenue and accrued expenses, as well as an increase in other operating assets. The decrease in deferred revenue is primarily the result of the completion of projects aggregating approximately $14 million for which revenue recognition criteria were met during the quarter. The decrease in accrued expenses is primarily attributable to lower employee compensation and related costs lower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taxes payable and payments for previously accrued royalty agreements. The increase in other operating assets is primarily higher prepaid expenses. Our net loss, adjusted for non-cash items such as depreciation, amortization and stock-based compensation, contributed $5.0 million to the cash provided by operating activities.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Cash provided by operating activities in the three months ended March 31, 2009 was the result of lower levels of accounts receivable and higher deferred revenue. These amounts were partially offset by lower accrued expenses and accounts payable, and higher levels of operating assets and inventory. The lower accounts receivable levels were primarily the result of lower shipments and billings in the quarter, coupled with focused collection efforts as a result of the strong seasonal billings and shipments in late fiscal 2008. The decrease in accrued expenses was primarily attributable to lower employee compensation and related costs, including reductions for the payment of bonuses to our executives and employees under our bonus programs, the completion of an employee stock purchase under our Amended and Restated 2000 Employee Stock Purchase Plan ("ESPP") and lower taxes payable, accrued royalties and professional fees. Our net loss, adjusted for non-cash items such as depreciation, amortization and stock-based compensation, used $10.6 million of operating cash.</w:t>
      </w:r>
    </w:p>
    <w:p>
      <w:pPr>
        <w:spacing w:after="0" w:line="17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investing activities used $64.1 million of cash in the three months ended March 31, 2010, compared to $60.7 million of cash provided by investing activities in the three months ended March 31, 2009. Our net investment in marketable securities in the three months ended March 31, 2010 was $60.4 million, compared to $71.0 million of net sales and maturities of marketable securities and investments in the three months ended March 31, 2009. In addition, during the three months ended March 31, 2010, we used $1.8 million of cash for purchases of property and equipment and $2.0 million to purchase intangible assets. In the three months ended March 31, 2009, we placed $9.5 million into escrow related to a litigation settlement and used $0.8 million for purchases of property and equipment.</w:t>
      </w:r>
    </w:p>
    <w:p>
      <w:pPr>
        <w:spacing w:after="0" w:line="198"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Our financing activities provided $0.4 million of cash in the three months ended March 31, 2010, including $0.6 million of proceeds from the sale of common stock in connection with our ESPP and $35,000 from the exercise of stock options. These amounts were partially offset by $0.2 million used to pay withholding obligations related to the net share settlement of restricted stock awards upon vesting and $0.1 million used for payments on our capital leases for office equipment. Our financing activities provided $0.3 million of cash in the three months ended March 31, 2009, including $0.5 million of proceeds from the sale of common stock in connection with our ESPP, partially offset by $0.1 million used to pay withholding obligations related to the net share settlement of restricted stock awards upon vesting and $0.1 million used for payments on our capital leases for office equipment.</w:t>
      </w:r>
    </w:p>
    <w:p>
      <w:pPr>
        <w:spacing w:after="0" w:line="174"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Based on our current expectations, we believe our cash, cash equivalents, marketable securities and long-term investments will be sufficient to meet our anticipated cash needs for working capital and capital expenditures for at least the next 12 months. It is difficult to predict future liquidity requirements with certainty.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to improve our controls environment and for other general corporate activities, as well as to vigorously defend against existing and potential litigation. See Note 15 to our condensed consolidated financial statements for a description of legal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In October 2009, the FASB issued an update to </w:t>
      </w:r>
      <w:r>
        <w:rPr>
          <w:rFonts w:ascii="Arial" w:cs="Arial" w:eastAsia="Arial" w:hAnsi="Arial"/>
          <w:sz w:val="18"/>
          <w:szCs w:val="18"/>
          <w:i w:val="1"/>
          <w:iCs w:val="1"/>
          <w:color w:val="auto"/>
        </w:rPr>
        <w:t>Certain Arrangements that Include Software Elements</w:t>
      </w:r>
      <w:r>
        <w:rPr>
          <w:rFonts w:ascii="Arial" w:cs="Arial" w:eastAsia="Arial" w:hAnsi="Arial"/>
          <w:sz w:val="18"/>
          <w:szCs w:val="18"/>
          <w:color w:val="auto"/>
        </w:rPr>
        <w:t>. This update removes tangible products from the scope of software revenue guidance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provides guidance on determining whether software deliverables in an arrangement that includes a tangible product are covered by the scope of the software revenue guidance. This update will require us to account for many of our multiple-element arrangements as non-software transactions and could impact the timing and revenue recognized in a reporting period. This update is effective for us beginning January 1, 2011, although early adoption is permitted, and adoption can be applied prospectively or retrospectively. We are currently evaluating the effect that implementation of this update will have on our consolidated financial position and results of operations upon adoption.</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October 2009, the FASB issued an update to the accounting guidance related to the separation criteria used to determine the unit of accounting for multiple-element arrangements.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ASC 820, provides a hierarchy that entities must use to estimate the selling price, eliminates the use of the residual method for allocation and expands the ongoing disclosure requirements. This guidance is effective for us beginning January 1, 2011, although early adoption is permitted, and adoption can be applied prospectively or retrospectively. We are currently evaluating the effect that implementation of this update will have, if any, on our consolidated financial position and results of operations upon adoption.</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than what was disclosed in our Annual Report on Form 10-K for the fiscal year ended December 31, 2009.</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defined in Rules 13a-15(e) and 15d-15(e) under the Securities Exchange Act of 1934, as amended (the "Exchange Act")), as of March 31, 2010.</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this evaluation, our Chief Executive Officer and Chief Financial Officer concluded that these disclosure controls and procedures are effective as of March 31, 2010.</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changes in our internal control over financial reporting (as defined in Rules 13a-15(f) and 15d-15(f) under the Exchange Act) were identified in connection with the evaluation as of March 31, 2010 referenced above that has materially affected, or is reasonably likely to materially affect, our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2009 and Note 15 of this Quarterly Report on Form 10-Q. There were no material developments to these legal proceedings during the quarter ended March 31, 2010.</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There are no material changes to the risk factors as previously disclosed in our Annual Report on Form 10-K for the year ended December 31, 2009. There were no modifications or supplements to these risk factors in the quarter ended March 31, 2010.</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not announced any currently effective authorization to repurchase shares of our common stock. However, upon vesting of restricted stock awards, employees are permitted to return to us a portion of the newly-vested shares to satisfy the tax withholding obligations that arise in connection with such vesting. The following table summarizes repurchases of our common stock during the first quarter of fiscal 2010, which represent shares returned to satisfy tax withholding obligations: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5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27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2010 to January 31,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February 1, 2010 to February 28, 2010</w:t>
            </w:r>
          </w:p>
        </w:tc>
        <w:tc>
          <w:tcPr>
            <w:tcW w:w="980" w:type="dxa"/>
            <w:vAlign w:val="bottom"/>
          </w:tcPr>
          <w:p>
            <w:pPr>
              <w:jc w:val="right"/>
              <w:spacing w:after="0"/>
              <w:rPr>
                <w:sz w:val="20"/>
                <w:szCs w:val="20"/>
                <w:color w:val="auto"/>
              </w:rPr>
            </w:pPr>
            <w:r>
              <w:rPr>
                <w:rFonts w:ascii="Arial" w:cs="Arial" w:eastAsia="Arial" w:hAnsi="Arial"/>
                <w:sz w:val="18"/>
                <w:szCs w:val="18"/>
                <w:color w:val="auto"/>
              </w:rPr>
              <w:t>72,411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2010 to March 31,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2"/>
                <w:szCs w:val="2"/>
                <w:color w:val="auto"/>
              </w:rPr>
            </w:pPr>
          </w:p>
        </w:tc>
        <w:tc>
          <w:tcPr>
            <w:tcW w:w="1240" w:type="dxa"/>
            <w:vAlign w:val="bottom"/>
            <w:vMerge w:val="restart"/>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2740" w:type="dxa"/>
            <w:vAlign w:val="bottom"/>
            <w:gridSpan w:val="3"/>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82,846</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p>
      <w:pPr>
        <w:ind w:left="1240"/>
        <w:spacing w:after="0"/>
        <w:tabs>
          <w:tab w:leader="none" w:pos="60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10.1(a)The Sonus Networks, Inc. Senior Management Cash Incentive Plan, effective as of February 23, 2010.</w:t>
      </w:r>
    </w:p>
    <w:p>
      <w:pPr>
        <w:spacing w:after="0" w:line="2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10.2(b)Amendment to Employment Agreement between Sonus Networks, Inc. and Wayne Pastore, dated April 29,</w:t>
      </w:r>
    </w:p>
    <w:p>
      <w:pPr>
        <w:spacing w:after="0" w:line="4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2010.</w:t>
      </w:r>
    </w:p>
    <w:p>
      <w:pPr>
        <w:spacing w:after="0" w:line="246" w:lineRule="exact"/>
        <w:rPr>
          <w:sz w:val="20"/>
          <w:szCs w:val="20"/>
          <w:color w:val="auto"/>
        </w:rPr>
      </w:pPr>
    </w:p>
    <w:p>
      <w:pPr>
        <w:jc w:val="center"/>
        <w:ind w:right="-99"/>
        <w:spacing w:after="0"/>
        <w:tabs>
          <w:tab w:leader="none" w:pos="2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jc w:val="center"/>
        <w:ind w:right="-99"/>
        <w:spacing w:after="0"/>
        <w:tabs>
          <w:tab w:leader="none" w:pos="2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7068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line="268" w:lineRule="auto"/>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February 24, 2010.</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May 3, 2010.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40"/>
          </w:cols>
          <w:pgMar w:left="240" w:top="131" w:right="319" w:bottom="1440" w:gutter="0" w:footer="0" w:header="0"/>
        </w:sectPr>
      </w:pP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Dated: May 4, 2010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4980" w:space="720"/>
            <w:col w:w="5640"/>
          </w:cols>
          <w:pgMar w:left="240" w:top="131" w:right="319" w:bottom="1440" w:gutter="0" w:footer="0" w:header="0"/>
          <w:type w:val="continuous"/>
        </w:sectPr>
      </w:pPr>
    </w:p>
    <w:p>
      <w:pPr>
        <w:spacing w:after="0" w:line="7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85725</wp:posOffset>
            </wp:positionV>
            <wp:extent cx="2675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60" w:space="720"/>
            <w:col w:w="3960"/>
          </w:cols>
          <w:pgMar w:left="240" w:top="131" w:right="319" w:bottom="1440" w:gutter="0" w:footer="0" w:header="0"/>
          <w:type w:val="continuous"/>
        </w:sectPr>
      </w:pPr>
    </w:p>
    <w:p>
      <w:pPr>
        <w:spacing w:after="0" w:line="21"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4960"/>
        <w:spacing w:after="0"/>
        <w:rPr>
          <w:sz w:val="20"/>
          <w:szCs w:val="20"/>
          <w:color w:val="auto"/>
        </w:rPr>
      </w:pPr>
      <w:r>
        <w:rPr>
          <w:rFonts w:ascii="Arial" w:cs="Arial" w:eastAsia="Arial" w:hAnsi="Arial"/>
          <w:sz w:val="16"/>
          <w:szCs w:val="16"/>
          <w:i w:val="1"/>
          <w:iCs w:val="1"/>
          <w:color w:val="auto"/>
        </w:rPr>
        <w:t>(Principal Financial Officer and</w:t>
      </w:r>
    </w:p>
    <w:p>
      <w:pPr>
        <w:spacing w:after="0" w:line="32"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40"/>
        <w:spacing w:after="0"/>
        <w:tabs>
          <w:tab w:leader="none" w:pos="60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10.1(a)The Sonus Networks, Inc. Senior Management Cash Incentive Plan, effective as of February 23, 2010.</w:t>
      </w:r>
    </w:p>
    <w:p>
      <w:pPr>
        <w:spacing w:after="0" w:line="2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10.2(b)Amendment to Employment Agreement between Sonus Networks, Inc. and Wayne Pastore, dated April 29,</w:t>
      </w:r>
    </w:p>
    <w:p>
      <w:pPr>
        <w:spacing w:after="0" w:line="4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2010.</w:t>
      </w:r>
    </w:p>
    <w:p>
      <w:pPr>
        <w:spacing w:after="0" w:line="246" w:lineRule="exact"/>
        <w:rPr>
          <w:sz w:val="20"/>
          <w:szCs w:val="20"/>
          <w:color w:val="auto"/>
        </w:rPr>
      </w:pPr>
    </w:p>
    <w:p>
      <w:pPr>
        <w:jc w:val="center"/>
        <w:ind w:right="-99"/>
        <w:spacing w:after="0"/>
        <w:tabs>
          <w:tab w:leader="none" w:pos="2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jc w:val="center"/>
        <w:ind w:right="-99"/>
        <w:spacing w:after="0"/>
        <w:tabs>
          <w:tab w:leader="none" w:pos="2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7068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line="268"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February 24, 2010.</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001-34115) filed with the Securities and Exchange Commission on May 3, 2010.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rPr>
          <w:rFonts w:ascii="Arial" w:cs="Arial" w:eastAsia="Arial" w:hAnsi="Arial"/>
          <w:sz w:val="22"/>
          <w:szCs w:val="22"/>
          <w:color w:val="0000EE"/>
        </w:rPr>
      </w:pPr>
      <w:hyperlink w:anchor="page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225" w:lineRule="exact"/>
        <w:rPr>
          <w:sz w:val="20"/>
          <w:szCs w:val="20"/>
          <w:color w:val="auto"/>
        </w:rPr>
      </w:pPr>
    </w:p>
    <w:p>
      <w:pPr>
        <w:ind w:left="720" w:hanging="36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4, 2010</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39" w:name="page40"/>
    <w:bookmarkEnd w:id="39"/>
    <w:p>
      <w:pPr>
        <w:spacing w:after="0"/>
        <w:rPr>
          <w:rFonts w:ascii="Arial" w:cs="Arial" w:eastAsia="Arial" w:hAnsi="Arial"/>
          <w:sz w:val="22"/>
          <w:szCs w:val="22"/>
          <w:color w:val="0000EE"/>
        </w:rPr>
      </w:pPr>
      <w:hyperlink w:anchor="page4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Wayne Pastore, certify that:</w:t>
      </w:r>
    </w:p>
    <w:p>
      <w:pPr>
        <w:spacing w:after="0" w:line="225" w:lineRule="exact"/>
        <w:rPr>
          <w:sz w:val="20"/>
          <w:szCs w:val="20"/>
          <w:color w:val="auto"/>
        </w:rPr>
      </w:pPr>
    </w:p>
    <w:p>
      <w:pPr>
        <w:ind w:left="720" w:hanging="36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4, 2010</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148590</wp:posOffset>
            </wp:positionV>
            <wp:extent cx="30016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32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41" w:name="page42"/>
    <w:bookmarkEnd w:id="41"/>
    <w:p>
      <w:pPr>
        <w:spacing w:after="0"/>
        <w:rPr>
          <w:rFonts w:ascii="Arial" w:cs="Arial" w:eastAsia="Arial" w:hAnsi="Arial"/>
          <w:sz w:val="22"/>
          <w:szCs w:val="22"/>
          <w:color w:val="0000EE"/>
        </w:rPr>
      </w:pPr>
      <w:hyperlink w:anchor="page4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connection with the Quarterly Report on Form 10-Q of Sonus Networks, Inc. (the "Company") for the period ended March 31, 2010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40" w:hanging="341"/>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4, 2010</w:t>
      </w:r>
    </w:p>
    <w:p>
      <w:pPr>
        <w:ind w:left="582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43" w:name="page44"/>
    <w:bookmarkEnd w:id="43"/>
    <w:p>
      <w:pPr>
        <w:spacing w:after="0"/>
        <w:rPr>
          <w:rFonts w:ascii="Arial" w:cs="Arial" w:eastAsia="Arial" w:hAnsi="Arial"/>
          <w:sz w:val="22"/>
          <w:szCs w:val="22"/>
          <w:color w:val="0000EE"/>
        </w:rPr>
      </w:pPr>
      <w:hyperlink w:anchor="page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March 31, 2010 as filed with the Securities and Exchange Commission on the date hereof (the "Report"), the undersigned, Wayne Pastore,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4, 2010</w:t>
      </w:r>
    </w:p>
    <w:p>
      <w:pPr>
        <w:ind w:left="6720"/>
        <w:spacing w:after="0"/>
        <w:rPr>
          <w:sz w:val="20"/>
          <w:szCs w:val="20"/>
          <w:color w:val="auto"/>
        </w:rPr>
      </w:pPr>
      <w:r>
        <w:rPr>
          <w:rFonts w:ascii="Arial" w:cs="Arial" w:eastAsia="Arial" w:hAnsi="Arial"/>
          <w:sz w:val="18"/>
          <w:szCs w:val="18"/>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148590</wp:posOffset>
            </wp:positionV>
            <wp:extent cx="30016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32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Wayne Pastore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2019-12-10T18:32:02Z</dcterms:created>
  <dcterms:modified xsi:type="dcterms:W3CDTF">2019-12-10T18:32:02Z</dcterms:modified>
</cp:coreProperties>
</file>