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139700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4"/>
          <w:szCs w:val="24"/>
          <w:color w:val="auto"/>
        </w:rPr>
      </w:pPr>
    </w:p>
    <w:p>
      <w:pPr>
        <w:spacing w:after="0" w:line="270" w:lineRule="exact"/>
        <w:rPr>
          <w:sz w:val="24"/>
          <w:szCs w:val="24"/>
          <w:color w:val="auto"/>
        </w:rPr>
      </w:pPr>
    </w:p>
    <w:p>
      <w:pPr>
        <w:ind w:left="1040" w:right="680" w:hanging="694"/>
        <w:spacing w:after="0" w:line="256" w:lineRule="auto"/>
        <w:tabs>
          <w:tab w:leader="none" w:pos="10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239" w:lineRule="exact"/>
        <w:rPr>
          <w:sz w:val="24"/>
          <w:szCs w:val="24"/>
          <w:color w:val="auto"/>
        </w:rPr>
      </w:pPr>
    </w:p>
    <w:p>
      <w:pPr>
        <w:ind w:left="1040" w:right="220" w:hanging="654"/>
        <w:spacing w:after="0" w:line="256" w:lineRule="auto"/>
        <w:tabs>
          <w:tab w:leader="none" w:pos="10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000-34115</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SONUS NETWORKS,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5020" w:type="dxa"/>
            <w:vAlign w:val="bottom"/>
            <w:gridSpan w:val="2"/>
          </w:tcPr>
          <w:p>
            <w:pPr>
              <w:jc w:val="center"/>
              <w:ind w:left="374"/>
              <w:spacing w:after="0"/>
              <w:rPr>
                <w:sz w:val="20"/>
                <w:szCs w:val="20"/>
                <w:color w:val="auto"/>
              </w:rPr>
            </w:pPr>
            <w:r>
              <w:rPr>
                <w:rFonts w:ascii="Arial" w:cs="Arial" w:eastAsia="Arial" w:hAnsi="Arial"/>
                <w:sz w:val="18"/>
                <w:szCs w:val="18"/>
                <w:b w:val="1"/>
                <w:bCs w:val="1"/>
                <w:color w:val="auto"/>
                <w:w w:val="96"/>
              </w:rPr>
              <w:t>DELAWARE</w:t>
            </w:r>
          </w:p>
        </w:tc>
        <w:tc>
          <w:tcPr>
            <w:tcW w:w="420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04-3387074</w:t>
            </w:r>
          </w:p>
        </w:tc>
        <w:tc>
          <w:tcPr>
            <w:tcW w:w="2200" w:type="dxa"/>
            <w:vAlign w:val="bottom"/>
          </w:tcPr>
          <w:p>
            <w:pPr>
              <w:spacing w:after="0"/>
              <w:rPr>
                <w:sz w:val="19"/>
                <w:szCs w:val="19"/>
                <w:color w:val="auto"/>
              </w:rPr>
            </w:pPr>
          </w:p>
        </w:tc>
      </w:tr>
      <w:tr>
        <w:trPr>
          <w:trHeight w:val="216"/>
        </w:trPr>
        <w:tc>
          <w:tcPr>
            <w:tcW w:w="5020" w:type="dxa"/>
            <w:vAlign w:val="bottom"/>
            <w:gridSpan w:val="2"/>
          </w:tcPr>
          <w:p>
            <w:pPr>
              <w:jc w:val="center"/>
              <w:ind w:left="374"/>
              <w:spacing w:after="0"/>
              <w:rPr>
                <w:sz w:val="20"/>
                <w:szCs w:val="20"/>
                <w:color w:val="auto"/>
              </w:rPr>
            </w:pPr>
            <w:r>
              <w:rPr>
                <w:rFonts w:ascii="Arial" w:cs="Arial" w:eastAsia="Arial" w:hAnsi="Arial"/>
                <w:sz w:val="18"/>
                <w:szCs w:val="18"/>
                <w:color w:val="auto"/>
                <w:w w:val="90"/>
              </w:rPr>
              <w:t>(State or other jurisdiction of</w:t>
            </w:r>
          </w:p>
        </w:tc>
        <w:tc>
          <w:tcPr>
            <w:tcW w:w="1720" w:type="dxa"/>
            <w:vAlign w:val="bottom"/>
          </w:tcPr>
          <w:p>
            <w:pPr>
              <w:spacing w:after="0"/>
              <w:rPr>
                <w:sz w:val="18"/>
                <w:szCs w:val="18"/>
                <w:color w:val="auto"/>
              </w:rPr>
            </w:pPr>
          </w:p>
        </w:tc>
        <w:tc>
          <w:tcPr>
            <w:tcW w:w="4680" w:type="dxa"/>
            <w:vAlign w:val="bottom"/>
            <w:gridSpan w:val="2"/>
          </w:tcPr>
          <w:p>
            <w:pPr>
              <w:jc w:val="center"/>
              <w:ind w:right="692"/>
              <w:spacing w:after="0"/>
              <w:rPr>
                <w:sz w:val="20"/>
                <w:szCs w:val="20"/>
                <w:color w:val="auto"/>
              </w:rPr>
            </w:pPr>
            <w:r>
              <w:rPr>
                <w:rFonts w:ascii="Arial" w:cs="Arial" w:eastAsia="Arial" w:hAnsi="Arial"/>
                <w:sz w:val="18"/>
                <w:szCs w:val="18"/>
                <w:color w:val="auto"/>
                <w:w w:val="91"/>
              </w:rPr>
              <w:t>(I.R.S. Employer Identification No.)</w:t>
            </w:r>
          </w:p>
        </w:tc>
      </w:tr>
      <w:tr>
        <w:trPr>
          <w:trHeight w:val="222"/>
        </w:trPr>
        <w:tc>
          <w:tcPr>
            <w:tcW w:w="5020" w:type="dxa"/>
            <w:vAlign w:val="bottom"/>
            <w:gridSpan w:val="2"/>
          </w:tcPr>
          <w:p>
            <w:pPr>
              <w:jc w:val="center"/>
              <w:ind w:left="374"/>
              <w:spacing w:after="0"/>
              <w:rPr>
                <w:sz w:val="20"/>
                <w:szCs w:val="20"/>
                <w:color w:val="auto"/>
              </w:rPr>
            </w:pPr>
            <w:r>
              <w:rPr>
                <w:rFonts w:ascii="Arial" w:cs="Arial" w:eastAsia="Arial" w:hAnsi="Arial"/>
                <w:sz w:val="18"/>
                <w:szCs w:val="18"/>
                <w:color w:val="auto"/>
                <w:w w:val="90"/>
              </w:rPr>
              <w:t>incorporation or organization)</w:t>
            </w:r>
          </w:p>
        </w:tc>
        <w:tc>
          <w:tcPr>
            <w:tcW w:w="17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6"/>
        </w:trPr>
        <w:tc>
          <w:tcPr>
            <w:tcW w:w="9220" w:type="dxa"/>
            <w:vAlign w:val="bottom"/>
            <w:gridSpan w:val="4"/>
          </w:tcPr>
          <w:p>
            <w:pPr>
              <w:jc w:val="center"/>
              <w:ind w:left="2114"/>
              <w:spacing w:after="0"/>
              <w:rPr>
                <w:sz w:val="20"/>
                <w:szCs w:val="20"/>
                <w:color w:val="auto"/>
              </w:rPr>
            </w:pPr>
            <w:r>
              <w:rPr>
                <w:rFonts w:ascii="Arial" w:cs="Arial" w:eastAsia="Arial" w:hAnsi="Arial"/>
                <w:sz w:val="18"/>
                <w:szCs w:val="18"/>
                <w:b w:val="1"/>
                <w:bCs w:val="1"/>
                <w:color w:val="auto"/>
                <w:w w:val="87"/>
              </w:rPr>
              <w:t>7 Technology Park Drive, Westford, Massachusetts 01886</w:t>
            </w:r>
          </w:p>
        </w:tc>
        <w:tc>
          <w:tcPr>
            <w:tcW w:w="2200" w:type="dxa"/>
            <w:vAlign w:val="bottom"/>
          </w:tcPr>
          <w:p>
            <w:pPr>
              <w:spacing w:after="0"/>
              <w:rPr>
                <w:sz w:val="24"/>
                <w:szCs w:val="24"/>
                <w:color w:val="auto"/>
              </w:rPr>
            </w:pPr>
          </w:p>
        </w:tc>
      </w:tr>
      <w:tr>
        <w:trPr>
          <w:trHeight w:val="222"/>
        </w:trPr>
        <w:tc>
          <w:tcPr>
            <w:tcW w:w="9220" w:type="dxa"/>
            <w:vAlign w:val="bottom"/>
            <w:gridSpan w:val="4"/>
          </w:tcPr>
          <w:p>
            <w:pPr>
              <w:jc w:val="center"/>
              <w:ind w:left="2114"/>
              <w:spacing w:after="0"/>
              <w:rPr>
                <w:sz w:val="20"/>
                <w:szCs w:val="20"/>
                <w:color w:val="auto"/>
              </w:rPr>
            </w:pPr>
            <w:r>
              <w:rPr>
                <w:rFonts w:ascii="Arial" w:cs="Arial" w:eastAsia="Arial" w:hAnsi="Arial"/>
                <w:sz w:val="18"/>
                <w:szCs w:val="18"/>
                <w:color w:val="auto"/>
                <w:w w:val="90"/>
              </w:rPr>
              <w:t>(Address of principal executive offices, including zip code)</w:t>
            </w:r>
          </w:p>
        </w:tc>
        <w:tc>
          <w:tcPr>
            <w:tcW w:w="2200" w:type="dxa"/>
            <w:vAlign w:val="bottom"/>
          </w:tcPr>
          <w:p>
            <w:pPr>
              <w:spacing w:after="0"/>
              <w:rPr>
                <w:sz w:val="19"/>
                <w:szCs w:val="19"/>
                <w:color w:val="auto"/>
              </w:rPr>
            </w:pPr>
          </w:p>
        </w:tc>
      </w:tr>
      <w:tr>
        <w:trPr>
          <w:trHeight w:val="426"/>
        </w:trPr>
        <w:tc>
          <w:tcPr>
            <w:tcW w:w="4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jc w:val="center"/>
              <w:ind w:right="252"/>
              <w:spacing w:after="0"/>
              <w:rPr>
                <w:sz w:val="20"/>
                <w:szCs w:val="20"/>
                <w:color w:val="auto"/>
              </w:rPr>
            </w:pPr>
            <w:r>
              <w:rPr>
                <w:rFonts w:ascii="Arial" w:cs="Arial" w:eastAsia="Arial" w:hAnsi="Arial"/>
                <w:sz w:val="18"/>
                <w:szCs w:val="18"/>
                <w:b w:val="1"/>
                <w:bCs w:val="1"/>
                <w:color w:val="auto"/>
                <w:w w:val="89"/>
              </w:rPr>
              <w:t>(978) 614-8100</w:t>
            </w:r>
          </w:p>
        </w:tc>
        <w:tc>
          <w:tcPr>
            <w:tcW w:w="24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22"/>
        </w:trPr>
        <w:tc>
          <w:tcPr>
            <w:tcW w:w="9220" w:type="dxa"/>
            <w:vAlign w:val="bottom"/>
            <w:gridSpan w:val="4"/>
          </w:tcPr>
          <w:p>
            <w:pPr>
              <w:jc w:val="center"/>
              <w:ind w:left="2114"/>
              <w:spacing w:after="0"/>
              <w:rPr>
                <w:sz w:val="20"/>
                <w:szCs w:val="20"/>
                <w:color w:val="auto"/>
              </w:rPr>
            </w:pPr>
            <w:r>
              <w:rPr>
                <w:rFonts w:ascii="Arial" w:cs="Arial" w:eastAsia="Arial" w:hAnsi="Arial"/>
                <w:sz w:val="18"/>
                <w:szCs w:val="18"/>
                <w:color w:val="auto"/>
                <w:w w:val="87"/>
              </w:rPr>
              <w:t>(Registrant's telephone number, including area code)</w:t>
            </w:r>
          </w:p>
        </w:tc>
        <w:tc>
          <w:tcPr>
            <w:tcW w:w="2200" w:type="dxa"/>
            <w:vAlign w:val="bottom"/>
          </w:tcPr>
          <w:p>
            <w:pPr>
              <w:spacing w:after="0"/>
              <w:rPr>
                <w:sz w:val="19"/>
                <w:szCs w:val="19"/>
                <w:color w:val="auto"/>
              </w:rPr>
            </w:pPr>
          </w:p>
        </w:tc>
      </w:tr>
      <w:tr>
        <w:trPr>
          <w:trHeight w:val="432"/>
        </w:trPr>
        <w:tc>
          <w:tcPr>
            <w:tcW w:w="5020" w:type="dxa"/>
            <w:vAlign w:val="bottom"/>
            <w:gridSpan w:val="2"/>
          </w:tcPr>
          <w:p>
            <w:pPr>
              <w:ind w:left="400"/>
              <w:spacing w:after="0"/>
              <w:rPr>
                <w:sz w:val="20"/>
                <w:szCs w:val="20"/>
                <w:color w:val="auto"/>
              </w:rPr>
            </w:pPr>
            <w:r>
              <w:rPr>
                <w:rFonts w:ascii="Arial" w:cs="Arial" w:eastAsia="Arial" w:hAnsi="Arial"/>
                <w:sz w:val="18"/>
                <w:szCs w:val="18"/>
                <w:color w:val="auto"/>
              </w:rPr>
              <w:t>Securities registered pursuant to Section 12(b) of the Act:</w:t>
            </w:r>
          </w:p>
        </w:tc>
        <w:tc>
          <w:tcPr>
            <w:tcW w:w="17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67"/>
        </w:trPr>
        <w:tc>
          <w:tcPr>
            <w:tcW w:w="5020" w:type="dxa"/>
            <w:vAlign w:val="bottom"/>
            <w:gridSpan w:val="2"/>
          </w:tcPr>
          <w:p>
            <w:pPr>
              <w:ind w:left="1840"/>
              <w:spacing w:after="0"/>
              <w:rPr>
                <w:sz w:val="20"/>
                <w:szCs w:val="20"/>
                <w:color w:val="auto"/>
              </w:rPr>
            </w:pPr>
            <w:r>
              <w:rPr>
                <w:rFonts w:ascii="Arial" w:cs="Arial" w:eastAsia="Arial" w:hAnsi="Arial"/>
                <w:sz w:val="14"/>
                <w:szCs w:val="14"/>
                <w:b w:val="1"/>
                <w:bCs w:val="1"/>
                <w:color w:val="auto"/>
              </w:rPr>
              <w:t>Title of each class</w:t>
            </w:r>
          </w:p>
        </w:tc>
        <w:tc>
          <w:tcPr>
            <w:tcW w:w="1720" w:type="dxa"/>
            <w:vAlign w:val="bottom"/>
          </w:tcPr>
          <w:p>
            <w:pPr>
              <w:spacing w:after="0"/>
              <w:rPr>
                <w:sz w:val="24"/>
                <w:szCs w:val="24"/>
                <w:color w:val="auto"/>
              </w:rPr>
            </w:pPr>
          </w:p>
        </w:tc>
        <w:tc>
          <w:tcPr>
            <w:tcW w:w="4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216"/>
        </w:trPr>
        <w:tc>
          <w:tcPr>
            <w:tcW w:w="468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Common Stock, par value $0.001</w:t>
            </w: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6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The NASDAQ Global Select Market</w:t>
            </w:r>
          </w:p>
        </w:tc>
      </w:tr>
      <w:tr>
        <w:trPr>
          <w:trHeight w:val="424"/>
        </w:trPr>
        <w:tc>
          <w:tcPr>
            <w:tcW w:w="5020" w:type="dxa"/>
            <w:vAlign w:val="bottom"/>
            <w:gridSpan w:val="2"/>
          </w:tcPr>
          <w:p>
            <w:pPr>
              <w:ind w:left="400"/>
              <w:spacing w:after="0"/>
              <w:rPr>
                <w:sz w:val="20"/>
                <w:szCs w:val="20"/>
                <w:color w:val="auto"/>
              </w:rPr>
            </w:pPr>
            <w:r>
              <w:rPr>
                <w:rFonts w:ascii="Arial" w:cs="Arial" w:eastAsia="Arial" w:hAnsi="Arial"/>
                <w:sz w:val="18"/>
                <w:szCs w:val="18"/>
                <w:color w:val="auto"/>
                <w:w w:val="90"/>
              </w:rPr>
              <w:t xml:space="preserve">Securities registered pursuant to Section 12(g) of the Act: </w:t>
            </w:r>
            <w:r>
              <w:rPr>
                <w:rFonts w:ascii="Arial" w:cs="Arial" w:eastAsia="Arial" w:hAnsi="Arial"/>
                <w:sz w:val="18"/>
                <w:szCs w:val="18"/>
                <w:b w:val="1"/>
                <w:bCs w:val="1"/>
                <w:color w:val="auto"/>
                <w:w w:val="90"/>
              </w:rPr>
              <w:t>None</w:t>
            </w:r>
          </w:p>
        </w:tc>
        <w:tc>
          <w:tcPr>
            <w:tcW w:w="17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52"/>
        </w:trPr>
        <w:tc>
          <w:tcPr>
            <w:tcW w:w="9220" w:type="dxa"/>
            <w:vAlign w:val="bottom"/>
            <w:gridSpan w:val="4"/>
          </w:tcPr>
          <w:p>
            <w:pPr>
              <w:ind w:left="400"/>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 Yes o</w:t>
            </w:r>
          </w:p>
        </w:tc>
        <w:tc>
          <w:tcPr>
            <w:tcW w:w="220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9220" w:type="dxa"/>
            <w:vAlign w:val="bottom"/>
            <w:gridSpan w:val="4"/>
          </w:tcPr>
          <w:p>
            <w:pPr>
              <w:ind w:left="400"/>
              <w:spacing w:after="0"/>
              <w:rPr>
                <w:sz w:val="20"/>
                <w:szCs w:val="20"/>
                <w:color w:val="auto"/>
              </w:rPr>
            </w:pPr>
            <w:r>
              <w:rPr>
                <w:rFonts w:ascii="Arial" w:cs="Arial" w:eastAsia="Arial" w:hAnsi="Arial"/>
                <w:sz w:val="18"/>
                <w:szCs w:val="18"/>
                <w:color w:val="auto"/>
                <w:w w:val="88"/>
              </w:rPr>
              <w:t>Indicate by check mark if the registrant is not required to file reports pursuant to Section 13 or Section 15(d) of the Act. Yes o</w:t>
            </w:r>
          </w:p>
        </w:tc>
        <w:tc>
          <w:tcPr>
            <w:tcW w:w="220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90" w:lineRule="exact"/>
        <w:rPr>
          <w:sz w:val="24"/>
          <w:szCs w:val="24"/>
          <w:color w:val="auto"/>
        </w:rPr>
      </w:pPr>
    </w:p>
    <w:p>
      <w:pPr>
        <w:ind w:right="34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100" w:firstLine="395"/>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94" w:lineRule="exact"/>
        <w:rPr>
          <w:sz w:val="24"/>
          <w:szCs w:val="24"/>
          <w:color w:val="auto"/>
        </w:rPr>
      </w:pPr>
    </w:p>
    <w:p>
      <w:pPr>
        <w:jc w:val="both"/>
        <w:ind w:right="40" w:firstLine="395"/>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o</w:t>
      </w:r>
    </w:p>
    <w:p>
      <w:pPr>
        <w:spacing w:after="0" w:line="194" w:lineRule="exact"/>
        <w:rPr>
          <w:sz w:val="24"/>
          <w:szCs w:val="24"/>
          <w:color w:val="auto"/>
        </w:rPr>
      </w:pPr>
    </w:p>
    <w:p>
      <w:pPr>
        <w:ind w:right="320" w:firstLine="395"/>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420"/>
          </w:cols>
          <w:pgMar w:left="240" w:top="698" w:right="239" w:bottom="0" w:gutter="0" w:footer="0" w:header="0"/>
        </w:sectPr>
      </w:pPr>
    </w:p>
    <w:p>
      <w:pPr>
        <w:spacing w:after="0" w:line="139" w:lineRule="exact"/>
        <w:rPr>
          <w:sz w:val="24"/>
          <w:szCs w:val="24"/>
          <w:color w:val="auto"/>
        </w:rPr>
      </w:pPr>
    </w:p>
    <w:p>
      <w:pPr>
        <w:ind w:left="4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124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 o</w:t>
      </w:r>
    </w:p>
    <w:p>
      <w:pPr>
        <w:spacing w:after="0" w:line="63" w:lineRule="exact"/>
        <w:rPr>
          <w:sz w:val="24"/>
          <w:szCs w:val="24"/>
          <w:color w:val="auto"/>
        </w:rPr>
      </w:pPr>
    </w:p>
    <w:p>
      <w:pPr>
        <w:sectPr>
          <w:pgSz w:w="11900" w:h="16838" w:orient="portrait"/>
          <w:cols w:equalWidth="0" w:num="4">
            <w:col w:w="2980" w:space="720"/>
            <w:col w:w="2600" w:space="720"/>
            <w:col w:w="1620" w:space="720"/>
            <w:col w:w="2060"/>
          </w:cols>
          <w:pgMar w:left="240" w:top="698" w:right="239" w:bottom="0" w:gutter="0" w:footer="0" w:header="0"/>
          <w:type w:val="continuous"/>
        </w:sectPr>
      </w:pPr>
    </w:p>
    <w:p>
      <w:pPr>
        <w:jc w:val="center"/>
        <w:ind w:left="4240"/>
        <w:spacing w:after="0"/>
        <w:rPr>
          <w:sz w:val="20"/>
          <w:szCs w:val="20"/>
          <w:color w:val="auto"/>
        </w:rPr>
      </w:pPr>
      <w:r>
        <w:rPr>
          <w:rFonts w:ascii="Arial" w:cs="Arial" w:eastAsia="Arial" w:hAnsi="Arial"/>
          <w:sz w:val="12"/>
          <w:szCs w:val="12"/>
          <w:color w:val="auto"/>
        </w:rPr>
        <w:t>(Do not check if a smaller</w:t>
      </w:r>
    </w:p>
    <w:p>
      <w:pPr>
        <w:jc w:val="center"/>
        <w:ind w:left="4240"/>
        <w:spacing w:after="0"/>
        <w:rPr>
          <w:sz w:val="20"/>
          <w:szCs w:val="20"/>
          <w:color w:val="auto"/>
        </w:rPr>
      </w:pPr>
      <w:r>
        <w:rPr>
          <w:rFonts w:ascii="Arial" w:cs="Arial" w:eastAsia="Arial" w:hAnsi="Arial"/>
          <w:sz w:val="14"/>
          <w:szCs w:val="14"/>
          <w:color w:val="auto"/>
        </w:rPr>
        <w:t>reporting company)</w:t>
      </w:r>
    </w:p>
    <w:p>
      <w:pPr>
        <w:sectPr>
          <w:pgSz w:w="11900" w:h="16838" w:orient="portrait"/>
          <w:cols w:equalWidth="0" w:num="1">
            <w:col w:w="11420"/>
          </w:cols>
          <w:pgMar w:left="240" w:top="698" w:right="239" w:bottom="0" w:gutter="0" w:footer="0" w:header="0"/>
          <w:type w:val="continuous"/>
        </w:sectPr>
      </w:pPr>
    </w:p>
    <w:p>
      <w:pPr>
        <w:spacing w:after="0" w:line="194" w:lineRule="exact"/>
        <w:rPr>
          <w:sz w:val="24"/>
          <w:szCs w:val="24"/>
          <w:color w:val="auto"/>
        </w:rPr>
      </w:pPr>
    </w:p>
    <w:p>
      <w:pPr>
        <w:ind w:left="40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2">
            <w:col w:w="8800" w:space="160"/>
            <w:col w:w="2460"/>
          </w:cols>
          <w:pgMar w:left="240" w:top="698" w:right="239" w:bottom="0" w:gutter="0" w:footer="0" w:header="0"/>
          <w:type w:val="continuous"/>
        </w:sectPr>
      </w:pPr>
    </w:p>
    <w:p>
      <w:pPr>
        <w:spacing w:after="0" w:line="60" w:lineRule="exact"/>
        <w:rPr>
          <w:sz w:val="24"/>
          <w:szCs w:val="24"/>
          <w:color w:val="auto"/>
        </w:rPr>
      </w:pPr>
    </w:p>
    <w:p>
      <w:pPr>
        <w:ind w:right="20" w:firstLine="392"/>
        <w:spacing w:after="0" w:line="259" w:lineRule="auto"/>
        <w:rPr>
          <w:sz w:val="20"/>
          <w:szCs w:val="20"/>
          <w:color w:val="auto"/>
        </w:rPr>
      </w:pPr>
      <w:r>
        <w:rPr>
          <w:rFonts w:ascii="Arial" w:cs="Arial" w:eastAsia="Arial" w:hAnsi="Arial"/>
          <w:sz w:val="18"/>
          <w:szCs w:val="18"/>
          <w:color w:val="auto"/>
        </w:rPr>
        <w:t>The aggregate market value of the common stock held by non-affiliates of the Registrant was approximately $274,438,000 based on the closing price for the Common Stock on the NASDAQ Global Select Market on June 30, 2009. As of February 17, 2010, there were 274,640,560 shares of common stock, $0.001 par value, outstanding.</w:t>
      </w:r>
    </w:p>
    <w:p>
      <w:pPr>
        <w:sectPr>
          <w:pgSz w:w="11900" w:h="16838" w:orient="portrait"/>
          <w:cols w:equalWidth="0" w:num="1">
            <w:col w:w="11420"/>
          </w:cols>
          <w:pgMar w:left="240" w:top="698" w:right="239" w:bottom="0" w:gutter="0" w:footer="0" w:header="0"/>
          <w:type w:val="continuous"/>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firstLine="395"/>
        <w:spacing w:after="0" w:line="268" w:lineRule="auto"/>
        <w:rPr>
          <w:sz w:val="20"/>
          <w:szCs w:val="20"/>
          <w:color w:val="auto"/>
        </w:rPr>
      </w:pPr>
      <w:r>
        <w:rPr>
          <w:rFonts w:ascii="Arial" w:cs="Arial" w:eastAsia="Arial" w:hAnsi="Arial"/>
          <w:sz w:val="18"/>
          <w:szCs w:val="18"/>
          <w:color w:val="auto"/>
        </w:rPr>
        <w:t>Portions of the definitive Proxy Statement to be delivered to stockholders in connection with the 2010 Annual Meeting of Stockholders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301625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500" w:type="dxa"/>
            <w:vAlign w:val="bottom"/>
            <w:gridSpan w:val="11"/>
          </w:tcPr>
          <w:p>
            <w:pPr>
              <w:jc w:val="center"/>
              <w:ind w:right="2940"/>
              <w:spacing w:after="0"/>
              <w:rPr>
                <w:sz w:val="20"/>
                <w:szCs w:val="20"/>
                <w:color w:val="auto"/>
              </w:rPr>
            </w:pPr>
            <w:r>
              <w:rPr>
                <w:rFonts w:ascii="Arial" w:cs="Arial" w:eastAsia="Arial" w:hAnsi="Arial"/>
                <w:sz w:val="18"/>
                <w:szCs w:val="18"/>
                <w:b w:val="1"/>
                <w:bCs w:val="1"/>
                <w:color w:val="auto"/>
                <w:w w:val="96"/>
              </w:rPr>
              <w:t>SONUS NETWORKS, INC.</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40" w:type="dxa"/>
            <w:vAlign w:val="bottom"/>
            <w:gridSpan w:val="9"/>
          </w:tcPr>
          <w:p>
            <w:pPr>
              <w:jc w:val="center"/>
              <w:ind w:right="3420"/>
              <w:spacing w:after="0"/>
              <w:rPr>
                <w:sz w:val="20"/>
                <w:szCs w:val="20"/>
                <w:color w:val="auto"/>
              </w:rPr>
            </w:pPr>
            <w:r>
              <w:rPr>
                <w:rFonts w:ascii="Arial" w:cs="Arial" w:eastAsia="Arial" w:hAnsi="Arial"/>
                <w:sz w:val="18"/>
                <w:szCs w:val="18"/>
                <w:b w:val="1"/>
                <w:bCs w:val="1"/>
                <w:color w:val="auto"/>
                <w:w w:val="96"/>
              </w:rPr>
              <w:t>FORM 10-K</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00" w:type="dxa"/>
            <w:vAlign w:val="bottom"/>
            <w:gridSpan w:val="12"/>
          </w:tcPr>
          <w:p>
            <w:pPr>
              <w:jc w:val="center"/>
              <w:ind w:right="2140"/>
              <w:spacing w:after="0"/>
              <w:rPr>
                <w:sz w:val="20"/>
                <w:szCs w:val="20"/>
                <w:color w:val="auto"/>
              </w:rPr>
            </w:pPr>
            <w:r>
              <w:rPr>
                <w:rFonts w:ascii="Arial" w:cs="Arial" w:eastAsia="Arial" w:hAnsi="Arial"/>
                <w:sz w:val="18"/>
                <w:szCs w:val="18"/>
                <w:b w:val="1"/>
                <w:bCs w:val="1"/>
                <w:color w:val="auto"/>
                <w:w w:val="95"/>
              </w:rPr>
              <w:t>YEAR ENDED DECEMBER 31, 2009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8"/>
        </w:trPr>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0" w:type="dxa"/>
            <w:vAlign w:val="bottom"/>
            <w:gridSpan w:val="10"/>
          </w:tcPr>
          <w:p>
            <w:pPr>
              <w:jc w:val="center"/>
              <w:ind w:right="3240"/>
              <w:spacing w:after="0"/>
              <w:rPr>
                <w:sz w:val="20"/>
                <w:szCs w:val="20"/>
                <w:color w:val="auto"/>
              </w:rPr>
            </w:pPr>
            <w:r>
              <w:rPr>
                <w:rFonts w:ascii="Arial" w:cs="Arial" w:eastAsia="Arial" w:hAnsi="Arial"/>
                <w:sz w:val="18"/>
                <w:szCs w:val="18"/>
                <w:b w:val="1"/>
                <w:bCs w:val="1"/>
                <w:color w:val="auto"/>
                <w:w w:val="96"/>
              </w:rPr>
              <w:t>TABLE OF CONTENTS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67"/>
        </w:trPr>
        <w:tc>
          <w:tcPr>
            <w:tcW w:w="1140" w:type="dxa"/>
            <w:vAlign w:val="bottom"/>
          </w:tcPr>
          <w:p>
            <w:pPr>
              <w:spacing w:after="0"/>
              <w:rPr>
                <w:sz w:val="24"/>
                <w:szCs w:val="24"/>
                <w:color w:val="auto"/>
              </w:rPr>
            </w:pPr>
          </w:p>
        </w:tc>
        <w:tc>
          <w:tcPr>
            <w:tcW w:w="500" w:type="dxa"/>
            <w:vAlign w:val="bottom"/>
            <w:gridSpan w:val="5"/>
          </w:tcPr>
          <w:p>
            <w:pPr>
              <w:spacing w:after="0"/>
              <w:rPr>
                <w:sz w:val="20"/>
                <w:szCs w:val="20"/>
                <w:color w:val="auto"/>
              </w:rPr>
            </w:pPr>
            <w:r>
              <w:rPr>
                <w:rFonts w:ascii="Arial" w:cs="Arial" w:eastAsia="Arial" w:hAnsi="Arial"/>
                <w:sz w:val="14"/>
                <w:szCs w:val="14"/>
                <w:b w:val="1"/>
                <w:bCs w:val="1"/>
                <w:color w:val="auto"/>
              </w:rPr>
              <w:t>Item</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gridSpan w:val="5"/>
          </w:tcPr>
          <w:p>
            <w:pPr>
              <w:ind w:left="40"/>
              <w:spacing w:after="0"/>
              <w:rPr>
                <w:sz w:val="20"/>
                <w:szCs w:val="20"/>
                <w:color w:val="auto"/>
              </w:rPr>
            </w:pPr>
            <w:r>
              <w:rPr>
                <w:rFonts w:ascii="Arial" w:cs="Arial" w:eastAsia="Arial" w:hAnsi="Arial"/>
                <w:sz w:val="14"/>
                <w:szCs w:val="14"/>
                <w:b w:val="1"/>
                <w:bCs w:val="1"/>
                <w:color w:val="auto"/>
              </w:rPr>
              <w:t>Page</w:t>
            </w:r>
          </w:p>
        </w:tc>
      </w:tr>
      <w:tr>
        <w:trPr>
          <w:trHeight w:val="169"/>
        </w:trPr>
        <w:tc>
          <w:tcPr>
            <w:tcW w:w="1140" w:type="dxa"/>
            <w:vAlign w:val="bottom"/>
          </w:tcPr>
          <w:p>
            <w:pPr>
              <w:spacing w:after="0"/>
              <w:rPr>
                <w:sz w:val="14"/>
                <w:szCs w:val="14"/>
                <w:color w:val="auto"/>
              </w:rPr>
            </w:pPr>
          </w:p>
        </w:tc>
        <w:tc>
          <w:tcPr>
            <w:tcW w:w="320" w:type="dxa"/>
            <w:vAlign w:val="bottom"/>
            <w:tcBorders>
              <w:top w:val="single" w:sz="8" w:color="auto"/>
              <w:bottom w:val="single" w:sz="8" w:color="0000EE"/>
            </w:tcBorders>
            <w:gridSpan w:val="3"/>
          </w:tcPr>
          <w:p>
            <w:pPr>
              <w:spacing w:after="0" w:line="170" w:lineRule="exact"/>
              <w:rPr>
                <w:rFonts w:ascii="Arial" w:cs="Arial" w:eastAsia="Arial" w:hAnsi="Arial"/>
                <w:sz w:val="18"/>
                <w:szCs w:val="18"/>
                <w:b w:val="1"/>
                <w:bCs w:val="1"/>
                <w:color w:val="0000EE"/>
                <w:w w:val="85"/>
              </w:rPr>
            </w:pPr>
            <w:hyperlink w:anchor="page4">
              <w:r>
                <w:rPr>
                  <w:rFonts w:ascii="Arial" w:cs="Arial" w:eastAsia="Arial" w:hAnsi="Arial"/>
                  <w:sz w:val="18"/>
                  <w:szCs w:val="18"/>
                  <w:b w:val="1"/>
                  <w:bCs w:val="1"/>
                  <w:color w:val="0000EE"/>
                  <w:w w:val="85"/>
                </w:rPr>
                <w:t>Part</w:t>
              </w:r>
            </w:hyperlink>
          </w:p>
        </w:tc>
        <w:tc>
          <w:tcPr>
            <w:tcW w:w="140" w:type="dxa"/>
            <w:vAlign w:val="bottom"/>
            <w:tcBorders>
              <w:bottom w:val="single" w:sz="8" w:color="0000EE"/>
            </w:tcBorders>
          </w:tcPr>
          <w:p>
            <w:pPr>
              <w:ind w:left="60"/>
              <w:spacing w:after="0" w:line="170"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w:t>
              </w:r>
            </w:hyperlink>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4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4"/>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7660" w:type="dxa"/>
            <w:vAlign w:val="bottom"/>
            <w:gridSpan w:val="22"/>
          </w:tcPr>
          <w:p>
            <w:pPr>
              <w:spacing w:after="0"/>
              <w:rPr>
                <w:sz w:val="17"/>
                <w:szCs w:val="17"/>
                <w:color w:val="auto"/>
              </w:rPr>
            </w:pPr>
          </w:p>
        </w:tc>
        <w:tc>
          <w:tcPr>
            <w:tcW w:w="340" w:type="dxa"/>
            <w:vAlign w:val="bottom"/>
            <w:gridSpan w:val="4"/>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Borders>
              <w:bottom w:val="single" w:sz="8" w:color="0000EE"/>
            </w:tcBorders>
            <w:gridSpan w:val="2"/>
          </w:tcPr>
          <w:p>
            <w:pPr>
              <w:spacing w:after="0"/>
              <w:rPr>
                <w:rFonts w:ascii="Arial" w:cs="Arial" w:eastAsia="Arial" w:hAnsi="Arial"/>
                <w:sz w:val="16"/>
                <w:szCs w:val="16"/>
                <w:color w:val="0000EE"/>
                <w:w w:val="74"/>
              </w:rPr>
            </w:pPr>
            <w:hyperlink w:anchor="page15">
              <w:r>
                <w:rPr>
                  <w:rFonts w:ascii="Arial" w:cs="Arial" w:eastAsia="Arial" w:hAnsi="Arial"/>
                  <w:sz w:val="16"/>
                  <w:szCs w:val="16"/>
                  <w:color w:val="0000EE"/>
                  <w:w w:val="74"/>
                </w:rPr>
                <w:t>1A.</w:t>
              </w:r>
            </w:hyperlink>
          </w:p>
        </w:tc>
        <w:tc>
          <w:tcPr>
            <w:tcW w:w="280" w:type="dxa"/>
            <w:vAlign w:val="bottom"/>
            <w:gridSpan w:val="3"/>
          </w:tcPr>
          <w:p>
            <w:pPr>
              <w:spacing w:after="0"/>
              <w:rPr>
                <w:sz w:val="17"/>
                <w:szCs w:val="17"/>
                <w:color w:val="auto"/>
              </w:rPr>
            </w:pPr>
          </w:p>
        </w:tc>
        <w:tc>
          <w:tcPr>
            <w:tcW w:w="90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Risk Factors</w:t>
              </w:r>
            </w:hyperlink>
          </w:p>
        </w:tc>
        <w:tc>
          <w:tcPr>
            <w:tcW w:w="7400" w:type="dxa"/>
            <w:vAlign w:val="bottom"/>
            <w:gridSpan w:val="19"/>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12</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gridSpan w:val="2"/>
          </w:tcPr>
          <w:p>
            <w:pPr>
              <w:spacing w:after="0"/>
              <w:rPr>
                <w:rFonts w:ascii="Arial" w:cs="Arial" w:eastAsia="Arial" w:hAnsi="Arial"/>
                <w:sz w:val="16"/>
                <w:szCs w:val="16"/>
                <w:color w:val="0000EE"/>
                <w:w w:val="74"/>
              </w:rPr>
            </w:pPr>
            <w:hyperlink w:anchor="page31">
              <w:r>
                <w:rPr>
                  <w:rFonts w:ascii="Arial" w:cs="Arial" w:eastAsia="Arial" w:hAnsi="Arial"/>
                  <w:sz w:val="16"/>
                  <w:szCs w:val="16"/>
                  <w:color w:val="0000EE"/>
                  <w:w w:val="74"/>
                </w:rPr>
                <w:t>1B.</w:t>
              </w:r>
            </w:hyperlink>
          </w:p>
        </w:tc>
        <w:tc>
          <w:tcPr>
            <w:tcW w:w="280" w:type="dxa"/>
            <w:vAlign w:val="bottom"/>
            <w:gridSpan w:val="3"/>
          </w:tcPr>
          <w:p>
            <w:pPr>
              <w:spacing w:after="0"/>
              <w:rPr>
                <w:sz w:val="17"/>
                <w:szCs w:val="17"/>
                <w:color w:val="auto"/>
              </w:rPr>
            </w:pPr>
          </w:p>
        </w:tc>
        <w:tc>
          <w:tcPr>
            <w:tcW w:w="8300" w:type="dxa"/>
            <w:vAlign w:val="bottom"/>
            <w:gridSpan w:val="2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Unresolved Staff Comments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28</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40" w:type="dxa"/>
            <w:vAlign w:val="bottom"/>
            <w:tcBorders>
              <w:top w:val="single" w:sz="8" w:color="0000EE"/>
            </w:tcBorders>
          </w:tcPr>
          <w:p>
            <w:pPr>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w:t>
              </w:r>
            </w:hyperlink>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Properties</w:t>
              </w:r>
            </w:hyperlink>
          </w:p>
        </w:tc>
        <w:tc>
          <w:tcPr>
            <w:tcW w:w="6300" w:type="dxa"/>
            <w:vAlign w:val="bottom"/>
            <w:gridSpan w:val="12"/>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29</w:t>
              </w:r>
            </w:hyperlink>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3.</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Legal Proceedings</w:t>
              </w:r>
            </w:hyperlink>
          </w:p>
        </w:tc>
        <w:tc>
          <w:tcPr>
            <w:tcW w:w="6980" w:type="dxa"/>
            <w:vAlign w:val="bottom"/>
            <w:gridSpan w:val="16"/>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29</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line="19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4.</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300" w:type="dxa"/>
            <w:vAlign w:val="bottom"/>
            <w:gridSpan w:val="2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Submission of Matters to a Vote of Security Holders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580" w:type="dxa"/>
            <w:vAlign w:val="bottom"/>
            <w:gridSpan w:val="29"/>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128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5.</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300" w:type="dxa"/>
            <w:vAlign w:val="bottom"/>
            <w:gridSpan w:val="26"/>
          </w:tcPr>
          <w:p>
            <w:pPr>
              <w:spacing w:after="0" w:line="196" w:lineRule="exact"/>
              <w:rPr>
                <w:rFonts w:ascii="Arial" w:cs="Arial" w:eastAsia="Arial" w:hAnsi="Arial"/>
                <w:sz w:val="18"/>
                <w:szCs w:val="18"/>
                <w:color w:val="0000EE"/>
                <w:w w:val="99"/>
              </w:rPr>
            </w:pPr>
            <w:hyperlink w:anchor="page34">
              <w:r>
                <w:rPr>
                  <w:rFonts w:ascii="Arial" w:cs="Arial" w:eastAsia="Arial" w:hAnsi="Arial"/>
                  <w:sz w:val="18"/>
                  <w:szCs w:val="18"/>
                  <w:color w:val="0000EE"/>
                  <w:w w:val="99"/>
                </w:rPr>
                <w:t>Market for Registrant's Common Equity, Related Stockholder Matters and Purchases of Equity Securities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31</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6.</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Selected Financial Data</w:t>
              </w:r>
            </w:hyperlink>
          </w:p>
        </w:tc>
        <w:tc>
          <w:tcPr>
            <w:tcW w:w="5720" w:type="dxa"/>
            <w:vAlign w:val="bottom"/>
            <w:tcBorders>
              <w:top w:val="single" w:sz="8" w:color="0000EE"/>
            </w:tcBorders>
            <w:gridSpan w:val="14"/>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33</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7.</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30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Management's Discussion and Analysis of Financial Condition and Results of Operations</w:t>
              </w:r>
            </w:hyperlink>
          </w:p>
        </w:tc>
        <w:tc>
          <w:tcPr>
            <w:tcW w:w="2000" w:type="dxa"/>
            <w:vAlign w:val="bottom"/>
            <w:gridSpan w:val="4"/>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34</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Borders>
              <w:bottom w:val="single" w:sz="8" w:color="0000EE"/>
            </w:tcBorders>
            <w:gridSpan w:val="2"/>
          </w:tcPr>
          <w:p>
            <w:pPr>
              <w:spacing w:after="0"/>
              <w:rPr>
                <w:rFonts w:ascii="Arial" w:cs="Arial" w:eastAsia="Arial" w:hAnsi="Arial"/>
                <w:sz w:val="16"/>
                <w:szCs w:val="16"/>
                <w:color w:val="0000EE"/>
                <w:w w:val="74"/>
              </w:rPr>
            </w:pPr>
            <w:hyperlink w:anchor="page53">
              <w:r>
                <w:rPr>
                  <w:rFonts w:ascii="Arial" w:cs="Arial" w:eastAsia="Arial" w:hAnsi="Arial"/>
                  <w:sz w:val="16"/>
                  <w:szCs w:val="16"/>
                  <w:color w:val="0000EE"/>
                  <w:w w:val="74"/>
                </w:rPr>
                <w:t>7A.</w:t>
              </w:r>
            </w:hyperlink>
          </w:p>
        </w:tc>
        <w:tc>
          <w:tcPr>
            <w:tcW w:w="280" w:type="dxa"/>
            <w:vAlign w:val="bottom"/>
            <w:gridSpan w:val="3"/>
          </w:tcPr>
          <w:p>
            <w:pPr>
              <w:spacing w:after="0"/>
              <w:rPr>
                <w:sz w:val="17"/>
                <w:szCs w:val="17"/>
                <w:color w:val="auto"/>
              </w:rPr>
            </w:pPr>
          </w:p>
        </w:tc>
        <w:tc>
          <w:tcPr>
            <w:tcW w:w="422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Quantitative and Qualitative Disclosures about Market Risk</w:t>
              </w:r>
            </w:hyperlink>
          </w:p>
        </w:tc>
        <w:tc>
          <w:tcPr>
            <w:tcW w:w="4080" w:type="dxa"/>
            <w:vAlign w:val="bottom"/>
            <w:gridSpan w:val="6"/>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50</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8.</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6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Financial Statements and Supplementary Data</w:t>
              </w:r>
            </w:hyperlink>
          </w:p>
        </w:tc>
        <w:tc>
          <w:tcPr>
            <w:tcW w:w="5040" w:type="dxa"/>
            <w:vAlign w:val="bottom"/>
            <w:gridSpan w:val="9"/>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51</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line="196" w:lineRule="exact"/>
              <w:rPr>
                <w:rFonts w:ascii="Arial" w:cs="Arial" w:eastAsia="Arial" w:hAnsi="Arial"/>
                <w:sz w:val="18"/>
                <w:szCs w:val="18"/>
                <w:color w:val="0000EE"/>
                <w:w w:val="79"/>
              </w:rPr>
            </w:pPr>
            <w:hyperlink w:anchor="page100">
              <w:r>
                <w:rPr>
                  <w:rFonts w:ascii="Arial" w:cs="Arial" w:eastAsia="Arial" w:hAnsi="Arial"/>
                  <w:sz w:val="18"/>
                  <w:szCs w:val="18"/>
                  <w:color w:val="0000EE"/>
                  <w:w w:val="79"/>
                </w:rPr>
                <w:t>9.</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300" w:type="dxa"/>
            <w:vAlign w:val="bottom"/>
            <w:gridSpan w:val="26"/>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Changes in and Disagreements with Accountants on Accounting and Financial Disclosure</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96</w:t>
              </w:r>
            </w:hyperlink>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Borders>
              <w:bottom w:val="single" w:sz="8" w:color="0000EE"/>
            </w:tcBorders>
            <w:gridSpan w:val="2"/>
          </w:tcPr>
          <w:p>
            <w:pPr>
              <w:spacing w:after="0"/>
              <w:rPr>
                <w:rFonts w:ascii="Arial" w:cs="Arial" w:eastAsia="Arial" w:hAnsi="Arial"/>
                <w:sz w:val="16"/>
                <w:szCs w:val="16"/>
                <w:color w:val="0000EE"/>
                <w:w w:val="74"/>
              </w:rPr>
            </w:pPr>
            <w:hyperlink w:anchor="page100">
              <w:r>
                <w:rPr>
                  <w:rFonts w:ascii="Arial" w:cs="Arial" w:eastAsia="Arial" w:hAnsi="Arial"/>
                  <w:sz w:val="16"/>
                  <w:szCs w:val="16"/>
                  <w:color w:val="0000EE"/>
                  <w:w w:val="74"/>
                </w:rPr>
                <w:t>9A.</w:t>
              </w:r>
            </w:hyperlink>
          </w:p>
        </w:tc>
        <w:tc>
          <w:tcPr>
            <w:tcW w:w="280" w:type="dxa"/>
            <w:vAlign w:val="bottom"/>
            <w:gridSpan w:val="3"/>
          </w:tcPr>
          <w:p>
            <w:pPr>
              <w:spacing w:after="0"/>
              <w:rPr>
                <w:sz w:val="17"/>
                <w:szCs w:val="17"/>
                <w:color w:val="auto"/>
              </w:rPr>
            </w:pPr>
          </w:p>
        </w:tc>
        <w:tc>
          <w:tcPr>
            <w:tcW w:w="174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100">
              <w:r>
                <w:rPr>
                  <w:rFonts w:ascii="Arial" w:cs="Arial" w:eastAsia="Arial" w:hAnsi="Arial"/>
                  <w:sz w:val="18"/>
                  <w:szCs w:val="18"/>
                  <w:color w:val="0000EE"/>
                  <w:w w:val="86"/>
                </w:rPr>
                <w:t>Controls and Procedures</w:t>
              </w:r>
            </w:hyperlink>
          </w:p>
        </w:tc>
        <w:tc>
          <w:tcPr>
            <w:tcW w:w="6560" w:type="dxa"/>
            <w:vAlign w:val="bottom"/>
            <w:gridSpan w:val="14"/>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00">
              <w:r>
                <w:rPr>
                  <w:rFonts w:ascii="Arial" w:cs="Arial" w:eastAsia="Arial" w:hAnsi="Arial"/>
                  <w:sz w:val="18"/>
                  <w:szCs w:val="18"/>
                  <w:color w:val="0000EE"/>
                  <w:w w:val="79"/>
                </w:rPr>
                <w:t>96</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Borders>
              <w:bottom w:val="single" w:sz="8" w:color="0000EE"/>
            </w:tcBorders>
            <w:gridSpan w:val="2"/>
          </w:tcPr>
          <w:p>
            <w:pPr>
              <w:spacing w:after="0"/>
              <w:rPr>
                <w:rFonts w:ascii="Arial" w:cs="Arial" w:eastAsia="Arial" w:hAnsi="Arial"/>
                <w:sz w:val="16"/>
                <w:szCs w:val="16"/>
                <w:color w:val="0000EE"/>
                <w:w w:val="74"/>
              </w:rPr>
            </w:pPr>
            <w:hyperlink w:anchor="page103">
              <w:r>
                <w:rPr>
                  <w:rFonts w:ascii="Arial" w:cs="Arial" w:eastAsia="Arial" w:hAnsi="Arial"/>
                  <w:sz w:val="16"/>
                  <w:szCs w:val="16"/>
                  <w:color w:val="0000EE"/>
                  <w:w w:val="74"/>
                </w:rPr>
                <w:t>9B.</w:t>
              </w:r>
            </w:hyperlink>
          </w:p>
        </w:tc>
        <w:tc>
          <w:tcPr>
            <w:tcW w:w="280" w:type="dxa"/>
            <w:vAlign w:val="bottom"/>
            <w:gridSpan w:val="3"/>
          </w:tcPr>
          <w:p>
            <w:pPr>
              <w:spacing w:after="0"/>
              <w:rPr>
                <w:sz w:val="17"/>
                <w:szCs w:val="17"/>
                <w:color w:val="auto"/>
              </w:rPr>
            </w:pPr>
          </w:p>
        </w:tc>
        <w:tc>
          <w:tcPr>
            <w:tcW w:w="13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103">
              <w:r>
                <w:rPr>
                  <w:rFonts w:ascii="Arial" w:cs="Arial" w:eastAsia="Arial" w:hAnsi="Arial"/>
                  <w:sz w:val="18"/>
                  <w:szCs w:val="18"/>
                  <w:color w:val="0000EE"/>
                  <w:w w:val="91"/>
                </w:rPr>
                <w:t>Other Information</w:t>
              </w:r>
            </w:hyperlink>
          </w:p>
        </w:tc>
        <w:tc>
          <w:tcPr>
            <w:tcW w:w="7000" w:type="dxa"/>
            <w:vAlign w:val="bottom"/>
            <w:gridSpan w:val="17"/>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03">
              <w:r>
                <w:rPr>
                  <w:rFonts w:ascii="Arial" w:cs="Arial" w:eastAsia="Arial" w:hAnsi="Arial"/>
                  <w:sz w:val="18"/>
                  <w:szCs w:val="18"/>
                  <w:color w:val="0000EE"/>
                  <w:w w:val="79"/>
                </w:rPr>
                <w:t>99</w:t>
              </w:r>
            </w:hyperlink>
          </w:p>
        </w:tc>
        <w:tc>
          <w:tcPr>
            <w:tcW w:w="1140" w:type="dxa"/>
            <w:vAlign w:val="bottom"/>
          </w:tcPr>
          <w:p>
            <w:pPr>
              <w:spacing w:after="0"/>
              <w:rPr>
                <w:sz w:val="17"/>
                <w:szCs w:val="17"/>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Borders>
              <w:bottom w:val="single" w:sz="8" w:color="0000EE"/>
            </w:tcBorders>
            <w:gridSpan w:val="6"/>
          </w:tcPr>
          <w:p>
            <w:pPr>
              <w:spacing w:after="0"/>
              <w:rPr>
                <w:rFonts w:ascii="Arial" w:cs="Arial" w:eastAsia="Arial" w:hAnsi="Arial"/>
                <w:sz w:val="18"/>
                <w:szCs w:val="18"/>
                <w:b w:val="1"/>
                <w:bCs w:val="1"/>
                <w:color w:val="0000EE"/>
                <w:w w:val="98"/>
              </w:rPr>
            </w:pPr>
            <w:hyperlink w:anchor="page103">
              <w:r>
                <w:rPr>
                  <w:rFonts w:ascii="Arial" w:cs="Arial" w:eastAsia="Arial" w:hAnsi="Arial"/>
                  <w:sz w:val="18"/>
                  <w:szCs w:val="18"/>
                  <w:b w:val="1"/>
                  <w:bCs w:val="1"/>
                  <w:color w:val="0000EE"/>
                  <w:w w:val="98"/>
                </w:rPr>
                <w:t>Part III</w:t>
              </w:r>
            </w:hyperlink>
          </w:p>
        </w:tc>
        <w:tc>
          <w:tcPr>
            <w:tcW w:w="8020" w:type="dxa"/>
            <w:vAlign w:val="bottom"/>
            <w:gridSpan w:val="23"/>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gridSpan w:val="2"/>
          </w:tcPr>
          <w:p>
            <w:pPr>
              <w:spacing w:after="0" w:line="196" w:lineRule="exact"/>
              <w:rPr>
                <w:rFonts w:ascii="Arial" w:cs="Arial" w:eastAsia="Arial" w:hAnsi="Arial"/>
                <w:sz w:val="18"/>
                <w:szCs w:val="18"/>
                <w:color w:val="0000EE"/>
                <w:w w:val="71"/>
              </w:rPr>
            </w:pPr>
            <w:hyperlink w:anchor="page103">
              <w:r>
                <w:rPr>
                  <w:rFonts w:ascii="Arial" w:cs="Arial" w:eastAsia="Arial" w:hAnsi="Arial"/>
                  <w:sz w:val="18"/>
                  <w:szCs w:val="18"/>
                  <w:color w:val="0000EE"/>
                  <w:w w:val="71"/>
                </w:rPr>
                <w:t>10.</w:t>
              </w:r>
            </w:hyperlink>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300" w:type="dxa"/>
            <w:vAlign w:val="bottom"/>
            <w:gridSpan w:val="26"/>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Directors, Executive Officers and Corporate Governance</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99</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Borders>
              <w:top w:val="single" w:sz="8" w:color="0000EE"/>
            </w:tcBorders>
            <w:gridSpan w:val="2"/>
          </w:tcPr>
          <w:p>
            <w:pPr>
              <w:spacing w:after="0" w:line="196" w:lineRule="exact"/>
              <w:rPr>
                <w:rFonts w:ascii="Arial" w:cs="Arial" w:eastAsia="Arial" w:hAnsi="Arial"/>
                <w:sz w:val="18"/>
                <w:szCs w:val="18"/>
                <w:color w:val="0000EE"/>
                <w:w w:val="71"/>
              </w:rPr>
            </w:pPr>
            <w:hyperlink w:anchor="page103">
              <w:r>
                <w:rPr>
                  <w:rFonts w:ascii="Arial" w:cs="Arial" w:eastAsia="Arial" w:hAnsi="Arial"/>
                  <w:sz w:val="18"/>
                  <w:szCs w:val="18"/>
                  <w:color w:val="0000EE"/>
                  <w:w w:val="71"/>
                </w:rPr>
                <w:t>11.</w:t>
              </w:r>
            </w:hyperlink>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Executive Compensation</w:t>
              </w:r>
            </w:hyperlink>
          </w:p>
        </w:tc>
        <w:tc>
          <w:tcPr>
            <w:tcW w:w="4300" w:type="dxa"/>
            <w:vAlign w:val="bottom"/>
            <w:gridSpan w:val="7"/>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103">
              <w:r>
                <w:rPr>
                  <w:rFonts w:ascii="Arial" w:cs="Arial" w:eastAsia="Arial" w:hAnsi="Arial"/>
                  <w:sz w:val="18"/>
                  <w:szCs w:val="18"/>
                  <w:color w:val="0000EE"/>
                  <w:w w:val="79"/>
                </w:rPr>
                <w:t>99</w:t>
              </w:r>
            </w:hyperlink>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gridSpan w:val="2"/>
          </w:tcPr>
          <w:p>
            <w:pPr>
              <w:spacing w:after="0" w:line="196" w:lineRule="exact"/>
              <w:rPr>
                <w:rFonts w:ascii="Arial" w:cs="Arial" w:eastAsia="Arial" w:hAnsi="Arial"/>
                <w:sz w:val="18"/>
                <w:szCs w:val="18"/>
                <w:color w:val="0000EE"/>
                <w:w w:val="71"/>
              </w:rPr>
            </w:pPr>
            <w:hyperlink w:anchor="page103">
              <w:r>
                <w:rPr>
                  <w:rFonts w:ascii="Arial" w:cs="Arial" w:eastAsia="Arial" w:hAnsi="Arial"/>
                  <w:sz w:val="18"/>
                  <w:szCs w:val="18"/>
                  <w:color w:val="0000EE"/>
                  <w:w w:val="71"/>
                </w:rPr>
                <w:t>12.</w:t>
              </w:r>
            </w:hyperlink>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300" w:type="dxa"/>
            <w:vAlign w:val="bottom"/>
            <w:gridSpan w:val="26"/>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Security Ownership of Certain Beneficial Owners and Management and Related Stockholder Matters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99</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Borders>
              <w:top w:val="single" w:sz="8" w:color="0000EE"/>
            </w:tcBorders>
            <w:gridSpan w:val="2"/>
          </w:tcPr>
          <w:p>
            <w:pPr>
              <w:spacing w:after="0" w:line="196" w:lineRule="exact"/>
              <w:rPr>
                <w:rFonts w:ascii="Arial" w:cs="Arial" w:eastAsia="Arial" w:hAnsi="Arial"/>
                <w:sz w:val="18"/>
                <w:szCs w:val="18"/>
                <w:color w:val="0000EE"/>
                <w:w w:val="71"/>
              </w:rPr>
            </w:pPr>
            <w:hyperlink w:anchor="page103">
              <w:r>
                <w:rPr>
                  <w:rFonts w:ascii="Arial" w:cs="Arial" w:eastAsia="Arial" w:hAnsi="Arial"/>
                  <w:sz w:val="18"/>
                  <w:szCs w:val="18"/>
                  <w:color w:val="0000EE"/>
                  <w:w w:val="71"/>
                </w:rPr>
                <w:t>13.</w:t>
              </w:r>
            </w:hyperlink>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1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Certain Relationships and Related Transactions, and Director Independence</w:t>
              </w:r>
            </w:hyperlink>
          </w:p>
        </w:tc>
        <w:tc>
          <w:tcPr>
            <w:tcW w:w="1180" w:type="dxa"/>
            <w:vAlign w:val="bottom"/>
            <w:gridSpan w:val="2"/>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103">
              <w:r>
                <w:rPr>
                  <w:rFonts w:ascii="Arial" w:cs="Arial" w:eastAsia="Arial" w:hAnsi="Arial"/>
                  <w:sz w:val="18"/>
                  <w:szCs w:val="18"/>
                  <w:color w:val="0000EE"/>
                  <w:w w:val="79"/>
                </w:rPr>
                <w:t>99</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Borders>
              <w:top w:val="single" w:sz="8" w:color="0000EE"/>
            </w:tcBorders>
            <w:gridSpan w:val="2"/>
          </w:tcPr>
          <w:p>
            <w:pPr>
              <w:spacing w:after="0" w:line="196" w:lineRule="exact"/>
              <w:rPr>
                <w:rFonts w:ascii="Arial" w:cs="Arial" w:eastAsia="Arial" w:hAnsi="Arial"/>
                <w:sz w:val="18"/>
                <w:szCs w:val="18"/>
                <w:color w:val="0000EE"/>
                <w:w w:val="71"/>
              </w:rPr>
            </w:pPr>
            <w:hyperlink w:anchor="page103">
              <w:r>
                <w:rPr>
                  <w:rFonts w:ascii="Arial" w:cs="Arial" w:eastAsia="Arial" w:hAnsi="Arial"/>
                  <w:sz w:val="18"/>
                  <w:szCs w:val="18"/>
                  <w:color w:val="0000EE"/>
                  <w:w w:val="71"/>
                </w:rPr>
                <w:t>14.</w:t>
              </w:r>
            </w:hyperlink>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3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Principal Accounting Fees and Services</w:t>
              </w:r>
            </w:hyperlink>
          </w:p>
        </w:tc>
        <w:tc>
          <w:tcPr>
            <w:tcW w:w="2980" w:type="dxa"/>
            <w:vAlign w:val="bottom"/>
            <w:gridSpan w:val="5"/>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103">
              <w:r>
                <w:rPr>
                  <w:rFonts w:ascii="Arial" w:cs="Arial" w:eastAsia="Arial" w:hAnsi="Arial"/>
                  <w:sz w:val="18"/>
                  <w:szCs w:val="18"/>
                  <w:color w:val="0000EE"/>
                  <w:w w:val="79"/>
                </w:rPr>
                <w:t>99</w:t>
              </w:r>
            </w:hyperlink>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40" w:type="dxa"/>
            <w:vAlign w:val="bottom"/>
            <w:gridSpan w:val="7"/>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bottom w:val="single" w:sz="8" w:color="0000EE"/>
            </w:tcBorders>
            <w:gridSpan w:val="5"/>
          </w:tcPr>
          <w:p>
            <w:pPr>
              <w:spacing w:after="0"/>
              <w:rPr>
                <w:rFonts w:ascii="Arial" w:cs="Arial" w:eastAsia="Arial" w:hAnsi="Arial"/>
                <w:sz w:val="18"/>
                <w:szCs w:val="18"/>
                <w:b w:val="1"/>
                <w:bCs w:val="1"/>
                <w:color w:val="0000EE"/>
                <w:w w:val="91"/>
              </w:rPr>
            </w:pPr>
            <w:hyperlink w:anchor="page104">
              <w:r>
                <w:rPr>
                  <w:rFonts w:ascii="Arial" w:cs="Arial" w:eastAsia="Arial" w:hAnsi="Arial"/>
                  <w:sz w:val="18"/>
                  <w:szCs w:val="18"/>
                  <w:b w:val="1"/>
                  <w:bCs w:val="1"/>
                  <w:color w:val="0000EE"/>
                  <w:w w:val="91"/>
                </w:rPr>
                <w:t>Part IV</w:t>
              </w:r>
            </w:hyperlink>
          </w:p>
        </w:tc>
        <w:tc>
          <w:tcPr>
            <w:tcW w:w="8040" w:type="dxa"/>
            <w:vAlign w:val="bottom"/>
            <w:gridSpan w:val="24"/>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gridSpan w:val="2"/>
          </w:tcPr>
          <w:p>
            <w:pPr>
              <w:spacing w:after="0" w:line="196" w:lineRule="exact"/>
              <w:rPr>
                <w:rFonts w:ascii="Arial" w:cs="Arial" w:eastAsia="Arial" w:hAnsi="Arial"/>
                <w:sz w:val="18"/>
                <w:szCs w:val="18"/>
                <w:color w:val="0000EE"/>
                <w:w w:val="71"/>
              </w:rPr>
            </w:pPr>
            <w:hyperlink w:anchor="page104">
              <w:r>
                <w:rPr>
                  <w:rFonts w:ascii="Arial" w:cs="Arial" w:eastAsia="Arial" w:hAnsi="Arial"/>
                  <w:sz w:val="18"/>
                  <w:szCs w:val="18"/>
                  <w:color w:val="0000EE"/>
                  <w:w w:val="71"/>
                </w:rPr>
                <w:t>15.</w:t>
              </w:r>
            </w:hyperlink>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00" w:type="dxa"/>
            <w:vAlign w:val="bottom"/>
            <w:gridSpan w:val="16"/>
          </w:tcPr>
          <w:p>
            <w:pPr>
              <w:spacing w:after="0" w:line="196" w:lineRule="exact"/>
              <w:rPr>
                <w:rFonts w:ascii="Arial" w:cs="Arial" w:eastAsia="Arial" w:hAnsi="Arial"/>
                <w:sz w:val="18"/>
                <w:szCs w:val="18"/>
                <w:color w:val="0000EE"/>
                <w:w w:val="87"/>
              </w:rPr>
            </w:pPr>
            <w:hyperlink w:anchor="page104">
              <w:r>
                <w:rPr>
                  <w:rFonts w:ascii="Arial" w:cs="Arial" w:eastAsia="Arial" w:hAnsi="Arial"/>
                  <w:sz w:val="18"/>
                  <w:szCs w:val="18"/>
                  <w:color w:val="0000EE"/>
                  <w:w w:val="87"/>
                </w:rPr>
                <w:t>Exhibits and Financial Statement Schedules</w:t>
              </w:r>
            </w:hyperlink>
          </w:p>
        </w:tc>
        <w:tc>
          <w:tcPr>
            <w:tcW w:w="5200" w:type="dxa"/>
            <w:vAlign w:val="bottom"/>
            <w:gridSpan w:val="10"/>
          </w:tcPr>
          <w:p>
            <w:pPr>
              <w:spacing w:after="0"/>
              <w:rPr>
                <w:sz w:val="17"/>
                <w:szCs w:val="17"/>
                <w:color w:val="auto"/>
              </w:rPr>
            </w:pPr>
          </w:p>
        </w:tc>
        <w:tc>
          <w:tcPr>
            <w:tcW w:w="340" w:type="dxa"/>
            <w:vAlign w:val="bottom"/>
            <w:gridSpan w:val="4"/>
          </w:tcPr>
          <w:p>
            <w:pPr>
              <w:jc w:val="right"/>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100</w:t>
              </w:r>
            </w:hyperlink>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140" w:type="dxa"/>
            <w:vAlign w:val="bottom"/>
            <w:gridSpan w:val="8"/>
            <w:shd w:val="clear" w:color="auto" w:fill="0000EE"/>
          </w:tcPr>
          <w:p>
            <w:pPr>
              <w:spacing w:after="0" w:line="20" w:lineRule="exact"/>
              <w:rPr>
                <w:sz w:val="1"/>
                <w:szCs w:val="1"/>
                <w:color w:val="auto"/>
              </w:rPr>
            </w:pPr>
          </w:p>
        </w:tc>
        <w:tc>
          <w:tcPr>
            <w:tcW w:w="520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6"/>
          </w:tcPr>
          <w:p>
            <w:pPr>
              <w:spacing w:after="0" w:line="196" w:lineRule="exact"/>
              <w:rPr>
                <w:rFonts w:ascii="Arial" w:cs="Arial" w:eastAsia="Arial" w:hAnsi="Arial"/>
                <w:sz w:val="18"/>
                <w:szCs w:val="18"/>
                <w:color w:val="0000EE"/>
                <w:w w:val="85"/>
              </w:rPr>
            </w:pPr>
            <w:hyperlink w:anchor="page105">
              <w:r>
                <w:rPr>
                  <w:rFonts w:ascii="Arial" w:cs="Arial" w:eastAsia="Arial" w:hAnsi="Arial"/>
                  <w:sz w:val="18"/>
                  <w:szCs w:val="18"/>
                  <w:color w:val="0000EE"/>
                  <w:w w:val="85"/>
                </w:rPr>
                <w:t>Signatures</w:t>
              </w:r>
            </w:hyperlink>
          </w:p>
        </w:tc>
        <w:tc>
          <w:tcPr>
            <w:tcW w:w="2340" w:type="dxa"/>
            <w:vAlign w:val="bottom"/>
            <w:gridSpan w:val="10"/>
          </w:tcPr>
          <w:p>
            <w:pPr>
              <w:spacing w:after="0"/>
              <w:rPr>
                <w:sz w:val="17"/>
                <w:szCs w:val="17"/>
                <w:color w:val="auto"/>
              </w:rPr>
            </w:pPr>
          </w:p>
        </w:tc>
        <w:tc>
          <w:tcPr>
            <w:tcW w:w="5200" w:type="dxa"/>
            <w:vAlign w:val="bottom"/>
            <w:gridSpan w:val="10"/>
          </w:tcPr>
          <w:p>
            <w:pPr>
              <w:spacing w:after="0"/>
              <w:rPr>
                <w:sz w:val="17"/>
                <w:szCs w:val="17"/>
                <w:color w:val="auto"/>
              </w:rPr>
            </w:pPr>
          </w:p>
        </w:tc>
        <w:tc>
          <w:tcPr>
            <w:tcW w:w="340" w:type="dxa"/>
            <w:vAlign w:val="bottom"/>
            <w:gridSpan w:val="4"/>
          </w:tcPr>
          <w:p>
            <w:pPr>
              <w:jc w:val="right"/>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101</w:t>
              </w:r>
            </w:hyperlink>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340" w:type="dxa"/>
            <w:vAlign w:val="bottom"/>
            <w:gridSpan w:val="1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300" w:type="dxa"/>
            <w:vAlign w:val="bottom"/>
            <w:gridSpan w:val="26"/>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Exhibit Index</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102</w:t>
              </w:r>
            </w:hyperlink>
          </w:p>
        </w:tc>
        <w:tc>
          <w:tcPr>
            <w:tcW w:w="1140" w:type="dxa"/>
            <w:vAlign w:val="bottom"/>
          </w:tcPr>
          <w:p>
            <w:pPr>
              <w:spacing w:after="0"/>
              <w:rPr>
                <w:sz w:val="17"/>
                <w:szCs w:val="17"/>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0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36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This Annual Report on Form 10-K contains forward-looking statements. All statements other than statements of historical facts contained in this Annual Report on Form 10-K, including statements regarding our future results of operations and financial position, business strategy, plans and objectives of management for future operations, and plans for product development and manufacturing are forward-looking statements. These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certain of these risks in greater detail in the "Risk Factors" section and elsewhere in this Annual Report on Form 10-K. Also, these forward-looking statements speak only as of the date of this Annual Report on Form 10-K, and we have no plans to update our forward-looking statements to reflect events or circumstances occurring after the date of this Annual Report. We caution readers not to place undue reliance upon any such forward-looking statements.</w:t>
      </w:r>
    </w:p>
    <w:p>
      <w:pPr>
        <w:spacing w:after="0" w:line="172"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References in this Annual Report on Form 10-K to "Sonus," "Sonus Networks," "Company," "we," "us" and "our" are to Sonus Networks, Inc. and its subsidiaries, collectively, unless the context requires otherwise.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Sonus Networks is a leading provider of voice, video and data infrastructure solutions for wireline and wireless telephone service providers. Our infrastructure solutions allow such wireline and wireless operators to build converged voice over Internet Protocol ("VoIP") networks. Our products include carrier-class infrastructure equipment and software that enable voice services to be delivered over Internet Protocol ("IP") networks. IP networks, which transport traffic in "packets," can efficiently move disparate traffic types (such as voice, video and data) across a common infrastructure. Our products also interoperate with network operators' existing telephone infrastructure, allowing them to preserve the investment in their current networks.</w:t>
      </w:r>
    </w:p>
    <w:p>
      <w:pPr>
        <w:spacing w:after="0" w:line="17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Sonus Networks' architectural model presents a significantly more flexible, cost-effective and efficient means of providing a variety of communications services, especially as compared to legacy circuit-based networks that were primarily designed to deliver telephone calls. Our products offer a powerful and open platform for network operators to increase their revenues through the creation and delivery of new and innovative communications services. Our products are built on the same distributed, IP-based principles embraced by the IP Multimedia Subsystem ("IMS") architecture, as defined by the Third Generation Partnership Project ("3GPP"). This IMS architecture is being accepted by network operators globally as the common approach for building converged voice, data, wireline and wireless networks. Since the IMS architecture is based primarily on IP packets and the Session Initiation Protocol ("SIP"), which has been the foundation of our products since our formation, Sonus Networks is well positioned to offer an intuitive evolution from a distributed-softswitch architecture to IMS, with limited impact on existing Sonus equipment or services.</w:t>
      </w:r>
    </w:p>
    <w:p>
      <w:pPr>
        <w:spacing w:after="0" w:line="172"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have been recognized by independent market research firms as a worldwide market share leader in several key segments of the carrier-class packet voice infrastructure equipment market. Announced customers include many of the world's major service providers including: AT&amp;T (including AT&amp;T Wireless, and AT&amp;T "Classic"), Belgacom ICS, BT Group, Carphone Warehouse, France Telecom, Global Crossing, KDDI, Level 3, Qwest, Softbank Corporation, T-Systems Business Services (a division of Deutsche Telekom Group), Tata Communications, Verizon and XO Communications. In a 2008 independent study performed by Infonetics Research, in which service providers were asked to rate Alcatel Lucent, Cisco, Ericsson, Huawei, Nokia Siemens, Nortel Networks and Sonus Networks, we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received the highest ratings for technology, product roadmap, security, management and price-to-performance.</w:t>
      </w:r>
    </w:p>
    <w:p>
      <w:pPr>
        <w:spacing w:after="0" w:line="225"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We sell our products principally through a direct sales force in the United States, Europe, the Middle East, Africa, Japan and Asia-Pacific. We continue to expand our presence into new geographies and markets through our relationships with Motorola and regional channel partners.</w:t>
      </w:r>
    </w:p>
    <w:p>
      <w:pPr>
        <w:spacing w:after="0" w:line="139"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Our target customers comprise both traditional and emerging communications service providers, including long-distance carriers, local exchange carriers, Internet service providers, wireless operators, cable operators, international telephone companies and carriers that provide services to other carriers. We also collaborate with our customers to identify and develop new advanced services and applications that they may offer to their customers.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public telephone network is an integral part of our everyday lives. For most of its history, the global telephone industry was heavily regulated, which slowed the evolution of its underlying switching and infrastructure technologies and limited innovation in service offerings and pricing of telephone services. Two global forces—deregulation and expansion of the Internet—have revolutionized the public telephone network worldwide. The expansion in wireless voice and data services has further blurred many of the traditional telephone service models.</w:t>
      </w:r>
    </w:p>
    <w:p>
      <w:pPr>
        <w:spacing w:after="0" w:line="19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Deregulation of the telephone industry in the United States accelerated with the passage of the Telecommunications Act of 1996. The barriers that once restricted service providers to a specific geography or service offering, such as local or long distance services, have been largely eliminated. The migration to IP-based last mile technologies reduces the capital investments required to provide services over large geographies. The opportunity created by accessibility to the telephone services market has encouraged new participants to enter this market and incumbent service providers to expand into additional markets, both domestic and international.</w:t>
      </w:r>
    </w:p>
    <w:p>
      <w:pPr>
        <w:spacing w:after="0" w:line="197" w:lineRule="exact"/>
        <w:rPr>
          <w:sz w:val="20"/>
          <w:szCs w:val="20"/>
          <w:color w:val="auto"/>
        </w:rPr>
      </w:pPr>
    </w:p>
    <w:p>
      <w:pPr>
        <w:jc w:val="both"/>
        <w:ind w:right="140" w:firstLine="351"/>
        <w:spacing w:after="0" w:line="294" w:lineRule="auto"/>
        <w:rPr>
          <w:sz w:val="20"/>
          <w:szCs w:val="20"/>
          <w:color w:val="auto"/>
        </w:rPr>
      </w:pPr>
      <w:r>
        <w:rPr>
          <w:rFonts w:ascii="Arial" w:cs="Arial" w:eastAsia="Arial" w:hAnsi="Arial"/>
          <w:sz w:val="16"/>
          <w:szCs w:val="16"/>
          <w:color w:val="auto"/>
        </w:rPr>
        <w:t>Competition between new providers and incumbents is driving down service prices. With limited ability to reduce the cost structure of the public telephone network, profit margins for traditional telephone services have declined. In response, service providers are seeking new, creative and differentiated services as a means to increase revenues and as an opportunity to reduce costs. The first wave of service differentiation, typified by triple-play bundling of voice, internet and television, is commonplace and many market segments are seeking more advanced solutions in broadband wireline-wireless converged services, video transport and services, as well as other innovative business solutions for our customers.</w:t>
      </w:r>
    </w:p>
    <w:p>
      <w:pPr>
        <w:spacing w:after="0" w:line="170"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Simultaneously, the rapid adoption of the Internet and broadband connectivity, followed by dramatic development in wireless telephone technology to deliver to telephones the same information that is delivered to computers, has driven the dramatic growth of data traffic and the need for service providers to offer more efficient and scalable services to their customers. Combined voice and data IP networks more efficiently fill available network bandwidth with packets of data and voice from many users. As the volume of data and voice traffic continues to increase, service providers need to build large-scale, more efficient packet networks.</w:t>
      </w:r>
    </w:p>
    <w:p>
      <w:pPr>
        <w:spacing w:after="0" w:line="19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Both wireless and wireline network operators are converging on a standard architecture designed as a single communications network architecture. The IMS architecture is a set of principles defined by the 3GPP that describes a standard way of building telecommunications networks. We believe significant opportunities exist in uniting separate, parallel networks into a new, integrated public network capable of transporting both voice and data traffic on wireless or wireline devices. IP architectures are more efficient at moving data, more flexible and reduce equipment and operating costs. Significant potential savings can be realized by converging voice and data networks, as well as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wireless and wireline networks, thereby reducing network operating costs and eliminating redundant or overlapping equipment purchases. Also, the combination of traditional voice services with Internet or web-based services in a single network is expected to enable new and powerful high-margin, revenue-generating service offerings such as voice virtual private networks, one-number/follow-me services, unified messaging, conferencing, prepaid and postpaid calling card services, sophisticated call centers and other IP voice services.</w:t>
      </w:r>
    </w:p>
    <w:p>
      <w:pPr>
        <w:spacing w:after="0" w:line="197"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public telecommunications network is large, highly complex and generates significant revenues, a substantial majority of which is derived from voice services. Historically, given service providers' substantial investment in, and dependence upon, traditional circuit-switched technology, their transition from one technology paradigm to another has been gradual. The current transition to IP appears to share many historical predispositions from the telecommunications industry as carriers deploy VoIP to expand capacity, replace obsolete equipment and reduce operational costs. The major difference between this technology transition and prior migrations, however, is the unprecedented convergence of wireline VoIP, wireless voice and wireless data, which is accelerating the construction of all innovative networks that are all-IP, and is breaking the traditional model of gradual network evolution.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Network Requirements and the Sonus Solutions</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Users demand high levels of quality and reliability from the public telephone network, while service providers require a cost-efficient network that enables the latest revenue-generating services. We develop, market and sell a comprehensive suite of voice and data communications infrastructure products, whose architecture is aligned with the principles of IMS and which are purpose-built for the deployment and management of voice and data services over carrier packet networks to meet the following requirements:</w:t>
      </w:r>
    </w:p>
    <w:p>
      <w:pPr>
        <w:spacing w:after="0" w:line="19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Carrier-class performance. </w:t>
      </w:r>
      <w:r>
        <w:rPr>
          <w:rFonts w:ascii="Arial" w:cs="Arial" w:eastAsia="Arial" w:hAnsi="Arial"/>
          <w:sz w:val="18"/>
          <w:szCs w:val="18"/>
          <w:color w:val="auto"/>
        </w:rPr>
        <w:t>Service providers operate complex, mission-critical networks, demanding clear infrastructure requirements. Our products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designed to offer the highest levels of quality, reliability and interoperability, including:</w:t>
      </w:r>
    </w:p>
    <w:p>
      <w:pPr>
        <w:spacing w:after="0" w:line="19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redundancy, designed for 99.999% availability;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voice quality equal or superior to that of today's circuit-switched network;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system hardware designed for Network Equipment Building Standards, or NEBS Level 3, compliance;</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network monitoring and provisioning designed for Operations System Modifications for the Integration of Network Elements, or OSMINE, compliance;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complete set of service features addressing those found in the existing voice network and extending them to offer greater flexibility;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sophisticated network management and configuration capabilities.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i w:val="1"/>
          <w:iCs w:val="1"/>
          <w:color w:val="auto"/>
        </w:rPr>
        <w:t xml:space="preserve">Scalability and density. </w:t>
      </w:r>
      <w:r>
        <w:rPr>
          <w:rFonts w:ascii="Arial" w:cs="Arial" w:eastAsia="Arial" w:hAnsi="Arial"/>
          <w:sz w:val="16"/>
          <w:szCs w:val="16"/>
          <w:color w:val="auto"/>
        </w:rPr>
        <w:t>Carrier voice infrastructure solutions face challenging scalability requirements. Service providers' central offices typically support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tens or even hundreds of thousands of simultaneous calls. In order to be economically attractive, modern infrastructure must compare favorably with existing networks in terms of performance, cost per port, space occupation, power consumption and cooling requirements. The Sonus solution is scalable to cost-effectively build packet-based switch configurations to support a range of a few hundred calls to hundreds of thousands of simultaneous calls. In addition, the capital cost of our equipment is typically lower than that of traditional circuit-switched equipment. At the same time, our switches offer unparalleled density, require significantly less space than needed by typical circuit-switching implementations and accordingly, significantly less power and cooling. Consequently, use of our products may result in a significant reduction in expensive central office facilities cost and allow service providers to deploy our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equipment in locations where traditional circuit switches would not generally be an option due to limited space and environmental constraints.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Compatibility with standards and existing infrastructure. </w:t>
      </w:r>
      <w:r>
        <w:rPr>
          <w:rFonts w:ascii="Arial" w:cs="Arial" w:eastAsia="Arial" w:hAnsi="Arial"/>
          <w:sz w:val="18"/>
          <w:szCs w:val="18"/>
          <w:color w:val="auto"/>
        </w:rPr>
        <w:t>New infrastructure equipment and software must sustain the full range of telephone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It must also support data networking protocols as well as telephony protocols. Infrastructure solutions must seamlessly integrate with service providers' existing operations support systems. Therefore, our products are designed to be compatible with applicable voice and data networking standards and interfaces, including:</w:t>
      </w:r>
    </w:p>
    <w:p>
      <w:pPr>
        <w:spacing w:after="0" w:line="211" w:lineRule="exact"/>
        <w:rPr>
          <w:sz w:val="20"/>
          <w:szCs w:val="20"/>
          <w:color w:val="auto"/>
        </w:rPr>
      </w:pPr>
    </w:p>
    <w:p>
      <w:pPr>
        <w:ind w:left="1080" w:right="2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SS7 and other telephone network signaling protocols, including international signaling variants, advanced services and simple call management and routing;</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IP, TDM, Ethernet and optical data networking standards;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call signaling standards, including SIP, SIP-I, SIP-T, MGCP and H.323 and others;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voice coding standards, such as G.711 and echo cancellation standard G.168;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common interfaces, including T1, T3, E1 and optical interfaces.</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Sonus solution is designed to interface with legacy circuit-switching equipment and support the transparent flow of calls and other information between circuit and packet networks. As a result, our products allow service providers to migrate to a new packet voice infrastructure, while maximizing their revenue from existing investments.</w:t>
      </w:r>
    </w:p>
    <w:p>
      <w:pPr>
        <w:spacing w:after="0" w:line="194"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Security. </w:t>
      </w:r>
      <w:r>
        <w:rPr>
          <w:rFonts w:ascii="Arial" w:cs="Arial" w:eastAsia="Arial" w:hAnsi="Arial"/>
          <w:sz w:val="18"/>
          <w:szCs w:val="18"/>
          <w:color w:val="auto"/>
        </w:rPr>
        <w:t>As carriers extend the network edge via IP, security is critical to provide manageable, predictable services at peering points between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providers while maintaining the integrity and privacy of subscriber information.</w:t>
      </w:r>
    </w:p>
    <w:p>
      <w:pPr>
        <w:spacing w:after="0" w:line="186"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b w:val="1"/>
          <w:bCs w:val="1"/>
          <w:i w:val="1"/>
          <w:iCs w:val="1"/>
          <w:color w:val="auto"/>
        </w:rPr>
        <w:t xml:space="preserve">Intelligent software in an open and flexible platform. </w:t>
      </w:r>
      <w:r>
        <w:rPr>
          <w:rFonts w:ascii="Arial" w:cs="Arial" w:eastAsia="Arial" w:hAnsi="Arial"/>
          <w:sz w:val="18"/>
          <w:szCs w:val="18"/>
          <w:color w:val="auto"/>
        </w:rPr>
        <w:t>The architecture of packet communication infrastructure solutions decouples the capabilities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traditional circuit-switched equipment into robust hardware elements and highly intelligent software platforms that provide control, signaling and service creation capabilities. This approach is designed to transform the closed, proprietary circuit-switched public telephone network into a flexible, open environment accessible to a wide range of software developers. Innovative services may be developed by us, by network operators themselves or by any number of third parties, including software developers and systems integrators. The Sonus IMS architecture facilitates the creation of services that were previously not possible on the circuit-switched network.</w:t>
      </w:r>
    </w:p>
    <w:p>
      <w:pPr>
        <w:spacing w:after="0" w:line="198"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b w:val="1"/>
          <w:bCs w:val="1"/>
          <w:i w:val="1"/>
          <w:iCs w:val="1"/>
          <w:color w:val="auto"/>
        </w:rPr>
        <w:t xml:space="preserve">Simple and rapid installation, deployment and support. </w:t>
      </w:r>
      <w:r>
        <w:rPr>
          <w:rFonts w:ascii="Arial" w:cs="Arial" w:eastAsia="Arial" w:hAnsi="Arial"/>
          <w:sz w:val="18"/>
          <w:szCs w:val="18"/>
          <w:color w:val="auto"/>
        </w:rPr>
        <w:t>Infrastructure solutions must be easy to install, deploy, configure and manage. Our equipment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software can be installed and placed in service by our customers more quickly than circuit-switched equipment. By offering comprehensive testing, configuration and management software, we expedite the deployment process as well as the ongoing management and operation of our products. We believe that typical installations of our solution only require weeks from product arrival to final testing, thereby reducing the cost of deployment and the time to market for new services.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Sonus Products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Sonus GSX9000 Open Services Switch</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Sonus GSX9000 Open Services Switch, or the GSX9000, enables voice traffic to be transported over packet networks by converting any type of voice signal into IP packets, transmitting those IP packets over a data network, and then converting whatever type of signal is necessary to be deposited back onto non-IP networks to be delivered to their intended destination. The GSX9000 is designed to deliver voice quality equal, or superior, to that of the legacy circuit-switched public</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network. Further, it is devised to support multiple voice encoding schemes used in circuit switches and delivers a number of other voice compression algorithms. The GSX9000 minimizes delay, further enhancing perceived voice quality, and scales to very large configurations required by major service providers. A single GSX9000 shelf can support up to 22,000 simultaneous calls, while a single GSX9000 in a multiple-shelf configuration can support 100,000 or more simultaneous calls. The GSX9000 also operates with our PSX Policy &amp; Routing Server and with softswitches and network products offered by other vendors.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Sonus GSX4000 Open Services Switch</w:t>
      </w:r>
    </w:p>
    <w:p>
      <w:pPr>
        <w:spacing w:after="0" w:line="231" w:lineRule="exact"/>
        <w:rPr>
          <w:sz w:val="20"/>
          <w:szCs w:val="20"/>
          <w:color w:val="auto"/>
        </w:rPr>
      </w:pPr>
    </w:p>
    <w:p>
      <w:pPr>
        <w:ind w:right="280" w:firstLine="348"/>
        <w:spacing w:after="0" w:line="298" w:lineRule="auto"/>
        <w:rPr>
          <w:sz w:val="20"/>
          <w:szCs w:val="20"/>
          <w:color w:val="auto"/>
        </w:rPr>
      </w:pPr>
      <w:r>
        <w:rPr>
          <w:rFonts w:ascii="Arial" w:cs="Arial" w:eastAsia="Arial" w:hAnsi="Arial"/>
          <w:sz w:val="16"/>
          <w:szCs w:val="16"/>
          <w:color w:val="auto"/>
        </w:rPr>
        <w:t>The Sonus GSX4000 Open Services Switch, or the GSX4000, allows service providers to realize the benefits of the GSX9000 on a platform that is right-sized for their immediate needs. By delivering the proven reliability of the GSX9000 in a smaller form factor, service providers are able to cost-effectively support a highly distributed subscriber base or create an initial presence in a large market. The Sonus GSX family of products offers an expansion path from several hundred ports to several million ports to meet the demands of the worldwide market.</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Sonus Network Border Switch</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Sonus Network Border Switch, or NBS, is an instantiation of the GSX9000 for packet to packet (IP) networks where session border control, or SBC, services are required for IP peering or IP access. The NBS can be deployed in a dedicated Sonus GSX product or in a hybrid environment where some traffic is circuit-to-packet, or gateway services, and other traffic is all packet. In addition to traditional SBC services, the NBS can leverage the media gateway services in a Sonus GSX product to provide media transcoding. With the proliferation of IP-based networks and industry convergence around IMS architectures, the ability to securely interconnect between networks has become paramount. The NBS also supports access session border controller functionality, allowing service providers to support business enterprises and individual voice customers over secure IP with full access to Sonus' centralized routing, network voice features, and management and provisioning tools.</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Sonus PSX Policy &amp; Routing Server</w:t>
      </w:r>
    </w:p>
    <w:p>
      <w:pPr>
        <w:spacing w:after="0" w:line="231" w:lineRule="exact"/>
        <w:rPr>
          <w:sz w:val="20"/>
          <w:szCs w:val="20"/>
          <w:color w:val="auto"/>
        </w:rPr>
      </w:pPr>
    </w:p>
    <w:p>
      <w:pPr>
        <w:jc w:val="both"/>
        <w:ind w:right="20" w:firstLine="348"/>
        <w:spacing w:after="0" w:line="256" w:lineRule="auto"/>
        <w:rPr>
          <w:sz w:val="20"/>
          <w:szCs w:val="20"/>
          <w:color w:val="auto"/>
        </w:rPr>
      </w:pPr>
      <w:r>
        <w:rPr>
          <w:rFonts w:ascii="Arial" w:cs="Arial" w:eastAsia="Arial" w:hAnsi="Arial"/>
          <w:sz w:val="18"/>
          <w:szCs w:val="18"/>
          <w:color w:val="auto"/>
        </w:rPr>
        <w:t>The Sonus PSX Policy &amp; Routing Server, or the PSX, is a primary element of both our distributed softswitch and IMS architecture and plays an integral role in all of our solutions. The PSX, which serves as the policy and routing database element in the architecture, provides network intelligence, including call control, service selection and routing. The PSX is based upon a modular architecture that is designed for high performance and scalability, as well as interoperability with third-party gateways, devices and services.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Sonus SGX Signaling Gateway</w:t>
      </w:r>
    </w:p>
    <w:p>
      <w:pPr>
        <w:spacing w:after="0" w:line="231"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Sonus SGX Signaling Gateway, or the SGX, provides an integrated SS7 solution for our architecture. SS7/C7 signaling is the global standard for telecommunications procedures and protocol by which network elements in the public-switched-telephone network exchange information over a digital signaling network to effect wireless and wireline call setup, routing and control. The SGX is a SS7/C7 signaling gateway that interconnects Sonus-based packet solutions with legacy SS7 networks. The SGX can be deployed separately or with either the GSX9000 or the PSX in configurations that meet a wide range of network requirements.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Sonus ASX Call Feature Server</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Sonus ASX Call Feature Server, or ASX, provides functionality that extends our architecture to the access part of the network. The ASX is a call agent that handles call setup and basic call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features. The ASX provides local area calling features for residential and enterprise markets and regulatory features such as emergency services and lawful intercept. The ASX allows the same features to run over various transport technologies, including analog lines, Ethernet, voice over DSL, voice over cable or fixed wireless infrastructure. This flexibility enables a multitude of applications, such as residential access, cable access and business services, and new features available only on packet-based networks, such as unified messaging, multimedia conferencing and desktop integration capabilities.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Sonus ASX Access Gateway Control Function</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Based on the ASX architecture, Sonus provides an IMS-compliant Access Gateway Control Function, or AGCF, as defined in the TISPAN, or Telecom and Internet Converged Services and Protocols for Advanced Networks, standards group. As an AGCF, traditional telephones can connect to a local access gateway or multi-services access node to gain access to IMS, IP-controlled networks and associated services. The ASX AGCF allows customers to effectively evolve an existing circuit connected network to IMS by allowing the majority of their customers to connect to the new network with no equipment or perceived service changes. Combined with the ASX Call Feature Server, network service providers can create a Class 5 replacement architecture that readily takes advantage of IMS solutions.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Sonus IMX Service Delivery Platform</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Sonus IMX Service Delivery Platform, or IMX, is a web-based multimedia environment that enables wireline and wireless service providers to develop, integrate, launch and manage enhanced telecommunication applications and services. The IMX combines Internet and telephony application models, enabling the creation and delivery of voice, video and data services in a scalable, standards-based platform. By providing the ability to integrate with a service provider's wireline or wireless network, this platform facilitates the development of innovative revenue-generating applications, improves time to market and streamlines the delivery of existing or third-party next-generation services.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Sonus Insight Management System</w:t>
      </w:r>
    </w:p>
    <w:p>
      <w:pPr>
        <w:spacing w:after="0" w:line="231"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Sonus Insight Management System, or Sonus Insight, is a complete, web-based management system designed to simplify the operation of carrier-class packet voice networks. Sonus Insight includes Element Management System, DataStream Integrator, Subscriber Management System, Network Traffic Manager and Sonus Insight Developer's Kit, that collectively provide comprehensive configuration, provisioning, security, alarm reporting, performance data and billing mediation capabilities. Sonus Insight integrates with service providers' existing back-office systems and offers many tools that enhance and consolidate management functions, thereby allowing service providers to streamline many of today's labor-intensive processes. Sonus Insight scales to support hundreds of switches and concurrent users, and is based upon industry standards and protocols to facilitate management from any location worldwide.</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Sonus Insight </w:t>
      </w:r>
      <w:r>
        <w:rPr>
          <w:rFonts w:ascii="Arial" w:cs="Arial" w:eastAsia="Arial" w:hAnsi="Arial"/>
          <w:sz w:val="18"/>
          <w:szCs w:val="18"/>
          <w:b w:val="1"/>
          <w:bCs w:val="1"/>
          <w:i w:val="1"/>
          <w:iCs w:val="1"/>
          <w:color w:val="auto"/>
        </w:rPr>
        <w:t>x</w:t>
      </w:r>
      <w:r>
        <w:rPr>
          <w:rFonts w:ascii="Arial" w:cs="Arial" w:eastAsia="Arial" w:hAnsi="Arial"/>
          <w:sz w:val="18"/>
          <w:szCs w:val="18"/>
          <w:b w:val="1"/>
          <w:bCs w:val="1"/>
          <w:color w:val="auto"/>
        </w:rPr>
        <w:t>Authority Provisioning System</w:t>
      </w:r>
    </w:p>
    <w:p>
      <w:pPr>
        <w:spacing w:after="0" w:line="231"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 xml:space="preserve">The Sonus Insight </w:t>
      </w:r>
      <w:r>
        <w:rPr>
          <w:rFonts w:ascii="Arial" w:cs="Arial" w:eastAsia="Arial" w:hAnsi="Arial"/>
          <w:sz w:val="18"/>
          <w:szCs w:val="18"/>
          <w:i w:val="1"/>
          <w:iCs w:val="1"/>
          <w:color w:val="auto"/>
        </w:rPr>
        <w:t>x</w:t>
      </w:r>
      <w:r>
        <w:rPr>
          <w:rFonts w:ascii="Arial" w:cs="Arial" w:eastAsia="Arial" w:hAnsi="Arial"/>
          <w:sz w:val="18"/>
          <w:szCs w:val="18"/>
          <w:color w:val="auto"/>
        </w:rPr>
        <w:t xml:space="preserve">Authority Provisioning System, or </w:t>
      </w:r>
      <w:r>
        <w:rPr>
          <w:rFonts w:ascii="Arial" w:cs="Arial" w:eastAsia="Arial" w:hAnsi="Arial"/>
          <w:sz w:val="18"/>
          <w:szCs w:val="18"/>
          <w:i w:val="1"/>
          <w:iCs w:val="1"/>
          <w:color w:val="auto"/>
        </w:rPr>
        <w:t>x</w:t>
      </w:r>
      <w:r>
        <w:rPr>
          <w:rFonts w:ascii="Arial" w:cs="Arial" w:eastAsia="Arial" w:hAnsi="Arial"/>
          <w:sz w:val="18"/>
          <w:szCs w:val="18"/>
          <w:color w:val="auto"/>
        </w:rPr>
        <w:t xml:space="preserve">Authority, provides a flexible, customizable arbitration layer above the Sonus Insight Management System to help with back-office integration and customer self-provisioning. </w:t>
      </w:r>
      <w:r>
        <w:rPr>
          <w:rFonts w:ascii="Arial" w:cs="Arial" w:eastAsia="Arial" w:hAnsi="Arial"/>
          <w:sz w:val="18"/>
          <w:szCs w:val="18"/>
          <w:i w:val="1"/>
          <w:iCs w:val="1"/>
          <w:color w:val="auto"/>
        </w:rPr>
        <w:t>x</w:t>
      </w:r>
      <w:r>
        <w:rPr>
          <w:rFonts w:ascii="Arial" w:cs="Arial" w:eastAsia="Arial" w:hAnsi="Arial"/>
          <w:sz w:val="18"/>
          <w:szCs w:val="18"/>
          <w:color w:val="auto"/>
        </w:rPr>
        <w:t xml:space="preserve">Authority also creates a management point for third-party products to enable customers to create a single point of provisioning management. </w:t>
      </w:r>
      <w:r>
        <w:rPr>
          <w:rFonts w:ascii="Arial" w:cs="Arial" w:eastAsia="Arial" w:hAnsi="Arial"/>
          <w:sz w:val="18"/>
          <w:szCs w:val="18"/>
          <w:i w:val="1"/>
          <w:iCs w:val="1"/>
          <w:color w:val="auto"/>
        </w:rPr>
        <w:t>x</w:t>
      </w:r>
      <w:r>
        <w:rPr>
          <w:rFonts w:ascii="Arial" w:cs="Arial" w:eastAsia="Arial" w:hAnsi="Arial"/>
          <w:sz w:val="18"/>
          <w:szCs w:val="18"/>
          <w:color w:val="auto"/>
        </w:rPr>
        <w:t>Authority accelerates the integration and deployment of Sonus-architected solutions in major carriers worldwide.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Sonus Global Services and Sonus Professional Services</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Sonus Global Services offers professional consulting and services in support of our industry-leading IP communications solutions. Through a rich portfolio of service offerings, Sonus consultants provide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skill and expertise to help wireline, wireless and cable operators transform their communications networks with focused support from our network engineering and design teams through network integration and commissioning to network operations.</w:t>
      </w:r>
    </w:p>
    <w:p>
      <w:pPr>
        <w:spacing w:after="0" w:line="186"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Sonus Professional Services deliver an end-to-end solution through well-defined service engagements that include program management; network deployment design; softswitch and subscriber database design; network verification; network audit services; service management solutions; custom application and adaptor development; OSS and API integration; engineering, furnishing and installation; migration services; resident engineers; upgrade services; managed services and other services.</w:t>
      </w:r>
    </w:p>
    <w:p>
      <w:pPr>
        <w:spacing w:after="0" w:line="197"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In addition to our standard Sonus Professional Services engagements, Sonus Global Services offers customized engagements and workshops, ongoing training classes and, for our maintenance plan customers, ongoing support through our online knowledge center, technical document library and 24-hour telephone support from our worldwide technical assistance centers located in Westford, Massachusetts, Tokyo, Japan and Prague, Czech Republic. We also have customer test and support centers located in Richardson, Texas and Bangalore, India.</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2009, our customer support and professional services organization consisted of 202 employees.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Sonus Strategy</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Traditionally, Sonus Networks has provided robust solutions for carriers that need to operate in a hybrid environment of both IP traffic and traditional circuit-switched traffic. We believe the need for this core media gateway technology will persist for years to come, as the number of IP islands increases and vast portions of the world's class 5 and mobile infrastructure remain Time Division Multiplex-based, or TDM-based.</w:t>
      </w:r>
    </w:p>
    <w:p>
      <w:pPr>
        <w:spacing w:after="0" w:line="194" w:lineRule="exact"/>
        <w:rPr>
          <w:sz w:val="20"/>
          <w:szCs w:val="20"/>
          <w:color w:val="auto"/>
        </w:rPr>
      </w:pPr>
    </w:p>
    <w:p>
      <w:pPr>
        <w:jc w:val="both"/>
        <w:ind w:right="160" w:firstLine="341"/>
        <w:spacing w:after="0" w:line="306" w:lineRule="auto"/>
        <w:rPr>
          <w:sz w:val="20"/>
          <w:szCs w:val="20"/>
          <w:color w:val="auto"/>
        </w:rPr>
      </w:pPr>
      <w:r>
        <w:rPr>
          <w:rFonts w:ascii="Arial" w:cs="Arial" w:eastAsia="Arial" w:hAnsi="Arial"/>
          <w:sz w:val="16"/>
          <w:szCs w:val="16"/>
          <w:color w:val="auto"/>
        </w:rPr>
        <w:t>As networks evolve, however, Sonus must continue to develop solutions that are all-IP, which rely less on media gateways and more on security and policy elements. Further, the systems and software required to manage all-IP-based voice calls will need to evolve to support all types of media session types, not just voice. In response to this perceived shift, we have developed and will continue to develop solutions based on the following elements:</w:t>
      </w:r>
    </w:p>
    <w:p>
      <w:pPr>
        <w:spacing w:after="0" w:line="161"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b w:val="1"/>
          <w:bCs w:val="1"/>
          <w:i w:val="1"/>
          <w:iCs w:val="1"/>
          <w:color w:val="auto"/>
        </w:rPr>
        <w:t xml:space="preserve">Leverage our technology leadership to attract and retain key service providers. </w:t>
      </w:r>
      <w:r>
        <w:rPr>
          <w:rFonts w:ascii="Arial" w:cs="Arial" w:eastAsia="Arial" w:hAnsi="Arial"/>
          <w:sz w:val="16"/>
          <w:szCs w:val="16"/>
          <w:color w:val="auto"/>
        </w:rPr>
        <w:t>As one of the first companies to offer IMS-ready carrier-class packet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voice infrastructure products, we were selected by industry-leading service providers as they develop the architecture for their new voice networks. We expect service providers to select vendors that deliver leading technology and have the ability to maintain that technology leadership. Our equipment is an integral part of the network architecture and achieving these successes will enable us to expand our business as these networks are deployed. By working closely with our customers as they install these networks, we gain valuable knowledge regarding their requirements, positioning us to continue to develop product enhancements and extensions that address the evolving requirements of network operators globally.</w:t>
      </w:r>
    </w:p>
    <w:p>
      <w:pPr>
        <w:spacing w:after="0" w:line="17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b w:val="1"/>
          <w:bCs w:val="1"/>
          <w:i w:val="1"/>
          <w:iCs w:val="1"/>
          <w:color w:val="auto"/>
        </w:rPr>
        <w:t xml:space="preserve">Embrace the principles outlined by 3GPP and deliver the industry's most advanced IMS-ready product suite. </w:t>
      </w:r>
      <w:r>
        <w:rPr>
          <w:rFonts w:ascii="Arial" w:cs="Arial" w:eastAsia="Arial" w:hAnsi="Arial"/>
          <w:sz w:val="16"/>
          <w:szCs w:val="16"/>
          <w:color w:val="auto"/>
        </w:rPr>
        <w:t>IP Multimedia Subsystem ("IMS") is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well defined standard model of functional elements for offering services and application. IMS allows vendors to offer different ways of packaging the functional elements as long as the functional model and interfaces among elements are adhered to. Sonus IMS implementation while fully adhering to open standards based model, also offers additional operating and processing efficiency based on our long experience and successful implementation of VoIP solutions.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51"/>
        <w:spacing w:after="0" w:line="318" w:lineRule="auto"/>
        <w:rPr>
          <w:sz w:val="20"/>
          <w:szCs w:val="20"/>
          <w:color w:val="auto"/>
        </w:rPr>
      </w:pPr>
      <w:r>
        <w:rPr>
          <w:rFonts w:ascii="Arial" w:cs="Arial" w:eastAsia="Arial" w:hAnsi="Arial"/>
          <w:sz w:val="15"/>
          <w:szCs w:val="15"/>
          <w:b w:val="1"/>
          <w:bCs w:val="1"/>
          <w:i w:val="1"/>
          <w:iCs w:val="1"/>
          <w:color w:val="auto"/>
        </w:rPr>
        <w:t xml:space="preserve">Expand and broaden our customer base by targeting specific market segments, such as wireless operators. </w:t>
      </w:r>
      <w:r>
        <w:rPr>
          <w:rFonts w:ascii="Arial" w:cs="Arial" w:eastAsia="Arial" w:hAnsi="Arial"/>
          <w:sz w:val="15"/>
          <w:szCs w:val="15"/>
          <w:color w:val="auto"/>
        </w:rPr>
        <w:t>We plan to leverage our early success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penetrate additional customer segments. We believe new and incumbent service providers will build out their VoIP infrastructures at different rates. The next-generation service providers, who are relatively unencumbered by legacy equipment, have been among the initial purchasers of our equipment and software. Other newer entrants, including wireless operators, cable operators and Internet service providers, or ISPs, have also been early adopters of certain products. Moreover, incumbents, including interexchange carriers, regional bell operating companies and international operators are adopting packet voice technologies.</w:t>
      </w:r>
    </w:p>
    <w:p>
      <w:pPr>
        <w:spacing w:after="0" w:line="154" w:lineRule="exact"/>
        <w:rPr>
          <w:sz w:val="20"/>
          <w:szCs w:val="20"/>
          <w:color w:val="auto"/>
        </w:rPr>
      </w:pPr>
    </w:p>
    <w:p>
      <w:pPr>
        <w:ind w:right="60" w:firstLine="345"/>
        <w:spacing w:after="0" w:line="294" w:lineRule="auto"/>
        <w:rPr>
          <w:sz w:val="20"/>
          <w:szCs w:val="20"/>
          <w:color w:val="auto"/>
        </w:rPr>
      </w:pPr>
      <w:r>
        <w:rPr>
          <w:rFonts w:ascii="Arial" w:cs="Arial" w:eastAsia="Arial" w:hAnsi="Arial"/>
          <w:sz w:val="16"/>
          <w:szCs w:val="16"/>
          <w:b w:val="1"/>
          <w:bCs w:val="1"/>
          <w:i w:val="1"/>
          <w:iCs w:val="1"/>
          <w:color w:val="auto"/>
        </w:rPr>
        <w:t xml:space="preserve">Assist our customers' ability to differentiate themselves by offering a sophisticated application development platform and service creation environment. </w:t>
      </w:r>
      <w:r>
        <w:rPr>
          <w:rFonts w:ascii="Arial" w:cs="Arial" w:eastAsia="Arial" w:hAnsi="Arial"/>
          <w:sz w:val="16"/>
          <w:szCs w:val="16"/>
          <w:color w:val="auto"/>
        </w:rPr>
        <w:t>Today's communications providers face unprecedented challenges in attracting and retaining customers and driving revenue streams. 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approach to win additional customers and foster loyalty among existing customers is to introduce innovative services that redefine how users communicate. Our technology drives down the cost of experimentation and thereby stimulates new innovation. With IP-based technologies and our IMX, our customers have powerful tools at their disposal for the development, integration and deployment of exciting new services.</w:t>
      </w:r>
    </w:p>
    <w:p>
      <w:pPr>
        <w:spacing w:after="0" w:line="170"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b w:val="1"/>
          <w:bCs w:val="1"/>
          <w:i w:val="1"/>
          <w:iCs w:val="1"/>
          <w:color w:val="auto"/>
        </w:rPr>
        <w:t xml:space="preserve">Expand our solutions to address emerging IP-based markets, such as network border switching. </w:t>
      </w:r>
      <w:r>
        <w:rPr>
          <w:rFonts w:ascii="Arial" w:cs="Arial" w:eastAsia="Arial" w:hAnsi="Arial"/>
          <w:sz w:val="16"/>
          <w:szCs w:val="16"/>
          <w:color w:val="auto"/>
        </w:rPr>
        <w:t>The transformation of legacy networks to all-IP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networks has created a set of security, peering and media manipulation requirements as well as an opportunity for creating IP-IP services at the edges of the IP networks. The requirements for security and peering go far beyond the legacy functionality of Session Border Controllers ("SBC") and includes not only the operator requirements for border gateway to other IP networks but also a wide variety of requirements associated with enterprises and their need for control of their own IP network. The multi-media nature of the emerging services also provides an opportunity to create innovative services at the edge of the network. Sonus Networks Border Switch family of products offers a comprehensive solution that empowers operators to address all of the above requirements as well as enable them to create unique IP-IP services.</w:t>
      </w:r>
    </w:p>
    <w:p>
      <w:pPr>
        <w:spacing w:after="0" w:line="17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Expand our global sales, marketing, support and distribution capabilities. </w:t>
      </w:r>
      <w:r>
        <w:rPr>
          <w:rFonts w:ascii="Arial" w:cs="Arial" w:eastAsia="Arial" w:hAnsi="Arial"/>
          <w:sz w:val="16"/>
          <w:szCs w:val="16"/>
          <w:color w:val="auto"/>
        </w:rPr>
        <w:t>Being a primary supplier of carrier packet voice infrastructure solutions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tier 1 service providers requires a strong worldwide presence. We have established sales presence throughout the United States, Western Europe, the United Kingdom and Japan. We also have sales teams in Singapore, Hong Kong, China, Mexico, Malaysia and Dubai. We augment our global direct sales effort by partnering with international distribution partners in key markets around the world and with our global partner, Motorola. As a carrier-class solution provider, we continue to invest in professional service expertise and customer support.</w:t>
      </w:r>
    </w:p>
    <w:p>
      <w:pPr>
        <w:spacing w:after="0" w:line="170" w:lineRule="exact"/>
        <w:rPr>
          <w:sz w:val="20"/>
          <w:szCs w:val="20"/>
          <w:color w:val="auto"/>
        </w:rPr>
      </w:pPr>
    </w:p>
    <w:p>
      <w:pPr>
        <w:ind w:firstLine="345"/>
        <w:spacing w:after="0" w:line="335" w:lineRule="auto"/>
        <w:rPr>
          <w:sz w:val="20"/>
          <w:szCs w:val="20"/>
          <w:color w:val="auto"/>
        </w:rPr>
      </w:pPr>
      <w:r>
        <w:rPr>
          <w:rFonts w:ascii="Arial" w:cs="Arial" w:eastAsia="Arial" w:hAnsi="Arial"/>
          <w:sz w:val="15"/>
          <w:szCs w:val="15"/>
          <w:b w:val="1"/>
          <w:bCs w:val="1"/>
          <w:i w:val="1"/>
          <w:iCs w:val="1"/>
          <w:color w:val="auto"/>
        </w:rPr>
        <w:t xml:space="preserve">Actively contribute to the standards definition and adoption process. </w:t>
      </w:r>
      <w:r>
        <w:rPr>
          <w:rFonts w:ascii="Arial" w:cs="Arial" w:eastAsia="Arial" w:hAnsi="Arial"/>
          <w:sz w:val="15"/>
          <w:szCs w:val="15"/>
          <w:color w:val="auto"/>
        </w:rPr>
        <w:t>To advance our technology and market leadership, we will continue to contribute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standards bodies such as the Internet Engineering Task Force and the International Telecommunications Union. The definition of standards for carrier packet voice infrastructure is an on-going effort and we intend to drive these standards to meet the requirements for an open, accessible, scalable infrastructure.</w:t>
      </w:r>
    </w:p>
    <w:p>
      <w:pPr>
        <w:spacing w:after="0" w:line="142"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Pursue strategic acquisitions and alliances. </w:t>
      </w:r>
      <w:r>
        <w:rPr>
          <w:rFonts w:ascii="Arial" w:cs="Arial" w:eastAsia="Arial" w:hAnsi="Arial"/>
          <w:sz w:val="18"/>
          <w:szCs w:val="18"/>
          <w:color w:val="auto"/>
        </w:rPr>
        <w:t>In addition to investing in organic growth, we will consider other compelling opportunities to deliver greater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 value if and when such opportunities arise.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ind w:right="360" w:firstLine="351"/>
        <w:spacing w:after="0" w:line="306" w:lineRule="auto"/>
        <w:rPr>
          <w:sz w:val="20"/>
          <w:szCs w:val="20"/>
          <w:color w:val="auto"/>
        </w:rPr>
      </w:pPr>
      <w:r>
        <w:rPr>
          <w:rFonts w:ascii="Arial" w:cs="Arial" w:eastAsia="Arial" w:hAnsi="Arial"/>
          <w:sz w:val="16"/>
          <w:szCs w:val="16"/>
          <w:color w:val="auto"/>
        </w:rPr>
        <w:t>Our target customer base includes all communications providers, such as long distance carriers, local exchange carriers, ISPs, wireless operators, cable operators, international telephone companies and wholesale operators. We have been selected for network deployments with operators including AT&amp;T, Belgacom, BT Group, Cable and Wireless International, Carphone Warehouse, France Telecom,</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Global Crossing, KDDI, Level 3, NTT Communications, Qwest, Softbank Corporation, T-Systems Business Services (a division of Deutsche Telekom Group), Verizon and XO Communications.</w:t>
      </w:r>
    </w:p>
    <w:p>
      <w:pPr>
        <w:spacing w:after="0" w:line="186"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We had no customers in the year ended December 31, 2009 that contributed 10% or more of our consolidated revenue. For the years ended December 31, 2008 and 2007, one customer, AT&amp;T, accounted for approximately 29% and 33%, respectively of our consolidated revenue. There were no other customers in 2008 or 2007 that contributed 10% or more of our consolidated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sell our products principally through a direct sales force and, in some markets, through or with the assistance of distributors and resellers, such as IBIL (Malaysia), Nissho Electronics Corporation (Japan), Sumitomo Corporation (Japan) and ECI. For geographic information, including revenue and tangible long-lived assets, please see our consolidated financial statements included in this Annual Report on Form 10-K, including Notes 19 and 7 thereto. We have an original equipment manufacturer relationship with Motorola, Inc. We intend to establish additional relationships with selected original equipment manufacturers and other marketing partners in order to serve particular markets or geographies and provide our customers with opportunities to purchase our products in combination with related services and products.</w:t>
      </w:r>
    </w:p>
    <w:p>
      <w:pPr>
        <w:spacing w:after="0" w:line="174"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At December 31, 2009, our sales and marketing organization consisted of 137 employees located in sales and support offices in the United States and around the world.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We believe that strong product development capabilities are essential to our strategy of enhancing our core technology, developing additional applications, incorporating that technology into new products and maintaining comprehensive product and service offerings. Our research and development process leverages innovative technology in response to market data and customer feedback. In 2009, we delivered product enhancements in our trunking and access products, Network Border Switching and wireless and network management. In 2010, we plan to develop and introduce differentiated products to address market and customer needs. Our research and development expenses were $59.9 million, $73.1 million and $78.9 million for the years ended December 31, 2009, 2008 and 2007, respectively.</w:t>
      </w:r>
    </w:p>
    <w:p>
      <w:pPr>
        <w:spacing w:after="0" w:line="198" w:lineRule="exact"/>
        <w:rPr>
          <w:sz w:val="20"/>
          <w:szCs w:val="20"/>
          <w:color w:val="auto"/>
        </w:rPr>
      </w:pPr>
    </w:p>
    <w:p>
      <w:pPr>
        <w:ind w:right="160" w:firstLine="348"/>
        <w:spacing w:after="0" w:line="290" w:lineRule="auto"/>
        <w:rPr>
          <w:sz w:val="20"/>
          <w:szCs w:val="20"/>
          <w:color w:val="auto"/>
        </w:rPr>
      </w:pPr>
      <w:r>
        <w:rPr>
          <w:rFonts w:ascii="Arial" w:cs="Arial" w:eastAsia="Arial" w:hAnsi="Arial"/>
          <w:sz w:val="16"/>
          <w:szCs w:val="16"/>
          <w:color w:val="auto"/>
        </w:rPr>
        <w:t>We have assembled a team of highly skilled engineers with significant telecommunications and networking industry experience. Our engineers have experience in and with leading wireline and wireless telecommunications equipment suppliers, computer data networking and multimedia companies. At December 31, 2009, we had 412 employees responsible for research and development, including 395 software and quality assurance engineers and 9 hardware engineers. Our engineering effort is focused on wireless product development, new applications and network access features, new network interfaces, improved scalability, interoperability, quality, reliability and next generation technologies. We maintain research and development offices in Massachusetts, New Jersey, Texas and Virginia in the United States; Bangalore, India; Swindon, United Kingdom and Ottawa, Canada. We have made, and intend to continue to make, a substantial investment in research and development.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300" w:firstLine="348"/>
        <w:spacing w:after="0" w:line="294" w:lineRule="auto"/>
        <w:rPr>
          <w:sz w:val="20"/>
          <w:szCs w:val="20"/>
          <w:color w:val="auto"/>
        </w:rPr>
      </w:pPr>
      <w:r>
        <w:rPr>
          <w:rFonts w:ascii="Arial" w:cs="Arial" w:eastAsia="Arial" w:hAnsi="Arial"/>
          <w:sz w:val="16"/>
          <w:szCs w:val="16"/>
          <w:color w:val="auto"/>
        </w:rPr>
        <w:t>The market for carrier packet voice infrastructure solutions is intensely competitive worldwide but there are historical regional differences in services, regulation and business practices between sub markets that can benefit individual vendors. Regardless of the region, the overall market is subject to rapid technological change, affected by new product introductions, changing customer demands, industry consolidation and other market activities of industry participants. To compete effectively, we must deliver innovative products that provide extremely high reliability and voice quality, scale easily and efficiently, interoperate with existing network designs and other vendors' equipment, provide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effective network management, are accompanied by comprehensive customer support and professional services, provide a cost-effective and space-efficient solution for service providers and meet price competition from low cost equipment providers. We expect competition to persist and intensify in the future. Our primary sources of competition include vendors of networking and telecommunications equipment, such as Ericsson, Alcatel-Lucent, Nokia Siemens Networks, Huawei, ZTE, NEC, Nortel Networks, Acme Packet, Genband, Metaswitch and Cisco Systems (including Cisco Systems' recent acquisition of Starent Networks). Although we believe we compete favorably because our solutions are widely deployed, highly scalable and cost-effective for our customers, some of our competitors have significantly greater financial resources and broader product portfolios than we have and are able to devote greater resources to the development, promotion, sale and support of their products. In addition, some of these competitors have more extensive customer bases and broader customer relationships than we have, including relationships with our potential customers. Other smaller private and public companies are also focusing on similar market opportunities.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Intellectual property is fundamental to our business and our success and ability to compete are dependent on our ability to develop, maintain and protect our technology. Therefore, we seek to safeguard our investments in technology and rely on a combination of United States and foreign patent, trademark, trade secret and copyright law and contractual restrictions to protect the proprietary aspects of our technology and to protect us against claims from others. Our general policy has been to seek to patent those patentable inventions that we expect to incorporate in our products or that we expect will be valuable otherwise. We have a program to file applications for and obtain patents, copyrights and trademarks in the United States and in selected foreign countries where we believe filing for such protection is appropriate.</w:t>
      </w:r>
    </w:p>
    <w:p>
      <w:pPr>
        <w:spacing w:after="0" w:line="174"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At December 31, 2009, we held 16 U.S. patents with expiration dates ranging from April 2016 through October 2026, and had 32 patent applications pending in the United States. In addition, at December 31, 2009, we held 7 foreign patents with expiration dates ranging from June 2019 to October 2022, and had 34 patent applications pending abroad. We also have a number of registered trademarks in the United States, including Sonus, IMX, Mobiledge and Insignus. In addition to the protections described above, we seek to safeguard our intellectual property by:</w:t>
      </w:r>
    </w:p>
    <w:p>
      <w:pPr>
        <w:spacing w:after="0" w:line="180"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protecting the source and object code for our software, documentation and other written materials under copyright laws and trade secret;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licensing our software pursuant to signed license agreements, which impose restrictions on others' ability to use our software; and</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seeking to limit disclosure of our intellectual property by requiring employees and consultants with access to our proprietary information to execute confidentiality agreements.</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incorporated third-party licensed technology into certain of our current products. From time to time, we may be required to license additional technology from third parties to develop new products or to enhance existing products. Based upon past experience and standard industry practice, we believe that licenses to use third-party technology generally can be obtained on commercially reasonable terms. Nonetheless, there can be no assurance that necessary third-party licenses will be available or continue to be available to us on commercially reasonable terms. As a result, the inability to maintain, license or re-license any third-party licenses required in our current products, or to obtain any new third-party licenses to develop new products and enhance existing products could require us to obtain substitute technology of lower quality or performance standards or at greater cost, and delay or prevent us from making these products or enhancements, any of which could seriously harm our business, financial condition and operating results.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Please see generally the risks that are more fully discussed in "Item 1A. Risk Factors," with particular attention to the following risk factors: "We depend on a single contract manufacturer and any disruption in this relationship may cause us to fail to meet the demands of our customers and damage our customer relationships" and "We and our contract manufacturer rely on a single or limited sources for supply of some components of our products and if we fail to adequately predict our manufacturing requirements or if our supply of any of these components is disrupted, we will be unable to ship our products."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Currently, we outsource the manufacturing of our products. Our contract manufacturer provides comprehensive manufacturing services, including assembly and testing of our products and procurement of component materials on our behalf. We believe that outsourcing our manufacturing enables us to preserve working capital, allows for greater flexibility in meeting changes in demand and enables us to be more responsive in delivering products to our customers. At present, we purchase products from our outside contract manufacturer on a purchase order basis.</w:t>
      </w:r>
    </w:p>
    <w:p>
      <w:pPr>
        <w:spacing w:after="0" w:line="167"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and our contract manufacturer currently purchase several key components of our products, including commercial digital signal processors, from single or limited sources. We purchase these components on a purchase order basis.</w:t>
      </w:r>
    </w:p>
    <w:p>
      <w:pPr>
        <w:spacing w:after="0" w:line="186" w:lineRule="exact"/>
        <w:rPr>
          <w:sz w:val="20"/>
          <w:szCs w:val="20"/>
          <w:color w:val="auto"/>
        </w:rPr>
      </w:pPr>
    </w:p>
    <w:p>
      <w:pPr>
        <w:ind w:right="40" w:firstLine="351"/>
        <w:spacing w:after="0" w:line="314" w:lineRule="auto"/>
        <w:rPr>
          <w:sz w:val="20"/>
          <w:szCs w:val="20"/>
          <w:color w:val="auto"/>
        </w:rPr>
      </w:pPr>
      <w:r>
        <w:rPr>
          <w:rFonts w:ascii="Arial" w:cs="Arial" w:eastAsia="Arial" w:hAnsi="Arial"/>
          <w:sz w:val="15"/>
          <w:szCs w:val="15"/>
          <w:color w:val="auto"/>
        </w:rPr>
        <w:t>Please see generally the risks that are more fully discussed in "Item 1A. Risk Factors," with particular attention to the following risk factors: "Our ability to compete and our business could be jeopardized if we are unable to protect our intellectual property or become subject to intellectual property rights claims, which could require us to incur significant cost; additionally, in some jurisdictions, our rights may not be as strong as we currently enjoy in the United States;" "Because our products are sophisticated and designed to be deployed in complex environments, they may have errors or defects that we find only after full deployment, which could seriously harm our business;" "If we are not able to obtain necessary licenses of third-party technology at acceptable prices, or at all, our products could become obsolete" and "Man-made problems such as computer viruses or terrorism may disrupt our operations and harm our operating results."</w:t>
      </w:r>
    </w:p>
    <w:p>
      <w:pPr>
        <w:spacing w:after="0" w:line="159"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At December 31, 2009, we had 17 employees responsible for supply chain management, worldwide procurement, order fulfillment, product quality and technical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At December 31, 2009, we had a total of 879 employees, including 412 in research and development, 137 in sales and marketing, 202 in customer support and professional services, 17 in manufacturing, 55 in finance and 56 in information technology and administration. Our employees are not represented by any collective bargaining agreement. We believe our relations with our employees are good.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Information regarding the geographic components of our revenue is provided in Note 19 of the Notes to Consolidated Financial Statements included in this Annual Report on Form 10-K. Information regarding the geographic components of our property and equipment is provided in Note 7 of the Notes to Consolidated Financial Statements included in this Annual Report on Form 10-K.</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were incorporated in August 1997 as a Delaware corporation. Our principal executive offices are located at 7 Technology Park Drive, Westford, MA 01886. Our telephone number at our principal executive offices is 978-614-8100.</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Annual Report on Form 10-K, as well as all other reports filed with or furnished to the United States Securities and Exchange Commission (the "SEC"),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are available free of charge through our Internet site (</w:t>
      </w:r>
      <w:r>
        <w:rPr>
          <w:rFonts w:ascii="Arial" w:cs="Arial" w:eastAsia="Arial" w:hAnsi="Arial"/>
          <w:sz w:val="16"/>
          <w:szCs w:val="16"/>
          <w:i w:val="1"/>
          <w:iCs w:val="1"/>
          <w:color w:val="auto"/>
        </w:rPr>
        <w:t>http://www.sonusnet.com</w:t>
      </w:r>
      <w:r>
        <w:rPr>
          <w:rFonts w:ascii="Arial" w:cs="Arial" w:eastAsia="Arial" w:hAnsi="Arial"/>
          <w:sz w:val="16"/>
          <w:szCs w:val="16"/>
          <w:color w:val="auto"/>
        </w:rPr>
        <w:t>) once we electronically file such material with, or furnish it to, the SEC.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public may read and copy any materials we file with the SEC at the SEC's Public Reference Room at 100 F Street, NE, Washington, DC 20549. The public may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obtain information on the operation of the Public Reference Room by calling the SEC at 1-800-SEC-0330. The SEC maintains an Internet site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http://www.sec.gov</w:t>
      </w:r>
      <w:r>
        <w:rPr>
          <w:rFonts w:ascii="Arial" w:cs="Arial" w:eastAsia="Arial" w:hAnsi="Arial"/>
          <w:sz w:val="16"/>
          <w:szCs w:val="16"/>
          <w:color w:val="auto"/>
        </w:rPr>
        <w:t>) that contains reports, proxy and information statements, and other information regarding issuers that file electronically with the SEC.</w:t>
      </w:r>
    </w:p>
    <w:p>
      <w:pPr>
        <w:spacing w:after="0" w:line="23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jc w:val="both"/>
        <w:ind w:right="420" w:firstLine="351"/>
        <w:spacing w:after="0" w:line="306" w:lineRule="auto"/>
        <w:rPr>
          <w:sz w:val="20"/>
          <w:szCs w:val="20"/>
          <w:color w:val="auto"/>
        </w:rPr>
      </w:pPr>
      <w:r>
        <w:rPr>
          <w:rFonts w:ascii="Arial" w:cs="Arial" w:eastAsia="Arial" w:hAnsi="Arial"/>
          <w:sz w:val="16"/>
          <w:szCs w:val="16"/>
          <w:i w:val="1"/>
          <w:iCs w:val="1"/>
          <w:color w:val="auto"/>
        </w:rPr>
        <w:t>The following discussion of risk factors contains "forward-looking statements," which may be important to understanding any statement in this Annual Report on Form 10-K or elsewhere. The following information should be read in conjunction with Item 1—Business, Item 7—Management's Discussion and Analysis of Financial Condition and Results of Operations and Item 8—Financial Statements and Supplementary Date of this Annual Report on Form 10-K.</w:t>
      </w:r>
    </w:p>
    <w:p>
      <w:pPr>
        <w:spacing w:after="0" w:line="16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before buying our common stock. If any of the following risks actually occurs, our business, financial condition and results of operations could be materially adversely affected, the trading price of our common stock could decline materially and you could lose all or part of your investment.</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Readers are cautioned that forward-looking statements, including those contained in this Annual Report on Form 10-K, should be read in conjunction with our disclosures under the introduction of Item 7- Management's Discussion and Analysis of Financial Condition and Results of Operations, located in this Annual Report on Form 10-K, and the factors described below. The risks and uncertainties described in this Annual Report on Form 10-K are not the only ones facing our Company. Additional risks and uncertainties of which we are not presently aware, or that we currently consider immaterial, may also affect our business operations.</w:t>
      </w:r>
    </w:p>
    <w:p>
      <w:pPr>
        <w:spacing w:after="0" w:line="19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Our quarterly revenue and operating results are unpredictable and may fluctuate significantly from quarter to quarter, which could adversely affect our business, financial condition, results of operations and the trading price of our common stock.</w:t>
      </w:r>
    </w:p>
    <w:p>
      <w:pPr>
        <w:spacing w:after="0" w:line="186" w:lineRule="exact"/>
        <w:rPr>
          <w:sz w:val="20"/>
          <w:szCs w:val="20"/>
          <w:color w:val="auto"/>
        </w:rPr>
      </w:pPr>
    </w:p>
    <w:p>
      <w:pPr>
        <w:jc w:val="both"/>
        <w:ind w:right="160" w:firstLine="351"/>
        <w:spacing w:after="0" w:line="256" w:lineRule="auto"/>
        <w:rPr>
          <w:sz w:val="20"/>
          <w:szCs w:val="20"/>
          <w:color w:val="auto"/>
        </w:rPr>
      </w:pPr>
      <w:r>
        <w:rPr>
          <w:rFonts w:ascii="Arial" w:cs="Arial" w:eastAsia="Arial" w:hAnsi="Arial"/>
          <w:sz w:val="18"/>
          <w:szCs w:val="18"/>
          <w:color w:val="auto"/>
        </w:rPr>
        <w:t>Our revenues and operating results may vary significantly from quarter to quarter due to a number of factors, many of which are outside of our control and any of which may cause our stock price to fluctuate. Generally, purchases by service providers of telecommunications equipment from manufacturers have been unpredictable and clustered, rather than steady, as the providers build out their networks. The primary factors that may affect our revenues and operating results include the following:</w:t>
      </w:r>
    </w:p>
    <w:p>
      <w:pPr>
        <w:spacing w:after="0" w:line="211"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consolidation within the telecommunications industry, including acquisitions of or by our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economic conditions, as well as those specific to the telecommunications, networking and related industries;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general economic downturn that impacts the purchasing decisions of our significant customers or the timing and size of their orders;</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 in demand for our voice infrastructure products and the timing and size of customer orders;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cancellation or deferral of existing customer orders or the renegotiation of existing contractual commitments;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mix of product configurations sold;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length and variability of the sales cycle for our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application of complex revenue recognition accounting rules to our customer arrangements;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revenue recognition;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pricing policies, the pricing policies of our competitors and the prices of the components of our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product introductions and enhancements by our competitors or by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develop, introduce and ship new products and product enhancements that meet customer requirements in a timely manner;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sufficient supplies of sole or limited source components;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attain and maintain production volumes and quality levels for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related to acquisitions;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corporate restructurings, including layoffs.</w:t>
      </w:r>
    </w:p>
    <w:p>
      <w:pPr>
        <w:spacing w:after="0" w:line="225" w:lineRule="exact"/>
        <w:rPr>
          <w:sz w:val="20"/>
          <w:szCs w:val="20"/>
          <w:color w:val="auto"/>
        </w:rPr>
      </w:pPr>
    </w:p>
    <w:p>
      <w:pPr>
        <w:ind w:firstLine="341"/>
        <w:spacing w:after="0" w:line="370" w:lineRule="auto"/>
        <w:rPr>
          <w:sz w:val="20"/>
          <w:szCs w:val="20"/>
          <w:color w:val="auto"/>
        </w:rPr>
      </w:pPr>
      <w:r>
        <w:rPr>
          <w:rFonts w:ascii="Arial" w:cs="Arial" w:eastAsia="Arial" w:hAnsi="Arial"/>
          <w:sz w:val="15"/>
          <w:szCs w:val="15"/>
          <w:color w:val="auto"/>
        </w:rPr>
        <w:t>As with other telecommunications product suppliers, we may recognize a portion of our revenue in a given quarter from sales booked and shipped in the last weeks of that quarter. As a result, delays in customer orders may result in delays in shipments and recognition of revenue beyond the end of a given quarter.</w:t>
      </w:r>
    </w:p>
    <w:p>
      <w:pPr>
        <w:spacing w:after="0" w:line="116" w:lineRule="exact"/>
        <w:rPr>
          <w:sz w:val="20"/>
          <w:szCs w:val="20"/>
          <w:color w:val="auto"/>
        </w:rPr>
      </w:pPr>
    </w:p>
    <w:p>
      <w:pPr>
        <w:jc w:val="both"/>
        <w:ind w:right="120" w:firstLine="341"/>
        <w:spacing w:after="0" w:line="259" w:lineRule="auto"/>
        <w:rPr>
          <w:sz w:val="20"/>
          <w:szCs w:val="20"/>
          <w:color w:val="auto"/>
        </w:rPr>
      </w:pPr>
      <w:r>
        <w:rPr>
          <w:rFonts w:ascii="Arial" w:cs="Arial" w:eastAsia="Arial" w:hAnsi="Arial"/>
          <w:sz w:val="18"/>
          <w:szCs w:val="18"/>
          <w:color w:val="auto"/>
        </w:rPr>
        <w:t>A significant portion of our operating expenses is fixed in the short-term. If revenues for a particular quarter are below expectations, we may not be able to reduce costs and expenses proportionally for that quarter. Any such revenue shortfall would, therefore, have a significant effect on our operating results for that quarter.</w:t>
      </w:r>
    </w:p>
    <w:p>
      <w:pPr>
        <w:spacing w:after="0" w:line="194"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We believe that quarter-to-quarter comparisons of our operating results are not a good indication of our future performance. It is likely that in some future quarters, our operating results may be below the expectations of public market analysts and investors, which may adversely affect our stock price.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may continue to be volatile.</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market for technology stocks has been, and will likely continue to be, volatile. The following factors could cause the market price of our common stock to fluctuate significantly:</w:t>
      </w:r>
    </w:p>
    <w:p>
      <w:pPr>
        <w:spacing w:after="0" w:line="213"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activism by any single large stockholder or combination of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 or loss of any major customer;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consolidation in the telecommunications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financial condition or anticipated capital expenditure purchases of any existing or potential major customer;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conditions for the telecommunications, networking and related industries;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quarterly variations in our operating results;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new products or acquisitions, distribution partnerships, joint ventures or capital commitments;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of common stock or other securities by us or by our stockholders in the future;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securities and other litigation; and/or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 of a stock split, reverse stock split, stock dividend or similar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and may incur additional net losses.</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have incurred net losses in fiscal 2009, fiscal 2008 and fiscal 2007. We may incur additional net losses in future quarters and years. Our revenues may not grow and we may never generate sufficient revenues to sustain profitability.</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World-wide efforts to cut capital spending, general economic uncertainty and a weakening global economy could have a material adverse effect on us.</w:t>
      </w:r>
    </w:p>
    <w:p>
      <w:pPr>
        <w:spacing w:after="0" w:line="260"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We are unable to predict the duration and severity of the current economic downturn and disruption in financial markets or their effects on our business and results of operations, but the consequences may be materially adverse and more severe than other recent economic slowdowns. Continuing market upheaval may have an adverse affect on us because we are dependent on customer behavior. Economic conditions worldwide and the recent financial crisis may continue to contribute to slowdowns in the communications and networking industries, as well as to specific segments and markets in which we operate, resulting in:</w:t>
      </w:r>
    </w:p>
    <w:p>
      <w:pPr>
        <w:spacing w:after="0" w:line="165"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demand for our products as a result of our customers choosing to refrain from building capital intensive networks;</w:t>
      </w:r>
    </w:p>
    <w:p>
      <w:pPr>
        <w:spacing w:after="0" w:line="25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price competition for our products, not only from our competitors, but also as a consequence of customers disposing of unutilized products;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 of excess and obsolete inventories;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excess facilities and manufacturing capacity; and/or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overhead costs as a percentage of revenue and higher interest expense.</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Continuing turmoil in the geopolitical environment in many parts of the world, including terrorist activities and military actions, particularly the continuing tension in the Middle East, Iraq and Afghanistan, may continue to put pressure on global economic conditions. Our operating results and our ability to expand into other international markets may also be affected by changing economic conditions particularly germane to that segment or to particular customer markets within that segment.</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Some of our current or prospective customers may cancel or delay spending on the development or roll-out of capital and technology projects with us due to the economic downturn and, consequently, our results of operations may be adversely affected. In addition, the current negative worldwide economic conditions and market instability make it increasingly difficult for us, our customers and our suppliers to accurately forecast future product demand, which could result in an inability to satisfy demand for our products and a loss of market share.</w:t>
      </w:r>
    </w:p>
    <w:p>
      <w:pPr>
        <w:spacing w:after="0" w:line="197"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Our revenues are likely to decline in such circumstances and our profit margins could erode. In addition, in the event of extreme prolonged events, such as the global credit crisis, we could incur significant losses. Factors such as consumer spending, business investment, volatility and strength of the</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capital markets and information all affect the business and economic environment, and, ultimately, the amount and profitability of our business. In an economic downturn characterized by higher unemployment, lower family income, lower corporate earnings, lower business investment and lower consumer spending, the demand for our products could be adversely affected. If global economic and market conditions, or economic conditions in the United States or other key markets, continue to deteriorate, we may experience material impacts on our business, operating results and financial condition.</w:t>
      </w:r>
    </w:p>
    <w:p>
      <w:pPr>
        <w:spacing w:after="0" w:line="167"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b w:val="1"/>
          <w:bCs w:val="1"/>
          <w:i w:val="1"/>
          <w:iCs w:val="1"/>
          <w:color w:val="auto"/>
        </w:rPr>
        <w:t>We have adopted a new strategic focus and we are shifting our resources to support that new focus. If our new strategic plan is not aligned with the direction our customers take as they invest in the evolution of their networks, customers may not buy our products or use our services.</w:t>
      </w:r>
    </w:p>
    <w:p>
      <w:pPr>
        <w:spacing w:after="0" w:line="139"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We have recently adopted a new strategic plan, and we are undergoing a strategic transformation and realignment of our operations in support of that new plan. The transformation we are undergoing includes accelerating the shift in our investments from mature technologies that previously generated significant revenue for us toward certain next-generation technologies. Our choices of specific technologies to pursue, including all-IP-based solutions, and those to de-emphasize may prove to be inconsistent with our customers' investment spending.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our voice infrastructure products, and our future revenues depend upon their commercial success.</w:t>
      </w:r>
    </w:p>
    <w:p>
      <w:pPr>
        <w:spacing w:after="0" w:line="225"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Our future growth depends upon the commercial success of our voice infrastructure products and our solutions that are all-IP. We intend to develop and introduce new products and enhancements to existing products in the future. We may not successfully complete the development or introduction of these products. Further, the systems and software required to manage All-IP-based voice calls will need to evolve to support all types of media session types, not just voice. If our target customers do not adopt, purchase and successfully deploy our current or planned products, our revenues will not grow.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respond rapidly to technological changes or to changes in industry standards, our products could become obsolete.</w:t>
      </w:r>
    </w:p>
    <w:p>
      <w:pPr>
        <w:spacing w:after="0" w:line="225"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market for packet voice infrastructure products is likely to be characterized by rapid technological change and frequent new product introductions. We may be unable to respond quickly or effectively to these developments. We may experience difficulties with software development, hardware design, manufacturing or marketing that could delay or prevent our development, introduction or marketing of new products and enhancements. The introduction of new products by our competitors, the market acceptance of products based on new or alternative technologies or the emergence of new industry standards could render our existing or future products obsolete. If the standards adopted are different from those that we have chosen to support, market acceptance of our products may be significantly reduced or delayed. If our products become technologically obsolete, we may be unable to sell our products in the marketplace and generate revenues.</w:t>
      </w:r>
    </w:p>
    <w:p>
      <w:pPr>
        <w:spacing w:after="0" w:line="20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If we fail to compete successfully against incumbent telecommunications equipment companies, our ability to increase our revenues and sustain profitability will be impaired.</w:t>
      </w:r>
    </w:p>
    <w:p>
      <w:pPr>
        <w:spacing w:after="0" w:line="186"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Competition in the telecommunications market is intense. This market has historically been dominated by large incumbent telecommunications equipment companies, such as Alcatel-Lucent, NEC, Nokia Siemens, Huawei and Ericsson, all of which are our direct competitors. We also face competition from other large telecommunications and networking companies, including Cisco Systems, that have entered our market by acquiring companies that design competing products. Alcatel and Lucent merged and Siemens combined its networking business with Nokia's networking business. Other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competitors may also merge, intensifying competition. Additional competitors with significant financial resources may enter our markets and further intensify competition.</w:t>
      </w:r>
    </w:p>
    <w:p>
      <w:pPr>
        <w:spacing w:after="0" w:line="186"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Many of our current and potential competitors have significantly greater selling and marketing, technical, manufacturing, financial and other resources than we have. Further, some of our competitors sell significant amounts of other products to our current and prospective customers and have the ability to offer lower prices to win business. Our competitors' broad product portfolios, coupled with already existing relationships, may cause our customers to buy our competitors' products or harm our ability to attract new customers.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compete effectively, we must deliver innovative products that:</w:t>
      </w:r>
    </w:p>
    <w:p>
      <w:pPr>
        <w:spacing w:after="0" w:line="23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extremely high reliability and voice quality;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scale easily and efficiently;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interoperate with existing network designs and other vendors' equipment;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effective network management;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are accompanied by comprehensive customer support and professional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a cost-effective and space efficient solution for service providers;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meet price competition from low cost equipment providers.</w:t>
      </w:r>
    </w:p>
    <w:p>
      <w:pPr>
        <w:spacing w:after="0" w:line="225"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If we are unable to compete successfully against our current and future competitors, we could experience price reductions, order cancellations, loss of customers and revenues and reduced gross profit margins.</w:t>
      </w:r>
    </w:p>
    <w:p>
      <w:pPr>
        <w:spacing w:after="0" w:line="18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If we do not anticipate and meet specific customer requirements or if our products do not interoperate with our customers' existing networks, we may not retain current customers or attract new customers.</w:t>
      </w:r>
    </w:p>
    <w:p>
      <w:pPr>
        <w:spacing w:after="0" w:line="186" w:lineRule="exact"/>
        <w:rPr>
          <w:sz w:val="20"/>
          <w:szCs w:val="20"/>
          <w:color w:val="auto"/>
        </w:rPr>
      </w:pPr>
    </w:p>
    <w:p>
      <w:pPr>
        <w:ind w:right="240" w:firstLine="348"/>
        <w:spacing w:after="0" w:line="291" w:lineRule="auto"/>
        <w:rPr>
          <w:sz w:val="20"/>
          <w:szCs w:val="20"/>
          <w:color w:val="auto"/>
        </w:rPr>
      </w:pPr>
      <w:r>
        <w:rPr>
          <w:rFonts w:ascii="Arial" w:cs="Arial" w:eastAsia="Arial" w:hAnsi="Arial"/>
          <w:sz w:val="16"/>
          <w:szCs w:val="16"/>
          <w:color w:val="auto"/>
        </w:rPr>
        <w:t>To achieve market acceptance for our products, we must effectively anticipate, and adapt in a timely manner to, customer requirements and offer products and services that meet changing customer demands. Prospective customers may require product features and capabilities that our current products do not have. The introduction of new or enhanced products also requires that we carefully manage the transition from older products in order to minimize disruption in customer ordering patterns and ensure that adequate supplies of new products can be delivered to meet anticipated customer demand. If we fail to develop products and offer services that satisfy customer requirements, or to effectively manage the transition from older products, our ability to create or increase demand for our products would be seriously harmed and we may lose current and prospective customers.</w:t>
      </w:r>
    </w:p>
    <w:p>
      <w:pPr>
        <w:spacing w:after="0" w:line="17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Many of our customers will require that our products be designed to interface with their existing networks, each of which may have different specifications. Issues caused by an unanticipated lack of interoperability may result in significant warranty, support and repair costs, divert the attention of our engineering personnel from our hardware and software development efforts and cause significant customer relations problems. If our products do not interoperate with those of our customers' networks, installations could be delayed or orders for our products could be cancelled, which would seriously harm our gross margins and result in loss of revenues or customers.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for voice, data and video infrastructure products for the public network is evolving and our business will suffer if it does not develop as we expect.</w:t>
      </w:r>
    </w:p>
    <w:p>
      <w:pPr>
        <w:spacing w:after="0" w:line="260" w:lineRule="exact"/>
        <w:rPr>
          <w:sz w:val="20"/>
          <w:szCs w:val="20"/>
          <w:color w:val="auto"/>
        </w:rPr>
      </w:pPr>
    </w:p>
    <w:p>
      <w:pPr>
        <w:ind w:right="480" w:firstLine="348"/>
        <w:spacing w:after="0" w:line="332" w:lineRule="auto"/>
        <w:rPr>
          <w:sz w:val="20"/>
          <w:szCs w:val="20"/>
          <w:color w:val="auto"/>
        </w:rPr>
      </w:pPr>
      <w:r>
        <w:rPr>
          <w:rFonts w:ascii="Arial" w:cs="Arial" w:eastAsia="Arial" w:hAnsi="Arial"/>
          <w:sz w:val="16"/>
          <w:szCs w:val="16"/>
          <w:color w:val="auto"/>
        </w:rPr>
        <w:t>The market for our products continues to evolve. In particular, wireless, cable and broadband access networks are becoming important markets for our products. Packet-based technology may not become widely accepted as a platform for voice and a viable market for our products may not be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sustainable. If this market does not develop, or develops more slowly than we expect, we may not be able to sell our products in significant volume. Additionally, the introduction of new products with higher capacity may result in a decrease in the manufacturing volumes of our older products and a corresponding decrease in component purchase volume discounts. This could result in higher overall manufacturing costs.</w:t>
      </w:r>
    </w:p>
    <w:p>
      <w:pPr>
        <w:spacing w:after="0" w:line="19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expect that a majority of our revenue will be generated from a limited number of customers and we will not be successful if we do not grow our customer base.</w:t>
      </w:r>
    </w:p>
    <w:p>
      <w:pPr>
        <w:spacing w:after="0" w:line="186" w:lineRule="exact"/>
        <w:rPr>
          <w:sz w:val="20"/>
          <w:szCs w:val="20"/>
          <w:color w:val="auto"/>
        </w:rPr>
      </w:pPr>
    </w:p>
    <w:p>
      <w:pPr>
        <w:ind w:right="420" w:firstLine="348"/>
        <w:spacing w:after="0" w:line="306" w:lineRule="auto"/>
        <w:rPr>
          <w:sz w:val="20"/>
          <w:szCs w:val="20"/>
          <w:color w:val="auto"/>
        </w:rPr>
      </w:pPr>
      <w:r>
        <w:rPr>
          <w:rFonts w:ascii="Arial" w:cs="Arial" w:eastAsia="Arial" w:hAnsi="Arial"/>
          <w:sz w:val="16"/>
          <w:szCs w:val="16"/>
          <w:color w:val="auto"/>
        </w:rPr>
        <w:t>To date, we have shipped our products to a limited number of customers. One customer contributed approximately 29% of our revenue in fiscal 2008. Although we did not have any single customer that contributed 10% or more of our revenue in fiscal 2009, it is possible that we may have such customers in future periods. Factors that may affect our ability to grow our customer base include the following:</w:t>
      </w:r>
    </w:p>
    <w:p>
      <w:pPr>
        <w:spacing w:after="0" w:line="174"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economic conditions that discourage potential new customers from making the capital investments required to adopt new technologies;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deterioration in the general financial condition of service providers or their ability to raise capital or access lending sources; and/or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product introductions by our competitors.</w:t>
      </w:r>
    </w:p>
    <w:p>
      <w:pPr>
        <w:spacing w:after="0" w:line="225"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If we are unable to expand our customer base, we will be forced to rely on generating recurring revenue from existing customers which may not be successful. Our future success will depend on our ability to attract additional customers beyond our current limited number.</w:t>
      </w:r>
    </w:p>
    <w:p>
      <w:pPr>
        <w:spacing w:after="0" w:line="13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If we are unable to generate recurring business from our limited number of existing customers, our financial position and results of operations could be materially and adversely affected.</w:t>
      </w:r>
    </w:p>
    <w:p>
      <w:pPr>
        <w:spacing w:after="0" w:line="186" w:lineRule="exact"/>
        <w:rPr>
          <w:sz w:val="20"/>
          <w:szCs w:val="20"/>
          <w:color w:val="auto"/>
        </w:rPr>
      </w:pPr>
    </w:p>
    <w:p>
      <w:pPr>
        <w:ind w:right="640" w:firstLine="348"/>
        <w:spacing w:after="0" w:line="332" w:lineRule="auto"/>
        <w:rPr>
          <w:sz w:val="20"/>
          <w:szCs w:val="20"/>
          <w:color w:val="auto"/>
        </w:rPr>
      </w:pPr>
      <w:r>
        <w:rPr>
          <w:rFonts w:ascii="Arial" w:cs="Arial" w:eastAsia="Arial" w:hAnsi="Arial"/>
          <w:sz w:val="16"/>
          <w:szCs w:val="16"/>
          <w:color w:val="auto"/>
        </w:rPr>
        <w:t>We expect that in the foreseeable future, the majority of our revenue will continue to depend on sales of our products to a limited number of existing customers. Factors that may affect our ability to generate recurring revenues from our existing customers include the following:</w:t>
      </w:r>
    </w:p>
    <w:p>
      <w:pPr>
        <w:spacing w:after="0" w:line="153"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willingness to implement our new voice infrastructure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acquisitions of or by our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delays or difficulties that we may incur in completing the development and introduction of our planned products or product enhancements;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of our products to perform as expected; and/or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we may incur in meeting customers' delivery requirements.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loss of any significant customers or any substantial reduction in purchase orders from these customers could materially and adversely affect our financial position and results of operations.</w:t>
      </w:r>
    </w:p>
    <w:p>
      <w:pPr>
        <w:spacing w:after="0" w:line="18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Our large customers have substantial negotiating leverage, which may require that we agree to terms and conditions that may have an adverse effect on our business.</w:t>
      </w:r>
    </w:p>
    <w:p>
      <w:pPr>
        <w:spacing w:after="0" w:line="186"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Large telecommunications providers have substantial purchasing power and leverage in negotiating contractual arrangements with us. These customers may require us to develop additional features, may require penalties for failure to deliver such features and may seek discounted product or service pricing. As we sell more products to this class of customer, we may be required to agree to such terms and conditions, which may affect the timing of revenue recognition, amount of deferred revenues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product and service margins and may adversely affect our financial position in the applicable period affected.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Due to our reliance on significant customer contracts, we have financial exposure to the continued financial stability of our customers.</w:t>
      </w:r>
    </w:p>
    <w:p>
      <w:pPr>
        <w:spacing w:after="0" w:line="248"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Due to our reliance on significant customer contracts, we are dependent on the continued financial strength of our customers. The current economic crisis could have already had or could have in the future a material adverse affect on these customers. If one or more of our significant customers experience financial difficulties, it could result in uncollectible accounts receivable and our loss of significant customers and anticipated service revenue.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the credit risk of some of our customers and to credit exposures in weakened markets, which could result in material losses.</w:t>
      </w:r>
    </w:p>
    <w:p>
      <w:pPr>
        <w:spacing w:after="0" w:line="248"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Most of our sales are on an open credit basis, with typical payment terms of 30 to 45 days. We monitor individual customer payment capability in granting such open credit arrangements, seek to limit such open credit to amounts we believe our customers can pay and maintain reserves we believe are adequate to cover exposure for doubtful accounts. However, there can be no assurance that our open credit customers will pay the amounts they owe to us or that the reserves we maintain will be adequate to cover such credit exposure. Our customers' failure to pay and/or our failure to maintain sufficient reserves could have a material adverse effect on our operating results and financial condition. Additionally, in the event that the ongoing turmoil in the credit markets makes it more difficult for some customers to obtain financing, those customers' ability to pay could be adversely impacted, which in turn could have a material adverse impact on our business, operating results and financial condition.</w:t>
      </w:r>
    </w:p>
    <w:p>
      <w:pPr>
        <w:spacing w:after="0" w:line="172"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 portion of our sales are derived through our distributors. As distributors tend to have more limited financial resources than other resellers and end-user customers, they generally represent sources of increased credit risk.</w:t>
      </w:r>
    </w:p>
    <w:p>
      <w:pPr>
        <w:spacing w:after="0" w:line="18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We rely on distribution partners to sell our products in certain markets, and disruptions to, or our failure to effectively develop and manage, our distribution channel and the processes and procedures that support it could adversely affect our ability to generate revenues from the sale of our products in those markets.</w:t>
      </w:r>
    </w:p>
    <w:p>
      <w:pPr>
        <w:spacing w:after="0" w:line="19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Our future success is highly dependent upon establishing and maintaining successful relationships with a variety of value-added reseller and distribution partners. A portion of our revenues is derived through distributors, many of which sell competitive products. The loss of or reduction in sales by these distributors could materially reduce our revenues. If we fail to maintain relationships with these distribution partners, fail to develop new relationships with distributors in new markets, fail to manage, train, or provide incentives to existing distributors effectively or if these partners are not successful in their sales efforts, sales of our products may decrease and our operating results could suffer.</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addition, we recognize a portion of our revenue based on a sell-through model using information provided by our distributors. If those distributors provide us with inaccurate or untimely information, the amount or timing of our revenues could be adversely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risks associated with our international expansion that could impair our ability to grow our international revenues.</w:t>
      </w:r>
    </w:p>
    <w:p>
      <w:pPr>
        <w:spacing w:after="0" w:line="225" w:lineRule="exact"/>
        <w:rPr>
          <w:sz w:val="20"/>
          <w:szCs w:val="20"/>
          <w:color w:val="auto"/>
        </w:rPr>
      </w:pPr>
    </w:p>
    <w:p>
      <w:pPr>
        <w:jc w:val="both"/>
        <w:ind w:right="180" w:firstLine="351"/>
        <w:spacing w:after="0" w:line="256" w:lineRule="auto"/>
        <w:rPr>
          <w:sz w:val="20"/>
          <w:szCs w:val="20"/>
          <w:color w:val="auto"/>
        </w:rPr>
      </w:pPr>
      <w:r>
        <w:rPr>
          <w:rFonts w:ascii="Arial" w:cs="Arial" w:eastAsia="Arial" w:hAnsi="Arial"/>
          <w:sz w:val="18"/>
          <w:szCs w:val="18"/>
          <w:color w:val="auto"/>
        </w:rPr>
        <w:t>International revenue approximated $69 million, or approximately 30% of revenue, in fiscal 2009, $94 million, or approximately 30% of revenue, in fiscal 2008 and $84 million, or approximately 26% of revenue, in fiscal 2007. We intend to continue to expand our sales in international markets. This expansion has and will continue to require significant management attention and financial resources to successfully develop direct and indirect international sales and support channels. In addition, we may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 be able to develop international market demand for our products, which could impair our ability to grow our revenues. We have limited experience marketing, distributing and supporting our products internationally and, to do so, we expect that we will need to develop versions of our products that comply with local standards. Furthermore, international operations are subject to other inherent risks, including:</w:t>
      </w:r>
    </w:p>
    <w:p>
      <w:pPr>
        <w:spacing w:after="0" w:line="208"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reliance on distributors and resellers;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collection cycles;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and costs of staffing and managing international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differing technical standards outside the United States;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the current global economic downturn and related market uncertainty;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regulatory requirements and currency exchange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international trade, customs and export control regulations;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certification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considerations that affect government and service provider spending patterns;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health or similar issues, such as pandemic or epidemic;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social and economic instability.</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If we fail to manage the operational and financial risks associated with our international operations, it could have a material adverse effect on our business, results of operations and financial condition.</w:t>
      </w:r>
    </w:p>
    <w:p>
      <w:pPr>
        <w:spacing w:after="0" w:line="186"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operate in international and emerging markets. In many international markets, long-standing relationships between potential customers and their local suppliers and protective regulations, including local content requirements and approvals, create barriers to entry. In addition, pursuing international opportunities may require significant investments for an extended period before returns on those investments, if any, are realized, which may result in expenses growing at a faster rate than revenues. Furthermore, those opportunities could be adversely affected by, among other factors: reversals or delays in the opening of foreign markets to new competitors or the introduction of new technologies into those markets; a challenging pricing environment in highly competitive new markets; exchange controls; restrictions on repatriation of cash; nationalization or regulation of local industry; economic, social and political risks; taxation; challenges in staffing and managing international opportunities; and acts of war or terrorism.</w:t>
      </w:r>
    </w:p>
    <w:p>
      <w:pPr>
        <w:spacing w:after="0" w:line="17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Difficulties in foreign financial markets and economies and of foreign financial institutions, particularly in emerging markets, could adversely affect demand from customers in the affected countries. An inability to maintain our business in international and emerging markets while balancing the higher operational and financial risks associated with these markets could have a material adverse effect on our business,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and reliance upon development resources in India may expose us to unanticipated costs and/or liabilities.</w:t>
      </w:r>
    </w:p>
    <w:p>
      <w:pPr>
        <w:spacing w:after="0" w:line="225"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We have a significant development center in Bangalore, India and, in recent years, have increased headcount and development activity at this facility. The employees at this facility consist principally of research and development personnel. There is no assurance that our reliance upon development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resources in India will enable us to achieve meaningful cost reductions or greater resource efficiency. Further, our development efforts and other operations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India involve significant risks, including:</w:t>
      </w:r>
    </w:p>
    <w:p>
      <w:pPr>
        <w:spacing w:after="0" w:line="232"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difficulty hiring and retaining appropriate engineering resources due to intense competition for such resources and resulting wage inflation;</w:t>
      </w:r>
    </w:p>
    <w:p>
      <w:pPr>
        <w:spacing w:after="0" w:line="275" w:lineRule="exact"/>
        <w:rPr>
          <w:rFonts w:ascii="Arial" w:cs="Arial" w:eastAsia="Arial" w:hAnsi="Arial"/>
          <w:sz w:val="16"/>
          <w:szCs w:val="16"/>
          <w:color w:val="auto"/>
        </w:rPr>
      </w:pPr>
    </w:p>
    <w:p>
      <w:pPr>
        <w:ind w:left="1080" w:right="66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knowledge transfer related to our technology and resulting exposure to misappropriation of intellectual property or information that is proprietary to us, our customers and other third parties;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heightened exposure to changes in economic, security and political conditions in India;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currency exchange rates and tax compliance in India.</w:t>
      </w:r>
    </w:p>
    <w:p>
      <w:pPr>
        <w:spacing w:after="0" w:line="225"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Difficulties resulting from the factors noted above and other risks related to our operations in India could expose us to increased expense, impair our development efforts, harm our competitive position and damage our reputation.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248" w:lineRule="exact"/>
        <w:rPr>
          <w:sz w:val="20"/>
          <w:szCs w:val="20"/>
          <w:color w:val="auto"/>
        </w:rPr>
      </w:pPr>
    </w:p>
    <w:p>
      <w:pPr>
        <w:jc w:val="both"/>
        <w:ind w:right="100" w:firstLine="351"/>
        <w:spacing w:after="0" w:line="284" w:lineRule="auto"/>
        <w:rPr>
          <w:sz w:val="20"/>
          <w:szCs w:val="20"/>
          <w:color w:val="auto"/>
        </w:rPr>
      </w:pPr>
      <w:r>
        <w:rPr>
          <w:rFonts w:ascii="Arial" w:cs="Arial" w:eastAsia="Arial" w:hAnsi="Arial"/>
          <w:sz w:val="16"/>
          <w:szCs w:val="16"/>
          <w:color w:val="auto"/>
        </w:rPr>
        <w:t>Our products are subject to U.S. export controls and may be exported outside the United States only with the required level of export license or through an export license exception because we incorporate encryption technology into our products. In addition, various countries regulate the import of certain encryption technology and have enacted laws that could limit our ability to distribute our products or our customers' ability to implement our products in those countries.</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Changes in our products or changes in export and import regulations may create delays in the introduction of our products in international markets, prevent our customers with international operations from deploying our products throughout their global systems or, in some cases, prevent the export or import of our products to certain countries altogether. Any change in export or import regulations or related legislation, shift in approach to the enforcement or scope of existing regulations or change in the countries,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operating results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securities litigation that could result in significant legal expenses and settlement or damage awards.</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have been named as a defendant in securities class action and derivative lawsuits. We are generally obliged, to the extent permitted by law, to indemnify our current and former directors and officers who are named as defendants in these lawsuits. Defending against existing and potential litigation may require significant attention and resources of management. Regardless of the outcome, such litigation will result in significant legal expenses. If our defenses in any of our pending litigation are ultimately unsuccessful, or if we are unable to achieve a favorable settlement, we could be liable for large damage awards that could have a material adverse effect on our business, results of operations and financial position.</w:t>
      </w:r>
    </w:p>
    <w:p>
      <w:pPr>
        <w:spacing w:after="0" w:line="170"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Further, our director and officer liability insurance policies provide only limited liability protection relating to the securities class action and derivative lawsuits against us and certain of our officers and directors. If these policies do not adequately cover expenses and certain liabilities relating to these lawsuits, our results of operations and our financial position could be materially harmed. Increased premiums could materially harm our financial results in future periods. The inability to obtain this coverage due to its unavailability or prohibitively expensive premiums would make it more difficult to</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retain and attract officers and directors and potentially expose us to self-funding any future liabilities ordinarily mitigated by director and officer liability insurance.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additional information on our pending litigation, please see Part I, Item 3 "Legal Proceedings" in this Annual Report on Form 10-K.</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Our ability to compete and our business could be jeopardized if we are unable to protect our intellectual property or become subject to intellectual property rights claims, which could require us to incur significant cost; additionally, in some jurisdictions, our rights may not be as strong as we currently enjoy in the United States.</w:t>
      </w:r>
    </w:p>
    <w:p>
      <w:pPr>
        <w:spacing w:after="0" w:line="194"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rely on a combination of patent, copyright, trademark and trade secret laws and restrictions on disclosure to protect our intellectual property rights. Despite our efforts to protect our proprietary rights,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the laws may not protect our proprietary rights as fully as in the United States. The legal systems of many foreign countries do not protect or honor intellectual property rights to the same extent as the legal system of the United States. It may be very difficult, time-consuming and costly for us to attempt to enforce our intellectual property rights in these jurisdictions. If competitors are able to use our technology, our ability to compete effectively could be harmed.</w:t>
      </w:r>
    </w:p>
    <w:p>
      <w:pPr>
        <w:spacing w:after="0" w:line="201"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In addition, we and our customers have received inquiries from intellectual property owners and may become subject to claims that we or our customers infringe their intellectual property rights. Any parties asserting that our products infringe upon their proprietary rights could force us to license their patents for substantial royalty payments or to defend ourselves and possibly our customers or contract manufacturers in litigation. These claims and any resulting licensing arrangement or lawsuit, if successful, could subject us to significant royalty payments or liability for damages and invalidation of our proprietary rights. Any potential intellectual property litigation also could force us to do one or more of the following:</w:t>
      </w:r>
    </w:p>
    <w:p>
      <w:pPr>
        <w:spacing w:after="0" w:line="183"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stop selling, incorporating or using our products that use the challenged intellectual property;</w:t>
      </w:r>
    </w:p>
    <w:p>
      <w:pPr>
        <w:spacing w:after="0" w:line="252"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which license may not be available on reasonable terms, or at all;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redesign those products that use any allegedly infringing technology.</w:t>
      </w:r>
    </w:p>
    <w:p>
      <w:pPr>
        <w:spacing w:after="0" w:line="225" w:lineRule="exact"/>
        <w:rPr>
          <w:sz w:val="20"/>
          <w:szCs w:val="20"/>
          <w:color w:val="auto"/>
        </w:rPr>
      </w:pPr>
    </w:p>
    <w:p>
      <w:pPr>
        <w:ind w:right="120" w:firstLine="341"/>
        <w:spacing w:after="0" w:line="306" w:lineRule="auto"/>
        <w:rPr>
          <w:sz w:val="20"/>
          <w:szCs w:val="20"/>
          <w:color w:val="auto"/>
        </w:rPr>
      </w:pPr>
      <w:r>
        <w:rPr>
          <w:rFonts w:ascii="Arial" w:cs="Arial" w:eastAsia="Arial" w:hAnsi="Arial"/>
          <w:sz w:val="16"/>
          <w:szCs w:val="16"/>
          <w:color w:val="auto"/>
        </w:rPr>
        <w:t>Any lawsuits regarding intellectual property rights, regardless of their success, would be time-consuming, expensive to resolve and would divert our management's time and attention. In addition, although historically our costs to defend lawsuits relating to indemnification provisions in our product agreements have been insignificant, the costs were significant in the fiscal 2008 and may be significant in future periods.</w:t>
      </w:r>
    </w:p>
    <w:p>
      <w:pPr>
        <w:spacing w:after="0" w:line="16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Because our products are sophisticated and designed to be deployed in complex environments, they may have errors or defects that we find only after full deployment, which could seriously harm our business.</w:t>
      </w:r>
    </w:p>
    <w:p>
      <w:pPr>
        <w:spacing w:after="0" w:line="18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products are sophisticated and are designed to be deployed in large and complex networks. Because of the nature of our products, they can only be fully tested when substantially deployed in very large networks with high volumes of traffic. Some of our customers have only recently begun to commercially deploy our products and they may discover errors or defects in the software or hardware, or the products may not operate as expected. As we continue to expand our distribution channel through distributors and resellers, we will need to rely on and support their service and support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organizations. If we are unable to fix errors or other performance problems that may be identified after full deployment of our products, we could experience:</w:t>
      </w:r>
    </w:p>
    <w:p>
      <w:pPr>
        <w:spacing w:after="0" w:line="262"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or delay in, revenues;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customers and market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attract new customers or achieve market acceptance for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service, support and warranty costs and a diversion of development resources; and/or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costly and time-consuming legal actions by our customers.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able to obtain necessary licenses of third-party technology at acceptable prices, or at all, our products could become obsolete.</w:t>
      </w:r>
    </w:p>
    <w:p>
      <w:pPr>
        <w:spacing w:after="0" w:line="248"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have incorporated third-party licensed technology into our current products. From time to time, we may be required to license additional technology from third parties to develop new products or product enhancements. Third-party licenses may not be available or continue to be available to us on commercially reasonable terms or may be available to us but only at significantly escalated pricing. Additionally, we may not be able to replace the functionality provided by third-party software currently offered with our products if that software becomes obsolete, defective or incompatible with future versions of our products or is not adequately maintained or updated. The inability to maintain or re-license any third-party licenses required in our current products or to obtain any new third-party licenses to develop new products and product enhancements could require us to obtain substitute technology of lower quality or performance standards or at greater cost, and delay or prevent us from making these products or enhancements, any of which could seriously harm the competitiveness of our products. Any significant interruption in the availability of these third-party software products or defects in these products could harm our sales unless and until we can secure an alternative source. Although we believe there are adequate alternate sources for the technology licensed to us, such alternate sources may not provide us with the same functionality as that currently provided to us.</w:t>
      </w:r>
    </w:p>
    <w:p>
      <w:pPr>
        <w:spacing w:after="0" w:line="1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Because our products are deployed in large, complex networks around the world, failure to establish a support infrastructure and maintain required support levels could seriously harm our business.</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products are deployed in large and complex networks around the world. Our customers expect us to establish a support infrastructure and maintain demanding support standards to ensure that their networks maintain high levels of availability and performance. To support the continued growth of our business, our support organization will need to provide service and support at a high level throughout the world. If we are unable to provide the expected level of support and service to our customers, we could experience:</w:t>
      </w:r>
    </w:p>
    <w:p>
      <w:pPr>
        <w:spacing w:after="0" w:line="211"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customers and market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failure to attract new customers in new geographies;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service, support and warranty costs and a diversion of development resources; and/or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network performance penalties.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Man-made problems such as computer viruses or terrorism may disrupt our operations and harm our operating results.</w:t>
      </w:r>
    </w:p>
    <w:p>
      <w:pPr>
        <w:spacing w:after="0" w:line="225" w:lineRule="exact"/>
        <w:rPr>
          <w:sz w:val="20"/>
          <w:szCs w:val="20"/>
          <w:color w:val="auto"/>
        </w:rPr>
      </w:pPr>
    </w:p>
    <w:p>
      <w:pPr>
        <w:ind w:right="700" w:firstLine="351"/>
        <w:spacing w:after="0" w:line="306" w:lineRule="auto"/>
        <w:rPr>
          <w:sz w:val="20"/>
          <w:szCs w:val="20"/>
          <w:color w:val="auto"/>
        </w:rPr>
      </w:pPr>
      <w:r>
        <w:rPr>
          <w:rFonts w:ascii="Arial" w:cs="Arial" w:eastAsia="Arial" w:hAnsi="Arial"/>
          <w:sz w:val="16"/>
          <w:szCs w:val="16"/>
          <w:color w:val="auto"/>
        </w:rPr>
        <w:t>Despite our implementation of network security measures, our servers are vulnerable to computer viruses, break-ins and similar disruptions from unauthorized tampering with our computer systems. Any such event could have a material adverse effect on our business, operating results and financial condition. Efforts to limit the ability of malicious third parties to disrupt the operations of the Internet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or undermine our own security efforts may be met with resistance. In addition, the continued threat of terrorism and heightened security and military action in response to this threat, or any future acts of terrorism, may cause further disruptions to the economies of the United States and other countries and create further uncertainties or otherwise materially harm our business, operating results and financial condition. Likewise, events such as widespread blackouts could have similar negative impacts. The extent that such disruptions or uncertainties result in delays or cancellations of customer orders or the manufacture or shipment of our products, our business, operating results and financial condition could be materially and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Provisions of our stockholder rights plan, charter documents and Delaware law have anti-takeover effects that could prevent a change of control.</w:t>
      </w:r>
    </w:p>
    <w:p>
      <w:pPr>
        <w:spacing w:after="0" w:line="248"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adopted a three-year limited duration stockholder rights plan, commonly referred to as a "poison pill," on June 26, 2008. The stockholder rights plan is designed to protect stockholders, to the extent possible, from a creeping acquisition and other tactics to gain control of us without offering all stockholders an adequate price and control premium. Under the stockholder rights plan, the acquisition of 15% or more of our outstanding common stock by any person or group (which includes for this purpose common stock referenced in derivative transactions or securities), unless approved by our Board of Directors, will trigger the right of our stockholders (other than the acquirer of 15% or more of our common stock) to acquire additional shares of our common stock and, in certain cases, the shares of the potential acquirer, having a market value of twice the exercise price of each right. A person or group who beneficially owned 15% or more of the outstanding shares of our common stock prior to the adoption of the stockholder rights plan did not cause the rights to become exercisable upon adoption of the stockholder rights plan. However, such person or group would cause the rights to become exercisable (subject to certain limited exceptions) if it becomes the beneficial owner of additional shares of our common stock or if its beneficial ownership decreases below 15% and subsequently increases to 15% or more. Because the rights may substantially dilute the stock ownership of a person or group attempting to take us over without the approval of our Board of Directors, our stockholder rights plan could make it more difficult for a third party to acquire us (or a significant percentage of our outstanding capital stock) without first negotiating with our Board of Directors regarding that acquisition.</w:t>
      </w:r>
    </w:p>
    <w:p>
      <w:pPr>
        <w:spacing w:after="0" w:line="178"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addition, provisions of our amended and restated certificate of incorporation, our amended and restated by-laws and Delaware law could make it more difficult for a third party to acquire us, even if doing so would be beneficial to our stockholders.</w:t>
      </w:r>
    </w:p>
    <w:p>
      <w:pPr>
        <w:spacing w:after="0" w:line="18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b w:val="1"/>
          <w:bCs w:val="1"/>
          <w:i w:val="1"/>
          <w:iCs w:val="1"/>
          <w:color w:val="auto"/>
        </w:rPr>
        <w:t>Actions that may be taken by significant stockholders may divert the time and attention of our board of directors and management from our business operations.</w:t>
      </w:r>
    </w:p>
    <w:p>
      <w:pPr>
        <w:spacing w:after="0" w:line="186"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Campaigns by significant investors to effect changes at publicly traded companies have increased in recent years. On January 9, 2009, we entered into a letter agreement with Legatum Capital and certain of its affiliates (collectively, "Legatum"), which was filed as Exhibit 10.1 to a Current Report on Form 8-K on January 12, 2009 (the "Letter Agreement"). Legatum is currently our largest stockholder and beneficially owns approximately 25% of our outstanding stock. The Letter Agreement provides that we agreed to add two new independent directors to our Board of Directors pursuant to the Letter Agreement. The directors would be designated by Legatum, subject to approval by our Board of Directors. Two directors have been designated by Legatum and have joined our Board of Directors. Pursuant to the terms of the Letter Agreement, we have recommended, and our stockholders have approved, an amendment to our amended and restated certificate of incorporation at the 2009 Annual Meeting of Stockholders to declassify our board structure by the 2011 Annual Meeting of Stockholders. Further, we formed an ad hoc Corporate Development and Investment Committee of our Board of Directors to focus on uses of our cash, tax planning, strategic acquisitions, mergers and joint ventures,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with the objective of enhancing stockholder value. While we believe we have satisfied in full our obligations under the Letter Agreement, there can be no assurance that Legatum and/or any other stockholder will not pursue actions to effect changes in our management and strategic direction, including through the solicitation of proxies from our stockholders. If a proxy contest were to be pursued by Legatum and/or any other stockholder, it could result in substantial expense to us, consume significant attention of our management and Board of Directors, and disrupt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or circumvention of our controls and procedures could impair our ability to report accurate financial results and could seriously harm our business.</w:t>
      </w:r>
    </w:p>
    <w:p>
      <w:pPr>
        <w:spacing w:after="0" w:line="260" w:lineRule="exact"/>
        <w:rPr>
          <w:sz w:val="20"/>
          <w:szCs w:val="20"/>
          <w:color w:val="auto"/>
        </w:rPr>
      </w:pPr>
    </w:p>
    <w:p>
      <w:pPr>
        <w:ind w:right="360" w:firstLine="341"/>
        <w:spacing w:after="0" w:line="306" w:lineRule="auto"/>
        <w:rPr>
          <w:sz w:val="20"/>
          <w:szCs w:val="20"/>
          <w:color w:val="auto"/>
        </w:rPr>
      </w:pPr>
      <w:r>
        <w:rPr>
          <w:rFonts w:ascii="Arial" w:cs="Arial" w:eastAsia="Arial" w:hAnsi="Arial"/>
          <w:sz w:val="16"/>
          <w:szCs w:val="16"/>
          <w:color w:val="auto"/>
        </w:rPr>
        <w:t>Any system of controls, however well designed and operated, is based in part on certain assumptions and can provide only reasonable, and not absolute, assurances that the objectives of the system are met. The failure or circumvention of our controls, policies and procedures could impair our ability to report accurate financial results and could have a material adverse effect on our business, results of operations and financial position.</w:t>
      </w:r>
    </w:p>
    <w:p>
      <w:pPr>
        <w:spacing w:after="0" w:line="16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Changes in our business strategy related to product and maintenance offerings and pricing could affect vendor specific objective evidence ("VSOE") and revenue recognition.</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Our business strategy and competition within the industry could exert pricing pressure on our maintenance offerings. Changes in our product or maintenance offerings/packages and related pricing could affect VSOE and require us to reestablish VSOE for some or all of our product or service offerings. If we are required to reestablish VSOE on any of our products or services, we could be required to defer revenue recognition with an impact on the amount of revenue recognized in a reporting period.</w:t>
      </w:r>
    </w:p>
    <w:p>
      <w:pPr>
        <w:spacing w:after="0" w:line="19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186"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 change in accounting pronouncements or taxation rules or practices can have a significant effect on our reported results and may affect our reporting of transactions completed before the change is effective. New accounting pronouncements, taxation rules and varying interpretations of accounting pronouncements or taxation rules have occurred in the past and may occur in the future. The change to existing rules, future changes, if any, or the need for us to modify a current tax position may adversely affect our reported financial results or the way we conduct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Under generally accepted accounting principles, we review our intangible assets for impairment when events or changes in circumstances indicate the carrying value may not be recoverable. Goodwill is tested for impairment at least annually. Factors that may be considered a change in circumstances indicating that the carrying value of our goodwill or intangible assets may not be recoverable include significant underperformance relative to plan or long-term projections, strategic changes in business strategy, significant negative industry or economic trends, significant change in circumstances relative to a large customer, significant decline in our stock price for a sustained period and decline in our market capitalization to below net book value. In connection with the preparation of our financial statements for the second and fourth quarters of fiscal 2008, we identified several impairment indicators related to the intangible assets and goodwill allocated to Zynetix Ltd. and the intangible assets allocated to Atreus Systems, Inc. and performed assessments of the carrying value of these assets. As a result of these assessments, we recorded impairment charges aggregating $6.3 million for the year ended December 31, 2008, of which $3.6 million is included as a component of Loss from discontinued operations in our consolidated statement of operations. We may be required to record a significant charge to earnings in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our financial statements in future periods if any additional impairment of our intangible assets or goodwill is determined, negatively impacting our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hire and retain needed personnel, the implementation of our business plan could slow or our future growth could halt.</w:t>
      </w:r>
    </w:p>
    <w:p>
      <w:pPr>
        <w:spacing w:after="0" w:line="225" w:lineRule="exact"/>
        <w:rPr>
          <w:sz w:val="20"/>
          <w:szCs w:val="20"/>
          <w:color w:val="auto"/>
        </w:rPr>
      </w:pPr>
    </w:p>
    <w:p>
      <w:pPr>
        <w:ind w:right="380" w:firstLine="351"/>
        <w:spacing w:after="0" w:line="256" w:lineRule="auto"/>
        <w:rPr>
          <w:sz w:val="20"/>
          <w:szCs w:val="20"/>
          <w:color w:val="auto"/>
        </w:rPr>
      </w:pPr>
      <w:r>
        <w:rPr>
          <w:rFonts w:ascii="Arial" w:cs="Arial" w:eastAsia="Arial" w:hAnsi="Arial"/>
          <w:sz w:val="18"/>
          <w:szCs w:val="18"/>
          <w:color w:val="auto"/>
        </w:rPr>
        <w:t>Our business depends upon highly skilled technical, managerial, engineering, sales, marketing and customer support personnel. Competition for these personnel is intense, especially once the economy begins to recover. Any failure to hire, assimilate in a timely manner and retain needed qualified personnel, particularly engineering and sales personnel, could impair our growth and make it difficult to meet key objectives, such as timely and effective product introductions.</w:t>
      </w:r>
    </w:p>
    <w:p>
      <w:pPr>
        <w:spacing w:after="0" w:line="197"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Our future success depends upon the continued services of our executive officers who have critical industry experience and relationships that we rely on to implement our business plan. None of our officers or key employees is bound by an employment agreement for any specific term. The loss of the services of any of our officers or key employees could delay the development and introduction of, and negatively impact our ability to sell, our products and achieve our business objectives.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limited number of shares available to issue to our employees, which could impact our ability to attract, retain and motivate key personnel.</w:t>
      </w:r>
    </w:p>
    <w:p>
      <w:pPr>
        <w:spacing w:after="0" w:line="248"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We historically have used stock options as a significant component of our employee compensation program in order to align employees' interests with the interests of our stockholders, encourage employee retention, and provide competitive compensation packages. In 2007, our stockholders approved a stock incentive plan, which includes a limited amount of shares to be granted under such plan. The limited number of shares available for use as equity incentives to employees may make it more difficult for us to attract, retain and motivate key personnel.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activities could adversely affect our ability to execute our business strategy.</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December 2008, we announced a restructuring of our business in which we reduced our workforce by approximately 5%. In January 2009, we announced a second restructuring initiative, which further reduced our workforce by approximately 4%. In August 2009, we announced a third restructuring initiative, which further reduced our workforce by approximately 10%. This restructuring and any future restructurings, should it become necessary for us to continue to restructure our business due to worldwide market conditions or other factors that reduce the demand for our products and services, could adversely affect our ability to execute our business strategy in a number of ways, including:</w:t>
      </w:r>
    </w:p>
    <w:p>
      <w:pPr>
        <w:spacing w:after="0" w:line="183"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key employees;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management's attention from normal daily operations of the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diminished ability to respond to customer requirements related to both products and services;</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 of our engineering and manufacturing processes, which could adversely affect our ability to introduce new products and to deliver products both on a timely basis and in accordance with the highest quality standards;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reduced ability to execute effectively internal administrative processes, including the implementation of key information technology programs.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subject to employment claims, we could incur substantial costs in defending ourselves.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are subject to employment claims in connection with employee terminations. In addition, companies in our industry whose employees accept positions with competitors may claim that their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competitors have engaged in unfair hiring practices. These claims may result in material litigation. We could incur substantial costs defending ourselves or our employees against those claims, regardless of their merits. In addition, defending ourselves from those types of claims could divert our management's attention from our operations. The cost of employment claims may also increase as a result of our increasing international expansion. If we are found liable in connection with any employment claim, we may incur significant costs that could adversely impact our financial position and results of operations.</w:t>
      </w:r>
    </w:p>
    <w:p>
      <w:pPr>
        <w:spacing w:after="0" w:line="16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depend upon a single contract manufacturer and any disruption in this relationship may cause us to fail to meet the demands of our customers and damage our customer relationships.</w:t>
      </w:r>
    </w:p>
    <w:p>
      <w:pPr>
        <w:spacing w:after="0" w:line="186"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We rely on a contract manufacturer to manufacture our products according to our specifications and to fill orders on a timely basis. Our contract manufacturer provides comprehensive manufacturing services, including assembly and certain tests of our products and procurement of materials. Our contract manufacturer also builds products for other companies and may not always have sufficient quantities of inventory available to fill our orders or may not allocate their internal resources to fill these orders on a timely basis. We neither have a long-term supply contract with our manufacturer nor internal manufacturing capabilities to meet our customers' demands. Moreover, our manufacturer is not required to manufacture products for any specified period. Qualifying a new contract manufacturer and commencing commercial scale production is expensive and time consuming and could result in a significant interruption in the supply of our products. If a change in contract manufacturers results in delays in our fulfillment of customer orders or if a contract manufacturer fails to make timely delivery of orders, we may lose revenues and suffer damage to our customer relationships.</w:t>
      </w:r>
    </w:p>
    <w:p>
      <w:pPr>
        <w:spacing w:after="0" w:line="172"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b w:val="1"/>
          <w:bCs w:val="1"/>
          <w:i w:val="1"/>
          <w:iCs w:val="1"/>
          <w:color w:val="auto"/>
        </w:rPr>
        <w:t>We and our contract manufacturer rely on single or limited sources for supply of some components of our products and if we fail to adequately predict our manufacturing requirements or if our supply of any of these components is disrupted, we will be unable to ship our products.</w:t>
      </w:r>
    </w:p>
    <w:p>
      <w:pPr>
        <w:spacing w:after="0" w:line="139"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We and our contract manufacturer currently purchase several key components of our products, including commercial digital signal processors, from single or limited sources. We purchase these components on a purchase order basis. If we overestimate our component and finished goods requirements, we could have excess inventory, which would increase our costs. If we underestimate our requirements, we may not have an adequate supply, which could interrupt manufacturing of our products and result in delays in shipments and revenues. Moreover, we cannot be certain or provide any assurance that our contract manufacturer will accept any or all of the purchase orders and agree to supply any or all of the quantities requested. Additionally, if our contract manufacturers underestimate our requirements, they may not have an adequate supply, which could interrupt manufacturing of our products and result in delays in shipments. If any of our sole or limited source suppliers experience capacity constraints, work stoppages or other reductions or disruptions in output, they may not be able to meet, or may choose not to meet, our delivery schedules. In light of the continuing downturn in the global economic conditions, there is also a risk that our distributors could experience interruptions in production or operations or alter our current arrangements. If our supply of any key components is disrupted, we may be unable to deliver our products to our customers on a timely basis, which could result in lost or delayed revenue, injury to our reputation, increased manufacturing costs and exposure to claims by our customers. Even if alternate suppliers are available, we may have difficulty identifying them in a timely manner, incur significant additional expense in changing suppliers, and experience difficulties or delays in the manufacturing of our products. Any failure to meet our customers' delivery requirements could harm our reputation and may have a material adverse effect on our consolidated financial position, results of operations, or cash flows.</w:t>
      </w:r>
    </w:p>
    <w:p>
      <w:pPr>
        <w:spacing w:after="0" w:line="182"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We currently do not have long-term supply contracts with our component suppliers and they are not required to supply us with products for any specified periods, in any specified quantities or at any set price, except as may be specified in a particular purchase order. In the event of a disruption or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delay in supply, or inability to obtain products, we may not be able to develop an alternate source in a timely manner or at favorable prices, or at all. A failure to find acceptable alternative sources could hurt our ability to deliver high-quality products to our customers and negatively affect our operating margins. In addition, reliance on our suppliers exposes us to potential supplier production difficulties, quality variations and unforeseen price increases. Our customers rely upon our ability to meet committed delivery dates, and any disruption in the supply of key components would seriously adversely affect our ability to meet these dates and could result in legal action by our customers, loss of customers or harm our ability to attract new customers. Additionally, any unforeseen price increases could reduce our profitability or force us to increase our prices, which could result in a loss of customers or harm our ability to attract new customers.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by our strategic partners or by us in integrating products provided by our strategic partners could seriously harm our business.</w:t>
      </w:r>
    </w:p>
    <w:p>
      <w:pPr>
        <w:spacing w:after="0" w:line="248"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Our solutions include the integration of products supplied by strategic partners, who offer complementary products and services. We rely on these strategic partners in the timely and successful deployment of our solutions to our customers. If the products provided by these partners have defects or do not operate as expected or if we do not effectively integrate and support products supplied by these strategic partners, then we may have difficulty with the deployment of our solutions that may result in:</w:t>
      </w:r>
    </w:p>
    <w:p>
      <w:pPr>
        <w:spacing w:after="0" w:line="211"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or delay in, revenues;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service, support and warranty costs and a diversion of development resources;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network performance penalties.</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In addition to cooperating with our strategic partners on specific customer projects, we also may compete in some areas with these same partners. If these strategic partners fail to perform or choose not to cooperate with us on certain projects, in addition to the effects described above, we could experience:</w:t>
      </w:r>
    </w:p>
    <w:p>
      <w:pPr>
        <w:spacing w:after="0" w:line="153"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customers and market share;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failure to attract new customers or achieve market acceptance for our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investments or acquisitions we make could disrupt our business and seriously harm our financial condition.</w:t>
      </w:r>
    </w:p>
    <w:p>
      <w:pPr>
        <w:spacing w:after="0" w:line="225"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color w:val="auto"/>
        </w:rPr>
        <w:t>In addition to investing in organic growth, we will consider other compelling opportunities to deliver greater shareholder value, if and when such opportunities arise. In the event of future investments or acquisitions, we could:</w:t>
      </w:r>
    </w:p>
    <w:p>
      <w:pPr>
        <w:spacing w:after="0" w:line="19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stock that would dilute our current stockholders' percentage ownership;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significantly our cash and investments;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debt or assume liabilities;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significant impairment charges related to the write-off of goodwill and intangible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significant amortization expenses related to intangible assets; or</w:t>
      </w:r>
    </w:p>
    <w:p>
      <w:pPr>
        <w:spacing w:after="0" w:line="252" w:lineRule="exact"/>
        <w:rPr>
          <w:rFonts w:ascii="Arial" w:cs="Arial" w:eastAsia="Arial" w:hAnsi="Arial"/>
          <w:sz w:val="18"/>
          <w:szCs w:val="18"/>
          <w:color w:val="auto"/>
        </w:rPr>
      </w:pPr>
    </w:p>
    <w:p>
      <w:pPr>
        <w:ind w:left="5620" w:right="2520" w:hanging="5072"/>
        <w:spacing w:after="0" w:line="519" w:lineRule="auto"/>
        <w:tabs>
          <w:tab w:leader="none" w:pos="10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large and immediate write-offs for in-process research and development and stock-based compensation.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integration of any acquired products, technologies or businesses could also involve numerous risks, including:</w:t>
      </w:r>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problems and unanticipated costs associated with combining the purchased products, technologies or businesses;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have limited or no prior experience;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organizations;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integration of internal controls and financial systems.</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may be unable to successfully integrate any products, technologies, businesses or personnel that we might acquire in the future without significant costs or disruption to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Because a portion of our business is conducted outside the United States, we face exposure to adverse movements in foreign currency exchange rates. These exposures may change over time as business practices evolve, and they could have a material adverse impact on our financial results and cash flows. An increase in the value of the dollar could increase the real cost to our customers of our products in those markets outside the United States where we often sell in dollars, and a weakened dollar could increase the cost of local operating expenses and procurement of raw materials from sources outside the United States.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in the telecommunications industry could harm our business.</w:t>
      </w:r>
    </w:p>
    <w:p>
      <w:pPr>
        <w:spacing w:after="0" w:line="225"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The industry has experienced consolidation and we expect this trend to continue. Consolidation among our customers may cause delays or reductions in capital expenditure plans and/or increased competitive pricing pressures as the number of available customers declines and their relative purchasing power increases in relation to suppliers. Any of these factors could adversely affect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the telecommunications industry could harm our operating results and future prospects.</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telecommunications industry is highly regulated and our business and financial condition could be adversely affected by the changes in the regulations relating to the telecommunications industry. Currently, there are few laws or regulations that apply directly to access to or delivery of voice services on IP networks. We could be adversely affected by regulation of IP networks and commerce in any country where we operate, including the United States. Such regulations could include matters such as voice over the Internet or using Internet protocol, encryption technology, and access charges for service providers. The adoption of such regulations could decrease demand for our products, and at the same time increase the cost of selling our products, which could have a material adverse effect on our business, operating results and financial position.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government regulation relating to healthcare reform could negatively affect our operating results and revenues.</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federal government in the United States is currently considering healthcare reform legislation that will significantly change healthcare in the United States. We would be subject to the rules and regulations relating to such healthcare reform. Compliance with these and similar healthcare regulations, if any, may materially increase our healthcare costs, which could adversely affect our operating results and revenues.</w:t>
      </w:r>
    </w:p>
    <w:p>
      <w:pPr>
        <w:spacing w:after="0" w:line="18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31"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Our corporate headquarters is located in a leased facility in Westford, Massachusetts, consisting of 130,000 square feet under a lease that expires in July 2012. In addition to our corporate headquarters, we maintained, as of December 31, 2009, the following active facilities: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ind w:left="340"/>
              <w:spacing w:after="0"/>
              <w:rPr>
                <w:sz w:val="20"/>
                <w:szCs w:val="20"/>
                <w:color w:val="auto"/>
              </w:rPr>
            </w:pPr>
            <w:r>
              <w:rPr>
                <w:rFonts w:ascii="Arial" w:cs="Arial" w:eastAsia="Arial" w:hAnsi="Arial"/>
                <w:sz w:val="14"/>
                <w:szCs w:val="14"/>
                <w:b w:val="1"/>
                <w:bCs w:val="1"/>
                <w:color w:val="auto"/>
              </w:rPr>
              <w:t>Square footage</w:t>
            </w:r>
          </w:p>
        </w:tc>
        <w:tc>
          <w:tcPr>
            <w:tcW w:w="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900" w:type="dxa"/>
            <w:vAlign w:val="bottom"/>
            <w:gridSpan w:val="3"/>
          </w:tcPr>
          <w:p>
            <w:pPr>
              <w:spacing w:after="0"/>
              <w:rPr>
                <w:sz w:val="20"/>
                <w:szCs w:val="20"/>
                <w:color w:val="auto"/>
              </w:rPr>
            </w:pPr>
            <w:r>
              <w:rPr>
                <w:rFonts w:ascii="Arial" w:cs="Arial" w:eastAsia="Arial" w:hAnsi="Arial"/>
                <w:sz w:val="14"/>
                <w:szCs w:val="14"/>
                <w:b w:val="1"/>
                <w:bCs w:val="1"/>
                <w:color w:val="auto"/>
              </w:rPr>
              <w:t>Location</w:t>
            </w:r>
          </w:p>
        </w:tc>
        <w:tc>
          <w:tcPr>
            <w:tcW w:w="980" w:type="dxa"/>
            <w:vAlign w:val="bottom"/>
          </w:tcPr>
          <w:p>
            <w:pPr>
              <w:spacing w:after="0"/>
              <w:rPr>
                <w:sz w:val="14"/>
                <w:szCs w:val="14"/>
                <w:color w:val="auto"/>
              </w:rPr>
            </w:pPr>
          </w:p>
        </w:tc>
        <w:tc>
          <w:tcPr>
            <w:tcW w:w="3660" w:type="dxa"/>
            <w:vAlign w:val="bottom"/>
          </w:tcPr>
          <w:p>
            <w:pPr>
              <w:ind w:left="1460"/>
              <w:spacing w:after="0"/>
              <w:rPr>
                <w:sz w:val="20"/>
                <w:szCs w:val="20"/>
                <w:color w:val="auto"/>
              </w:rPr>
            </w:pPr>
            <w:r>
              <w:rPr>
                <w:rFonts w:ascii="Arial" w:cs="Arial" w:eastAsia="Arial" w:hAnsi="Arial"/>
                <w:sz w:val="14"/>
                <w:szCs w:val="14"/>
                <w:b w:val="1"/>
                <w:bCs w:val="1"/>
                <w:color w:val="auto"/>
              </w:rPr>
              <w:t>Principal use</w:t>
            </w:r>
          </w:p>
        </w:tc>
        <w:tc>
          <w:tcPr>
            <w:tcW w:w="220" w:type="dxa"/>
            <w:vAlign w:val="bottom"/>
          </w:tcPr>
          <w:p>
            <w:pPr>
              <w:spacing w:after="0"/>
              <w:rPr>
                <w:sz w:val="14"/>
                <w:szCs w:val="14"/>
                <w:color w:val="auto"/>
              </w:rPr>
            </w:pPr>
          </w:p>
        </w:tc>
        <w:tc>
          <w:tcPr>
            <w:tcW w:w="1680" w:type="dxa"/>
            <w:vAlign w:val="bottom"/>
            <w:gridSpan w:val="2"/>
          </w:tcPr>
          <w:p>
            <w:pPr>
              <w:ind w:left="360"/>
              <w:spacing w:after="0"/>
              <w:rPr>
                <w:sz w:val="20"/>
                <w:szCs w:val="20"/>
                <w:color w:val="auto"/>
              </w:rPr>
            </w:pPr>
            <w:r>
              <w:rPr>
                <w:rFonts w:ascii="Arial" w:cs="Arial" w:eastAsia="Arial" w:hAnsi="Arial"/>
                <w:sz w:val="14"/>
                <w:szCs w:val="14"/>
                <w:b w:val="1"/>
                <w:bCs w:val="1"/>
                <w:color w:val="auto"/>
              </w:rPr>
              <w:t>(approximate)</w:t>
            </w:r>
          </w:p>
        </w:tc>
        <w:tc>
          <w:tcPr>
            <w:tcW w:w="120" w:type="dxa"/>
            <w:vAlign w:val="bottom"/>
          </w:tcPr>
          <w:p>
            <w:pPr>
              <w:spacing w:after="0"/>
              <w:rPr>
                <w:sz w:val="14"/>
                <w:szCs w:val="14"/>
                <w:color w:val="auto"/>
              </w:rPr>
            </w:pPr>
          </w:p>
        </w:tc>
        <w:tc>
          <w:tcPr>
            <w:tcW w:w="1860" w:type="dxa"/>
            <w:vAlign w:val="bottom"/>
          </w:tcPr>
          <w:p>
            <w:pPr>
              <w:ind w:left="460"/>
              <w:spacing w:after="0"/>
              <w:rPr>
                <w:sz w:val="20"/>
                <w:szCs w:val="20"/>
                <w:color w:val="auto"/>
              </w:rPr>
            </w:pPr>
            <w:r>
              <w:rPr>
                <w:rFonts w:ascii="Arial" w:cs="Arial" w:eastAsia="Arial" w:hAnsi="Arial"/>
                <w:sz w:val="14"/>
                <w:szCs w:val="14"/>
                <w:b w:val="1"/>
                <w:bCs w:val="1"/>
                <w:color w:val="auto"/>
              </w:rPr>
              <w:t>Lease expiration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Bangalore, India</w:t>
            </w:r>
          </w:p>
        </w:tc>
        <w:tc>
          <w:tcPr>
            <w:tcW w:w="46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Engineering/development</w:t>
            </w:r>
          </w:p>
        </w:tc>
        <w:tc>
          <w:tcPr>
            <w:tcW w:w="1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45,900</w:t>
            </w:r>
          </w:p>
        </w:tc>
        <w:tc>
          <w:tcPr>
            <w:tcW w:w="1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January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Freehold, New Jersey</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Engineering/development</w:t>
            </w:r>
          </w:p>
        </w:tc>
        <w:tc>
          <w:tcPr>
            <w:tcW w:w="1900" w:type="dxa"/>
            <w:vAlign w:val="bottom"/>
            <w:gridSpan w:val="3"/>
          </w:tcPr>
          <w:p>
            <w:pPr>
              <w:jc w:val="right"/>
              <w:ind w:right="120"/>
              <w:spacing w:after="0"/>
              <w:rPr>
                <w:sz w:val="20"/>
                <w:szCs w:val="20"/>
                <w:color w:val="auto"/>
              </w:rPr>
            </w:pPr>
            <w:r>
              <w:rPr>
                <w:rFonts w:ascii="Arial" w:cs="Arial" w:eastAsia="Arial" w:hAnsi="Arial"/>
                <w:sz w:val="18"/>
                <w:szCs w:val="18"/>
                <w:color w:val="auto"/>
              </w:rPr>
              <w:t>28,500</w:t>
            </w:r>
          </w:p>
        </w:tc>
        <w:tc>
          <w:tcPr>
            <w:tcW w:w="1980" w:type="dxa"/>
            <w:vAlign w:val="bottom"/>
            <w:gridSpan w:val="2"/>
          </w:tcPr>
          <w:p>
            <w:pPr>
              <w:ind w:left="120"/>
              <w:spacing w:after="0"/>
              <w:rPr>
                <w:sz w:val="20"/>
                <w:szCs w:val="20"/>
                <w:color w:val="auto"/>
              </w:rPr>
            </w:pPr>
            <w:r>
              <w:rPr>
                <w:rFonts w:ascii="Arial" w:cs="Arial" w:eastAsia="Arial" w:hAnsi="Arial"/>
                <w:sz w:val="18"/>
                <w:szCs w:val="18"/>
                <w:color w:val="auto"/>
              </w:rPr>
              <w:t>December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Richardson, Texas</w:t>
            </w:r>
          </w:p>
        </w:tc>
        <w:tc>
          <w:tcPr>
            <w:tcW w:w="46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Sales and customer support</w:t>
            </w:r>
          </w:p>
        </w:tc>
        <w:tc>
          <w:tcPr>
            <w:tcW w:w="1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26,500</w:t>
            </w:r>
          </w:p>
        </w:tc>
        <w:tc>
          <w:tcPr>
            <w:tcW w:w="1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October 2010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Ottawa, Ontario</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Engineering/development and</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sales and customer support</w:t>
            </w:r>
          </w:p>
        </w:tc>
        <w:tc>
          <w:tcPr>
            <w:tcW w:w="1900" w:type="dxa"/>
            <w:vAlign w:val="bottom"/>
            <w:gridSpan w:val="3"/>
          </w:tcPr>
          <w:p>
            <w:pPr>
              <w:jc w:val="right"/>
              <w:ind w:right="120"/>
              <w:spacing w:after="0"/>
              <w:rPr>
                <w:sz w:val="20"/>
                <w:szCs w:val="20"/>
                <w:color w:val="auto"/>
              </w:rPr>
            </w:pPr>
            <w:r>
              <w:rPr>
                <w:rFonts w:ascii="Arial" w:cs="Arial" w:eastAsia="Arial" w:hAnsi="Arial"/>
                <w:sz w:val="18"/>
                <w:szCs w:val="18"/>
                <w:color w:val="auto"/>
              </w:rPr>
              <w:t>5,500</w:t>
            </w:r>
          </w:p>
        </w:tc>
        <w:tc>
          <w:tcPr>
            <w:tcW w:w="1980" w:type="dxa"/>
            <w:vAlign w:val="bottom"/>
            <w:gridSpan w:val="2"/>
          </w:tcPr>
          <w:p>
            <w:pPr>
              <w:ind w:left="120"/>
              <w:spacing w:after="0"/>
              <w:rPr>
                <w:sz w:val="20"/>
                <w:szCs w:val="20"/>
                <w:color w:val="auto"/>
              </w:rPr>
            </w:pPr>
            <w:r>
              <w:rPr>
                <w:rFonts w:ascii="Arial" w:cs="Arial" w:eastAsia="Arial" w:hAnsi="Arial"/>
                <w:sz w:val="18"/>
                <w:szCs w:val="18"/>
                <w:color w:val="auto"/>
              </w:rPr>
              <w:t>December 2014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Swindon, United Kingdom</w:t>
            </w:r>
          </w:p>
        </w:tc>
        <w:tc>
          <w:tcPr>
            <w:tcW w:w="46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Engineering/development</w:t>
            </w:r>
          </w:p>
        </w:tc>
        <w:tc>
          <w:tcPr>
            <w:tcW w:w="1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10,100</w:t>
            </w:r>
          </w:p>
        </w:tc>
        <w:tc>
          <w:tcPr>
            <w:tcW w:w="1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June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Tokyo, Japan</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Sales and customer support</w:t>
            </w:r>
          </w:p>
        </w:tc>
        <w:tc>
          <w:tcPr>
            <w:tcW w:w="1900" w:type="dxa"/>
            <w:vAlign w:val="bottom"/>
            <w:gridSpan w:val="3"/>
          </w:tcPr>
          <w:p>
            <w:pPr>
              <w:jc w:val="right"/>
              <w:ind w:right="120"/>
              <w:spacing w:after="0"/>
              <w:rPr>
                <w:sz w:val="20"/>
                <w:szCs w:val="20"/>
                <w:color w:val="auto"/>
              </w:rPr>
            </w:pPr>
            <w:r>
              <w:rPr>
                <w:rFonts w:ascii="Arial" w:cs="Arial" w:eastAsia="Arial" w:hAnsi="Arial"/>
                <w:sz w:val="18"/>
                <w:szCs w:val="18"/>
                <w:color w:val="auto"/>
              </w:rPr>
              <w:t>6,700</w:t>
            </w:r>
          </w:p>
        </w:tc>
        <w:tc>
          <w:tcPr>
            <w:tcW w:w="1980" w:type="dxa"/>
            <w:vAlign w:val="bottom"/>
            <w:gridSpan w:val="2"/>
          </w:tcPr>
          <w:p>
            <w:pPr>
              <w:ind w:left="120"/>
              <w:spacing w:after="0"/>
              <w:rPr>
                <w:sz w:val="20"/>
                <w:szCs w:val="20"/>
                <w:color w:val="auto"/>
              </w:rPr>
            </w:pPr>
            <w:r>
              <w:rPr>
                <w:rFonts w:ascii="Arial" w:cs="Arial" w:eastAsia="Arial" w:hAnsi="Arial"/>
                <w:sz w:val="18"/>
                <w:szCs w:val="18"/>
                <w:color w:val="auto"/>
              </w:rPr>
              <w:t>September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Staines, United Kingdom</w:t>
            </w:r>
          </w:p>
        </w:tc>
        <w:tc>
          <w:tcPr>
            <w:tcW w:w="46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Sales and customer support</w:t>
            </w:r>
          </w:p>
        </w:tc>
        <w:tc>
          <w:tcPr>
            <w:tcW w:w="1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4,300</w:t>
            </w:r>
          </w:p>
        </w:tc>
        <w:tc>
          <w:tcPr>
            <w:tcW w:w="1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November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Darmstadt, Germany</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Sales and customer support</w:t>
            </w:r>
          </w:p>
        </w:tc>
        <w:tc>
          <w:tcPr>
            <w:tcW w:w="1900" w:type="dxa"/>
            <w:vAlign w:val="bottom"/>
            <w:gridSpan w:val="3"/>
          </w:tcPr>
          <w:p>
            <w:pPr>
              <w:jc w:val="right"/>
              <w:ind w:right="120"/>
              <w:spacing w:after="0"/>
              <w:rPr>
                <w:sz w:val="20"/>
                <w:szCs w:val="20"/>
                <w:color w:val="auto"/>
              </w:rPr>
            </w:pPr>
            <w:r>
              <w:rPr>
                <w:rFonts w:ascii="Arial" w:cs="Arial" w:eastAsia="Arial" w:hAnsi="Arial"/>
                <w:sz w:val="18"/>
                <w:szCs w:val="18"/>
                <w:color w:val="auto"/>
              </w:rPr>
              <w:t>3,600</w:t>
            </w:r>
          </w:p>
        </w:tc>
        <w:tc>
          <w:tcPr>
            <w:tcW w:w="1980" w:type="dxa"/>
            <w:vAlign w:val="bottom"/>
            <w:gridSpan w:val="2"/>
          </w:tcPr>
          <w:p>
            <w:pPr>
              <w:ind w:left="120"/>
              <w:spacing w:after="0"/>
              <w:rPr>
                <w:sz w:val="20"/>
                <w:szCs w:val="20"/>
                <w:color w:val="auto"/>
              </w:rPr>
            </w:pPr>
            <w:r>
              <w:rPr>
                <w:rFonts w:ascii="Arial" w:cs="Arial" w:eastAsia="Arial" w:hAnsi="Arial"/>
                <w:sz w:val="18"/>
                <w:szCs w:val="18"/>
                <w:color w:val="auto"/>
              </w:rPr>
              <w:t>October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McLean, Virginia</w:t>
            </w:r>
          </w:p>
        </w:tc>
        <w:tc>
          <w:tcPr>
            <w:tcW w:w="46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Engineering/development</w:t>
            </w:r>
          </w:p>
        </w:tc>
        <w:tc>
          <w:tcPr>
            <w:tcW w:w="1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c>
          <w:tcPr>
            <w:tcW w:w="1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November 2010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80" w:firstLine="341"/>
        <w:spacing w:after="0" w:line="332" w:lineRule="auto"/>
        <w:rPr>
          <w:sz w:val="20"/>
          <w:szCs w:val="20"/>
          <w:color w:val="auto"/>
        </w:rPr>
      </w:pPr>
      <w:r>
        <w:rPr>
          <w:rFonts w:ascii="Arial" w:cs="Arial" w:eastAsia="Arial" w:hAnsi="Arial"/>
          <w:sz w:val="16"/>
          <w:szCs w:val="16"/>
          <w:color w:val="auto"/>
        </w:rPr>
        <w:t>As of December 31, 2009, we also leased short-term office space in Colorado, China, Czech Republic, France, Singapore and the United Arab Emirates. We believe our existing facilities are adequate for our current needs and that suitable additional space will be available as needed.</w:t>
      </w:r>
    </w:p>
    <w:p>
      <w:pPr>
        <w:spacing w:after="0" w:line="1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2001 IPO Litigation</w:t>
      </w:r>
    </w:p>
    <w:p>
      <w:pPr>
        <w:spacing w:after="0" w:line="231" w:lineRule="exact"/>
        <w:rPr>
          <w:sz w:val="20"/>
          <w:szCs w:val="20"/>
          <w:color w:val="auto"/>
        </w:rPr>
      </w:pPr>
    </w:p>
    <w:p>
      <w:pPr>
        <w:ind w:right="140" w:firstLine="351"/>
        <w:spacing w:after="0" w:line="287" w:lineRule="auto"/>
        <w:rPr>
          <w:sz w:val="20"/>
          <w:szCs w:val="20"/>
          <w:color w:val="auto"/>
        </w:rPr>
      </w:pPr>
      <w:r>
        <w:rPr>
          <w:rFonts w:ascii="Arial" w:cs="Arial" w:eastAsia="Arial" w:hAnsi="Arial"/>
          <w:sz w:val="16"/>
          <w:szCs w:val="16"/>
          <w:color w:val="auto"/>
        </w:rPr>
        <w:t>In November 2001, a purchaser of our common stock filed a complaint in the United States District Court for the Southern District of New York against us, two of our officers and the lead underwriters alleging violations of the federal securities laws in connection with our initial public offering ("IPO") and seeking unspecified monetary damages. The purchaser seeks to represent a class of persons who purchased our common stock between the date of the IPO on May 24, 2000 and December 6, 2000. An amended complaint was filed in April 2002. The amended complaint alleges that our registration statement contained false or misleading information or omitted to state material facts concerning the alleged receipt of undisclosed compensation by the underwriters and the existence of undisclosed arrangements between the underwriters and certain purchasers to make additional purchases in the after market. The claims against us are asserted under Section 10(b) of the Securities Exchange Act of 1934, as amended (the "Exchange Act"), and Section 11 of the Securities Act of 1933, as amended (the "Securities Act"), and against the individual defendants under Sections 11 and 15 of the Securities Act and Sections 10(b) and 20(a) of the Exchange Act. Other plaintiffs have filed substantially similar class action cases against approximately 300 other publicly-traded companies and their IPO underwriters which, along with the actions against us, have been transferred to a single federal judge for purposes of coordinated case management.</w:t>
      </w:r>
    </w:p>
    <w:p>
      <w:pPr>
        <w:spacing w:after="0" w:line="17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On July 15, 2002, we, collectively with the other issuers named as defendants in these coordinated proceedings, filed a collective motion to dismiss the consolidated amended complaints on various legal grounds common to all or most of the issuer defendants. The plaintiffs voluntarily dismissed the claims against many of the individual defendants, including our officers named in the complaint. On February 19, 2003, the court granted a portion of the motion to dismiss by dismissing the Section 10(b) claims against certain defendants including us, but denied the remainder of the motion as to the defendants.</w:t>
      </w:r>
    </w:p>
    <w:p>
      <w:pPr>
        <w:spacing w:after="0" w:line="167"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In June 2003, a special committee of our Board of Directors authorized us to enter into a proposed settlement with the plaintiffs on terms substantially consistent with the terms of a Memorandum of Understanding negotiated among representatives of the plaintiffs, the issuer defendants and the insurers for the issuer defendants. In October 2004, the court certified the class in a case against certain defendants. On February 15, 2005, the court preliminarily approved the terms of the proposed settlement contingent on modifications to the proposed settlement. On August 31, 2005,</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court approved the terms of the proposed settlement, as modified. On April 24, 2006, the court held a hearing on a motion to approve the final settlement and took the matter under advisement.</w:t>
      </w:r>
    </w:p>
    <w:p>
      <w:pPr>
        <w:spacing w:after="0" w:line="186"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On December 5, 2006, the United States Court of Appeals for the Second Circuit reversed the court's October 2004 order certifying a class. On June 25, 2007, the court entered an order terminating the settlement. On November 13, 2007, the issuer defendants in certain designated "focus cases" filed a motion to dismiss the second consolidated amended class action complaints that were filed in those cases. On March 26, 2008, the court issued an Opinion and Order denying, in large part, the motions to dismiss the amended complaints in the "focus cases." On April 2, 2009, the plaintiffs filed a motion for preliminary approval of a new proposed settlement between plaintiffs, the underwriter defendants, the issuer defendants and the insurers for the issuer defendants. On June 10, 2009, the court issued an opinion preliminarily approving the proposed settlement, and scheduling a settlement fairness hearing for September 10, 2009. On August 25, 2009, the plaintiffs filed a motion for final approval of the proposed settlement, approval of the plan of distribution of the settlement fund, and certification of the settlement classes. On August 25, 2009, the plaintiffs filed a motion for final approval of the proposed settlement, approval of the plan of distribution of the settlement fund, and certification of the settlement classes. A settlement fairness hearing was held on September 10, 2009. On October 5, 2009, the court issued an opinion granting plaintiffs' motion for final approval of the settlement, approval of the plan of distribution of the settlement fund, and certification of the settlement classes. Various notices of appeal of the court's October 5, 2009 order have been filed. An Order and Final Judgment was entered on January 14, 2010. Due to the inherent uncertainties of litigation, the Company is unable to determine the ultimate outcome or potential range of loss, if any.</w:t>
      </w:r>
    </w:p>
    <w:p>
      <w:pPr>
        <w:spacing w:after="0" w:line="17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October 5, 2007, Vanessa Simmonds, a purported shareholder, filed a complaint in the United States District Court for the Western District of Washington for recovery of short-swing profits under Section 16(b) of the Exchange Act against the underwriters in the IPO in 2000. On February 28, 2008, the plaintiff filed an amended complaint asserting substantially similar claims as set forth in the initial complaint. The amended complaint seeks recovery against the underwriters for profits they received from the sale of our common stock in connection with the IPO. The Company was named as a nominal defendant but has no liability for the asserted claims. No Sonus officers or directors were named in the amended complaint. Between October 2, 2007 and October 12, 2007, the plaintiff also filed 54 separate lawsuits naming 54 additional issuers as nominal defendants and ten underwriters as defendants. These 54 cases, along with the complaint filed by the plaintiff with respect to the Company's IPO, were reassigned to the Honorable James L. Robart (the "Judge") as related cases. On July 25, 2008, the underwriters and 29 of the issuer defendants (including Sonus) filed motions to dismiss the case. On September 8, 2008, the plaintiff filed oppositions to the motions, and the issuer and underwriter defendants filed replies in support of their motions to dismiss on October 23, 2008. Oral argument on all motions to dismiss was held on January 16, 2009, at which time the Judge took the pending motions to dismiss under advisement. The Judge stayed discovery pending his ruling on all motions to dismiss.</w:t>
      </w:r>
    </w:p>
    <w:p>
      <w:pPr>
        <w:spacing w:after="0" w:line="181"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On March 12, 2009, the court entered its judgment and granted the moving issuers' motion to dismiss, finding plaintiff's demand letters were insufficient to put the issuers on notice of the claims asserted against them. The Judge also granted the underwriters' motion to dismiss as to the claims arising from the non-moving issuers' IPOs, finding plaintiff's claims were time-barred under the applicable statute of limitations.</w:t>
      </w:r>
    </w:p>
    <w:p>
      <w:pPr>
        <w:spacing w:after="0" w:line="16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On March 31, 2009, the plaintiff-appellant appealed the judgment to the United States Court of Appeals for the Ninth Circuit, and thereafter filed an amended notice of appeal on April 10, 2009 at the court's request. The underwriter defendants filed a cross-appeal in each of the cases wherein the issuers moved for dismissal (including the appeal relating to the Sonus IPO). The plaintiff's opening brief on appeal was filed on August 26, 2009, and the issuers' (including the Company) and the underwriters' responses were filed on October 2, 2009. The plaintiff filed a reply brief on November 2, 2009, and underwriters filed a reply brief on their cross-appeal on November 17, 2009. We do not currently expect that this claim will have a material impact on our financial position or results of operations.</w:t>
      </w:r>
    </w:p>
    <w:p>
      <w:pPr>
        <w:spacing w:after="0" w:line="19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common stock is quoted on the NASDAQ Global Select Market under the symbol "SONS." All companies listed on the NASDAQ Global Select Market are required to comply with certain continued listing standards.</w:t>
      </w:r>
    </w:p>
    <w:p>
      <w:pPr>
        <w:spacing w:after="0" w:line="186"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following table sets forth, for the time periods indicated, the high and low sale prices of our common stock as reported on the NASDAQ Global Select Market.</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High</w:t>
            </w:r>
          </w:p>
        </w:tc>
        <w:tc>
          <w:tcPr>
            <w:tcW w:w="1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2009</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60" w:type="dxa"/>
            <w:vAlign w:val="bottom"/>
          </w:tcPr>
          <w:p>
            <w:pPr>
              <w:ind w:left="120"/>
              <w:spacing w:after="0"/>
              <w:rPr>
                <w:sz w:val="20"/>
                <w:szCs w:val="20"/>
                <w:color w:val="auto"/>
              </w:rPr>
            </w:pPr>
            <w:r>
              <w:rPr>
                <w:rFonts w:ascii="Arial" w:cs="Arial" w:eastAsia="Arial" w:hAnsi="Arial"/>
                <w:sz w:val="18"/>
                <w:szCs w:val="18"/>
                <w:color w:val="auto"/>
              </w:rPr>
              <w:t>First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2.01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r>
      <w:tr>
        <w:trPr>
          <w:trHeight w:val="216"/>
        </w:trPr>
        <w:tc>
          <w:tcPr>
            <w:tcW w:w="5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Second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r>
      <w:tr>
        <w:trPr>
          <w:trHeight w:val="216"/>
        </w:trPr>
        <w:tc>
          <w:tcPr>
            <w:tcW w:w="5460" w:type="dxa"/>
            <w:vAlign w:val="bottom"/>
          </w:tcPr>
          <w:p>
            <w:pPr>
              <w:ind w:left="120"/>
              <w:spacing w:after="0"/>
              <w:rPr>
                <w:sz w:val="20"/>
                <w:szCs w:val="20"/>
                <w:color w:val="auto"/>
              </w:rPr>
            </w:pPr>
            <w:r>
              <w:rPr>
                <w:rFonts w:ascii="Arial" w:cs="Arial" w:eastAsia="Arial" w:hAnsi="Arial"/>
                <w:sz w:val="18"/>
                <w:szCs w:val="18"/>
                <w:color w:val="auto"/>
              </w:rPr>
              <w:t>Third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r>
      <w:tr>
        <w:trPr>
          <w:trHeight w:val="216"/>
        </w:trPr>
        <w:tc>
          <w:tcPr>
            <w:tcW w:w="5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Fourth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w:t>
            </w:r>
          </w:p>
        </w:tc>
      </w:tr>
      <w:tr>
        <w:trPr>
          <w:trHeight w:val="431"/>
        </w:trPr>
        <w:tc>
          <w:tcPr>
            <w:tcW w:w="5460" w:type="dxa"/>
            <w:vAlign w:val="bottom"/>
          </w:tcPr>
          <w:p>
            <w:pPr>
              <w:spacing w:after="0"/>
              <w:rPr>
                <w:sz w:val="20"/>
                <w:szCs w:val="20"/>
                <w:color w:val="auto"/>
              </w:rPr>
            </w:pPr>
            <w:r>
              <w:rPr>
                <w:rFonts w:ascii="Arial" w:cs="Arial" w:eastAsia="Arial" w:hAnsi="Arial"/>
                <w:sz w:val="18"/>
                <w:szCs w:val="18"/>
                <w:b w:val="1"/>
                <w:bCs w:val="1"/>
                <w:color w:val="auto"/>
              </w:rPr>
              <w:t>Fiscal 2008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7"/>
        </w:trPr>
        <w:tc>
          <w:tcPr>
            <w:tcW w:w="5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First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w:t>
            </w:r>
          </w:p>
        </w:tc>
      </w:tr>
      <w:tr>
        <w:trPr>
          <w:trHeight w:val="216"/>
        </w:trPr>
        <w:tc>
          <w:tcPr>
            <w:tcW w:w="5460" w:type="dxa"/>
            <w:vAlign w:val="bottom"/>
          </w:tcPr>
          <w:p>
            <w:pPr>
              <w:ind w:left="120"/>
              <w:spacing w:after="0"/>
              <w:rPr>
                <w:sz w:val="20"/>
                <w:szCs w:val="20"/>
                <w:color w:val="auto"/>
              </w:rPr>
            </w:pPr>
            <w:r>
              <w:rPr>
                <w:rFonts w:ascii="Arial" w:cs="Arial" w:eastAsia="Arial" w:hAnsi="Arial"/>
                <w:sz w:val="18"/>
                <w:szCs w:val="18"/>
                <w:color w:val="auto"/>
              </w:rPr>
              <w:t>Second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4.78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3.37</w:t>
            </w:r>
          </w:p>
        </w:tc>
      </w:tr>
      <w:tr>
        <w:trPr>
          <w:trHeight w:val="216"/>
        </w:trPr>
        <w:tc>
          <w:tcPr>
            <w:tcW w:w="5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w:t>
            </w:r>
          </w:p>
        </w:tc>
      </w:tr>
      <w:tr>
        <w:trPr>
          <w:trHeight w:val="222"/>
        </w:trPr>
        <w:tc>
          <w:tcPr>
            <w:tcW w:w="5460" w:type="dxa"/>
            <w:vAlign w:val="bottom"/>
          </w:tcPr>
          <w:p>
            <w:pPr>
              <w:ind w:left="120"/>
              <w:spacing w:after="0"/>
              <w:rPr>
                <w:sz w:val="20"/>
                <w:szCs w:val="20"/>
                <w:color w:val="auto"/>
              </w:rPr>
            </w:pPr>
            <w:r>
              <w:rPr>
                <w:rFonts w:ascii="Arial" w:cs="Arial" w:eastAsia="Arial" w:hAnsi="Arial"/>
                <w:sz w:val="18"/>
                <w:szCs w:val="18"/>
                <w:color w:val="auto"/>
              </w:rPr>
              <w:t>Fourth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2.91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February 17, 2010, there were approximately 600 holders of record of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never declared or paid cash dividends and have no present intention to pay cash dividends in the foreseeable future.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31"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We have not announced any current plans or programs to repurchase shares of our common stock. However, upon vesting of restricted stock awards, our employees are permitted to return to us a portion of the newly vested shares to satisfy the tax withholding obligations that arise in connection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with such vesting. The following table summarizes repurchases of our common stock during the fourth quarter of fiscal 2009, which represent shares returned to satisfy tax withholding obligations: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w:t>
            </w:r>
          </w:p>
        </w:tc>
        <w:tc>
          <w:tcPr>
            <w:tcW w:w="160" w:type="dxa"/>
            <w:vAlign w:val="bottom"/>
          </w:tcPr>
          <w:p>
            <w:pPr>
              <w:spacing w:after="0"/>
              <w:rPr>
                <w:sz w:val="12"/>
                <w:szCs w:val="12"/>
                <w:color w:val="auto"/>
              </w:rPr>
            </w:pPr>
          </w:p>
        </w:tc>
        <w:tc>
          <w:tcPr>
            <w:tcW w:w="1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Publicly</w:t>
            </w:r>
          </w:p>
        </w:tc>
        <w:tc>
          <w:tcPr>
            <w:tcW w:w="160" w:type="dxa"/>
            <w:vAlign w:val="bottom"/>
          </w:tcPr>
          <w:p>
            <w:pPr>
              <w:spacing w:after="0"/>
              <w:rPr>
                <w:sz w:val="12"/>
                <w:szCs w:val="12"/>
                <w:color w:val="auto"/>
              </w:rPr>
            </w:pPr>
          </w:p>
        </w:tc>
        <w:tc>
          <w:tcPr>
            <w:tcW w:w="1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Value 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Price Paid</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Announced Plans</w:t>
            </w:r>
          </w:p>
        </w:tc>
        <w:tc>
          <w:tcPr>
            <w:tcW w:w="160" w:type="dxa"/>
            <w:vAlign w:val="bottom"/>
          </w:tcPr>
          <w:p>
            <w:pPr>
              <w:spacing w:after="0"/>
              <w:rPr>
                <w:sz w:val="12"/>
                <w:szCs w:val="12"/>
                <w:color w:val="auto"/>
              </w:rPr>
            </w:pPr>
          </w:p>
        </w:tc>
        <w:tc>
          <w:tcPr>
            <w:tcW w:w="1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Yet be Purchased Under</w:t>
            </w:r>
          </w:p>
        </w:tc>
        <w:tc>
          <w:tcPr>
            <w:tcW w:w="0" w:type="dxa"/>
            <w:vAlign w:val="bottom"/>
          </w:tcPr>
          <w:p>
            <w:pPr>
              <w:spacing w:after="0"/>
              <w:rPr>
                <w:sz w:val="1"/>
                <w:szCs w:val="1"/>
                <w:color w:val="auto"/>
              </w:rPr>
            </w:pPr>
          </w:p>
        </w:tc>
      </w:tr>
      <w:tr>
        <w:trPr>
          <w:trHeight w:val="161"/>
        </w:trPr>
        <w:tc>
          <w:tcPr>
            <w:tcW w:w="390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39"/>
              <w:spacing w:after="0"/>
              <w:rPr>
                <w:sz w:val="20"/>
                <w:szCs w:val="20"/>
                <w:color w:val="auto"/>
              </w:rPr>
            </w:pPr>
            <w:r>
              <w:rPr>
                <w:rFonts w:ascii="Arial" w:cs="Arial" w:eastAsia="Arial" w:hAnsi="Arial"/>
                <w:sz w:val="14"/>
                <w:szCs w:val="14"/>
                <w:b w:val="1"/>
                <w:bCs w:val="1"/>
                <w:color w:val="auto"/>
                <w:w w:val="86"/>
              </w:rPr>
              <w:t>per Share</w:t>
            </w:r>
          </w:p>
        </w:tc>
        <w:tc>
          <w:tcPr>
            <w:tcW w:w="1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8"/>
              </w:rPr>
              <w:t>or Programs</w:t>
            </w:r>
          </w:p>
        </w:tc>
        <w:tc>
          <w:tcPr>
            <w:tcW w:w="160" w:type="dxa"/>
            <w:vAlign w:val="bottom"/>
          </w:tcPr>
          <w:p>
            <w:pPr>
              <w:spacing w:after="0"/>
              <w:rPr>
                <w:sz w:val="14"/>
                <w:szCs w:val="14"/>
                <w:color w:val="auto"/>
              </w:rPr>
            </w:pPr>
          </w:p>
        </w:tc>
        <w:tc>
          <w:tcPr>
            <w:tcW w:w="1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the Plans or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2009 to October 31, 2009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November 1, 2009 to November 30, 2009</w:t>
            </w:r>
          </w:p>
        </w:tc>
        <w:tc>
          <w:tcPr>
            <w:tcW w:w="960" w:type="dxa"/>
            <w:vAlign w:val="bottom"/>
          </w:tcPr>
          <w:p>
            <w:pPr>
              <w:jc w:val="right"/>
              <w:spacing w:after="0"/>
              <w:rPr>
                <w:sz w:val="20"/>
                <w:szCs w:val="20"/>
                <w:color w:val="auto"/>
              </w:rPr>
            </w:pPr>
            <w:r>
              <w:rPr>
                <w:rFonts w:ascii="Arial" w:cs="Arial" w:eastAsia="Arial" w:hAnsi="Arial"/>
                <w:sz w:val="18"/>
                <w:szCs w:val="18"/>
                <w:color w:val="auto"/>
              </w:rPr>
              <w:t>396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18"/>
                <w:szCs w:val="18"/>
                <w:color w:val="auto"/>
              </w:rPr>
            </w:pPr>
          </w:p>
        </w:tc>
        <w:tc>
          <w:tcPr>
            <w:tcW w:w="1220" w:type="dxa"/>
            <w:vAlign w:val="bottom"/>
          </w:tcPr>
          <w:p>
            <w:pPr>
              <w:ind w:left="10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84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2009 to December 31, 2009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spacing w:after="0"/>
              <w:rPr>
                <w:sz w:val="2"/>
                <w:szCs w:val="2"/>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2"/>
                <w:szCs w:val="2"/>
                <w:color w:val="auto"/>
              </w:rPr>
            </w:pPr>
          </w:p>
        </w:tc>
        <w:tc>
          <w:tcPr>
            <w:tcW w:w="1220" w:type="dxa"/>
            <w:vAlign w:val="bottom"/>
            <w:vMerge w:val="restart"/>
          </w:tcPr>
          <w:p>
            <w:pPr>
              <w:ind w:left="10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
                <w:szCs w:val="2"/>
                <w:color w:val="auto"/>
              </w:rPr>
            </w:pPr>
          </w:p>
        </w:tc>
        <w:tc>
          <w:tcPr>
            <w:tcW w:w="1840" w:type="dxa"/>
            <w:vAlign w:val="bottom"/>
            <w:gridSpan w:val="2"/>
            <w:vMerge w:val="restart"/>
          </w:tcPr>
          <w:p>
            <w:pPr>
              <w:ind w:left="1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66,281</w:t>
            </w:r>
          </w:p>
        </w:tc>
        <w:tc>
          <w:tcPr>
            <w:tcW w:w="26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31"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following performance graph compares the cumulative total return to stockholders for our common stock for the period from December 31, 2004 through December 31, 2009 with the cumulative total return over the same period on the NASDAQ Composite Index and the NASDAQ Telecommunications Index. The comparison assumes an investment of $100 on December 31, 2004 in our common stock and in each of the indices and, in each case, assumes reinvestment of all dividends, if any. The performance shown is not necessarily indicative of future performance.</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1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Among Sonus Networks, Inc., The NASDAQ Composite Index</w:t>
      </w:r>
    </w:p>
    <w:p>
      <w:pPr>
        <w:jc w:val="center"/>
        <w:ind w:right="-139"/>
        <w:spacing w:after="0"/>
        <w:rPr>
          <w:sz w:val="20"/>
          <w:szCs w:val="20"/>
          <w:color w:val="auto"/>
        </w:rPr>
      </w:pPr>
      <w:r>
        <w:rPr>
          <w:rFonts w:ascii="Arial" w:cs="Arial" w:eastAsia="Arial" w:hAnsi="Arial"/>
          <w:sz w:val="14"/>
          <w:szCs w:val="14"/>
          <w:color w:val="auto"/>
        </w:rPr>
        <w:t>And The NASDAQ Telecommunications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128270</wp:posOffset>
            </wp:positionV>
            <wp:extent cx="5076825" cy="29159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76825"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*$100 invested on 12/31/04 in stock or index, including reinvestment of dividends.</w:t>
      </w:r>
    </w:p>
    <w:p>
      <w:pPr>
        <w:ind w:left="1080"/>
        <w:spacing w:after="0"/>
        <w:rPr>
          <w:sz w:val="20"/>
          <w:szCs w:val="20"/>
          <w:color w:val="auto"/>
        </w:rPr>
      </w:pPr>
      <w:r>
        <w:rPr>
          <w:rFonts w:ascii="Arial" w:cs="Arial" w:eastAsia="Arial" w:hAnsi="Arial"/>
          <w:sz w:val="14"/>
          <w:szCs w:val="14"/>
          <w:color w:val="auto"/>
        </w:rPr>
        <w:t>Fiscal year ending December 31.</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31"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following selected consolidated financial data should be read in conjunction with "Management's Discussion and Analysis of Financial Condition and Results of Operations" and our consolidated financial statements and notes thereto included elsewhere in this Annual Report on Form 10-K.</w:t>
      </w:r>
    </w:p>
    <w:p>
      <w:pPr>
        <w:spacing w:after="0" w:line="27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60" w:type="dxa"/>
            <w:vAlign w:val="bottom"/>
            <w:gridSpan w:val="3"/>
          </w:tcPr>
          <w:p>
            <w:pPr>
              <w:spacing w:after="0"/>
              <w:rPr>
                <w:sz w:val="20"/>
                <w:szCs w:val="20"/>
                <w:color w:val="auto"/>
              </w:rPr>
            </w:pPr>
            <w:r>
              <w:rPr>
                <w:rFonts w:ascii="Arial" w:cs="Arial" w:eastAsia="Arial" w:hAnsi="Arial"/>
                <w:sz w:val="14"/>
                <w:szCs w:val="14"/>
                <w:b w:val="1"/>
                <w:bCs w:val="1"/>
                <w:color w:val="auto"/>
              </w:rPr>
              <w:t>Consolidated Statement of Operations Data</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right"/>
              <w:ind w:right="312"/>
              <w:spacing w:after="0"/>
              <w:rPr>
                <w:sz w:val="20"/>
                <w:szCs w:val="20"/>
                <w:color w:val="auto"/>
              </w:rPr>
            </w:pPr>
            <w:r>
              <w:rPr>
                <w:rFonts w:ascii="Arial" w:cs="Arial" w:eastAsia="Arial" w:hAnsi="Arial"/>
                <w:sz w:val="14"/>
                <w:szCs w:val="14"/>
                <w:b w:val="1"/>
                <w:bCs w:val="1"/>
                <w:color w:val="auto"/>
                <w:w w:val="99"/>
              </w:rPr>
              <w:t>Year ended December 31,</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Pr>
          <w:p>
            <w:pPr>
              <w:spacing w:after="0"/>
              <w:rPr>
                <w:sz w:val="12"/>
                <w:szCs w:val="12"/>
                <w:color w:val="auto"/>
              </w:rPr>
            </w:pPr>
          </w:p>
        </w:tc>
        <w:tc>
          <w:tcPr>
            <w:tcW w:w="4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86"/>
              </w:rPr>
              <w:t>2008(1)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2007</w:t>
            </w:r>
          </w:p>
        </w:tc>
        <w:tc>
          <w:tcPr>
            <w:tcW w:w="160" w:type="dxa"/>
            <w:vAlign w:val="bottom"/>
          </w:tcPr>
          <w:p>
            <w:pPr>
              <w:spacing w:after="0"/>
              <w:rPr>
                <w:sz w:val="12"/>
                <w:szCs w:val="12"/>
                <w:color w:val="auto"/>
              </w:rPr>
            </w:pPr>
          </w:p>
        </w:tc>
        <w:tc>
          <w:tcPr>
            <w:tcW w:w="62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2006(2)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Revenue:</w:t>
            </w:r>
          </w:p>
        </w:tc>
        <w:tc>
          <w:tcPr>
            <w:tcW w:w="28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Product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136,276</w:t>
            </w:r>
          </w:p>
        </w:tc>
        <w:tc>
          <w:tcPr>
            <w:tcW w:w="1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203,387</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225,644</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86"/>
              </w:rPr>
              <w:t>203,592</w:t>
            </w: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135,198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91,220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109,758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93,771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75,891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60,164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gridSpan w:val="2"/>
            <w:vMerge w:val="restart"/>
          </w:tcPr>
          <w:p>
            <w:pPr>
              <w:ind w:left="180"/>
              <w:spacing w:after="0"/>
              <w:rPr>
                <w:sz w:val="20"/>
                <w:szCs w:val="20"/>
                <w:color w:val="auto"/>
              </w:rPr>
            </w:pPr>
            <w:r>
              <w:rPr>
                <w:rFonts w:ascii="Arial" w:cs="Arial" w:eastAsia="Arial" w:hAnsi="Arial"/>
                <w:sz w:val="14"/>
                <w:szCs w:val="14"/>
                <w:color w:val="auto"/>
              </w:rPr>
              <w:t>Total revenue</w:t>
            </w: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40" w:type="dxa"/>
            <w:vAlign w:val="bottom"/>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227,496</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313,145</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319,415</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279,483</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195,362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4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Cost of revenue:</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Product</w:t>
            </w: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38,893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74,274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90,976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70,823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53,542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44,467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56,020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37,513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29,609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24,683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gridSpan w:val="2"/>
            <w:vMerge w:val="restart"/>
          </w:tcPr>
          <w:p>
            <w:pPr>
              <w:ind w:left="180"/>
              <w:spacing w:after="0"/>
              <w:rPr>
                <w:sz w:val="20"/>
                <w:szCs w:val="20"/>
                <w:color w:val="auto"/>
              </w:rPr>
            </w:pPr>
            <w:r>
              <w:rPr>
                <w:rFonts w:ascii="Arial" w:cs="Arial" w:eastAsia="Arial" w:hAnsi="Arial"/>
                <w:sz w:val="14"/>
                <w:szCs w:val="14"/>
                <w:color w:val="auto"/>
              </w:rPr>
              <w:t>Total cost of revenue</w:t>
            </w: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40" w:type="dxa"/>
            <w:vAlign w:val="bottom"/>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83,360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130,294</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128,489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100,432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78,225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4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Gross profit</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0"/>
              </w:rPr>
              <w:t>144,136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182,851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0"/>
              </w:rPr>
              <w:t>190,926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86"/>
              </w:rPr>
              <w:t>179,051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0"/>
              </w:rPr>
              <w:t>117,137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260" w:type="dxa"/>
            <w:vAlign w:val="bottom"/>
            <w:gridSpan w:val="3"/>
            <w:vMerge w:val="restart"/>
          </w:tcPr>
          <w:p>
            <w:pPr>
              <w:spacing w:after="0"/>
              <w:rPr>
                <w:sz w:val="20"/>
                <w:szCs w:val="20"/>
                <w:color w:val="auto"/>
              </w:rPr>
            </w:pPr>
            <w:r>
              <w:rPr>
                <w:rFonts w:ascii="Arial" w:cs="Arial" w:eastAsia="Arial" w:hAnsi="Arial"/>
                <w:sz w:val="14"/>
                <w:szCs w:val="14"/>
                <w:color w:val="auto"/>
              </w:rPr>
              <w:t>Operating expenses:</w:t>
            </w: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Research and development</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59,864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73,098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78,898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55,446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47,581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Sales and marketing</w:t>
            </w: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48,929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74,364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81,602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65,748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45,913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General and administrative</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43,217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62,045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56,652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35,366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27,699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Litigation settlement, net of insurance recovery</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19,100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24,672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Impairment of intangible assets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40" w:type="dxa"/>
            <w:vAlign w:val="bottom"/>
            <w:gridSpan w:val="2"/>
          </w:tcPr>
          <w:p>
            <w:pPr>
              <w:ind w:left="80"/>
              <w:spacing w:after="0"/>
              <w:rPr>
                <w:sz w:val="20"/>
                <w:szCs w:val="20"/>
                <w:color w:val="auto"/>
              </w:rPr>
            </w:pPr>
            <w:r>
              <w:rPr>
                <w:rFonts w:ascii="Arial" w:cs="Arial" w:eastAsia="Arial" w:hAnsi="Arial"/>
                <w:sz w:val="14"/>
                <w:szCs w:val="14"/>
                <w:color w:val="auto"/>
              </w:rPr>
              <w:t>Restructuring expense</w:t>
            </w: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3,510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702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40" w:type="dxa"/>
            <w:vAlign w:val="bottom"/>
            <w:gridSpan w:val="2"/>
            <w:shd w:val="clear" w:color="auto" w:fill="CCEEFF"/>
          </w:tcPr>
          <w:p>
            <w:pPr>
              <w:ind w:left="180"/>
              <w:spacing w:after="0" w:line="144" w:lineRule="exact"/>
              <w:rPr>
                <w:sz w:val="20"/>
                <w:szCs w:val="20"/>
                <w:color w:val="auto"/>
              </w:rPr>
            </w:pPr>
            <w:r>
              <w:rPr>
                <w:rFonts w:ascii="Arial" w:cs="Arial" w:eastAsia="Arial" w:hAnsi="Arial"/>
                <w:sz w:val="14"/>
                <w:szCs w:val="14"/>
                <w:color w:val="auto"/>
              </w:rPr>
              <w:t>Total operating expenses</w:t>
            </w: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90"/>
              </w:rPr>
              <w:t>155,520</w:t>
            </w:r>
          </w:p>
        </w:tc>
        <w:tc>
          <w:tcPr>
            <w:tcW w:w="1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232,036</w:t>
            </w: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90"/>
              </w:rPr>
              <w:t>241,824</w:t>
            </w: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86"/>
              </w:rPr>
              <w:t>156,560</w:t>
            </w: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90"/>
              </w:rPr>
              <w:t>121,193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260" w:type="dxa"/>
            <w:vAlign w:val="bottom"/>
            <w:gridSpan w:val="3"/>
            <w:vMerge w:val="restart"/>
          </w:tcPr>
          <w:p>
            <w:pPr>
              <w:spacing w:after="0"/>
              <w:rPr>
                <w:sz w:val="20"/>
                <w:szCs w:val="20"/>
                <w:color w:val="auto"/>
              </w:rPr>
            </w:pPr>
            <w:r>
              <w:rPr>
                <w:rFonts w:ascii="Arial" w:cs="Arial" w:eastAsia="Arial" w:hAnsi="Arial"/>
                <w:sz w:val="14"/>
                <w:szCs w:val="14"/>
                <w:color w:val="auto"/>
              </w:rPr>
              <w:t>Income (loss) from operations</w:t>
            </w: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26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(11,384)</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(49,185)</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(50,898)</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22,491</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(4,056)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and other income (expense), net</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12,710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19,297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15,405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9,380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260" w:type="dxa"/>
            <w:vAlign w:val="bottom"/>
            <w:gridSpan w:val="3"/>
            <w:vMerge w:val="restart"/>
          </w:tcPr>
          <w:p>
            <w:pPr>
              <w:spacing w:after="0"/>
              <w:rPr>
                <w:sz w:val="20"/>
                <w:szCs w:val="20"/>
                <w:color w:val="auto"/>
              </w:rPr>
            </w:pPr>
            <w:r>
              <w:rPr>
                <w:rFonts w:ascii="Arial" w:cs="Arial" w:eastAsia="Arial" w:hAnsi="Arial"/>
                <w:sz w:val="14"/>
                <w:szCs w:val="14"/>
                <w:color w:val="auto"/>
              </w:rPr>
              <w:t>Income (loss) from continuing operations before income taxes</w:t>
            </w: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26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(7,391)</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(36,475)</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(31,601)</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37,896</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5,324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tax benefit (provision)</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(79,675)</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8,474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64,958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27"/>
        </w:trPr>
        <w:tc>
          <w:tcPr>
            <w:tcW w:w="5260" w:type="dxa"/>
            <w:vAlign w:val="bottom"/>
            <w:gridSpan w:val="3"/>
            <w:vMerge w:val="restart"/>
          </w:tcPr>
          <w:p>
            <w:pPr>
              <w:spacing w:after="0"/>
              <w:rPr>
                <w:sz w:val="20"/>
                <w:szCs w:val="20"/>
                <w:color w:val="auto"/>
              </w:rPr>
            </w:pPr>
            <w:r>
              <w:rPr>
                <w:rFonts w:ascii="Arial" w:cs="Arial" w:eastAsia="Arial" w:hAnsi="Arial"/>
                <w:sz w:val="14"/>
                <w:szCs w:val="14"/>
                <w:color w:val="auto"/>
              </w:rPr>
              <w:t>Income (loss) from continuing operations</w:t>
            </w: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26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(4,932)</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(116,150)</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(23,127)</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6"/>
              </w:rPr>
              <w:t>102,854</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4,785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Loss from discontinued operations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(4,491)</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(1,086)</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Loss on sale of discontinued operations</w:t>
            </w: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(741)</w:t>
            </w:r>
          </w:p>
        </w:tc>
        <w:tc>
          <w:tcPr>
            <w:tcW w:w="1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524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(4,932)</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w w:val="96"/>
              </w:rPr>
              <w:t>(121,382)</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w w:val="95"/>
              </w:rPr>
              <w:t>(24,213)</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86"/>
              </w:rPr>
              <w:t>102,854</w:t>
            </w:r>
          </w:p>
        </w:tc>
        <w:tc>
          <w:tcPr>
            <w:tcW w:w="28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4,785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260" w:type="dxa"/>
            <w:vAlign w:val="bottom"/>
            <w:gridSpan w:val="3"/>
            <w:vMerge w:val="restart"/>
          </w:tcPr>
          <w:p>
            <w:pPr>
              <w:spacing w:after="0"/>
              <w:rPr>
                <w:sz w:val="20"/>
                <w:szCs w:val="20"/>
                <w:color w:val="auto"/>
              </w:rPr>
            </w:pPr>
            <w:r>
              <w:rPr>
                <w:rFonts w:ascii="Arial" w:cs="Arial" w:eastAsia="Arial" w:hAnsi="Arial"/>
                <w:sz w:val="14"/>
                <w:szCs w:val="14"/>
                <w:color w:val="auto"/>
              </w:rPr>
              <w:t>Earnings (loss) per share:</w:t>
            </w: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gridSpan w:val="3"/>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Basic:</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Continuing operations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(0.02)</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(0.43)</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(0.09)</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0.41</w:t>
            </w: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0.02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Discontinued operations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(0.02)</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(0.45)</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(0.09)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0.41</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0.02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524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4"/>
                <w:szCs w:val="14"/>
                <w:color w:val="auto"/>
              </w:rPr>
              <w:t>Diluted:</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Continuing operations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(0.02)</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(0.43)</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(0.09)</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0.40</w:t>
            </w: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0.02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Discontinued operations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(0.02)</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(0.45)</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(0.09)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0.40</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0.02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524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Shares used to compute earnings (loss) per share:</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Basic</w:t>
            </w: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273,730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271,477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262,924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86"/>
              </w:rPr>
              <w:t>253,771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248,584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Diluted</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273,730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271,477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262,924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258,338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252,803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020" w:type="dxa"/>
            <w:vAlign w:val="bottom"/>
            <w:gridSpan w:val="4"/>
          </w:tcPr>
          <w:p>
            <w:pPr>
              <w:spacing w:after="0"/>
              <w:rPr>
                <w:sz w:val="20"/>
                <w:szCs w:val="20"/>
                <w:color w:val="auto"/>
              </w:rPr>
            </w:pPr>
            <w:r>
              <w:rPr>
                <w:rFonts w:ascii="Arial" w:cs="Arial" w:eastAsia="Arial" w:hAnsi="Arial"/>
                <w:sz w:val="14"/>
                <w:szCs w:val="14"/>
                <w:b w:val="1"/>
                <w:bCs w:val="1"/>
                <w:color w:val="auto"/>
              </w:rPr>
              <w:t>Consolidated Balance Sheet Data</w:t>
            </w: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December 31,</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0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5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w w:val="89"/>
              </w:rPr>
              <w:t>2009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2007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2006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w w:val="89"/>
              </w:rPr>
              <w:t>2005</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8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Cash and cash equivalents</w:t>
            </w:r>
          </w:p>
        </w:tc>
        <w:tc>
          <w:tcPr>
            <w:tcW w:w="3160" w:type="dxa"/>
            <w:vAlign w:val="bottom"/>
            <w:gridSpan w:val="2"/>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125,323</w:t>
            </w:r>
          </w:p>
        </w:tc>
        <w:tc>
          <w:tcPr>
            <w:tcW w:w="1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122,207</w:t>
            </w: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118,933</w:t>
            </w: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44,206</w:t>
            </w:r>
          </w:p>
        </w:tc>
        <w:tc>
          <w:tcPr>
            <w:tcW w:w="16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155,679</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00" w:type="dxa"/>
            <w:vAlign w:val="bottom"/>
            <w:gridSpan w:val="3"/>
          </w:tcPr>
          <w:p>
            <w:pPr>
              <w:spacing w:after="0" w:line="149" w:lineRule="exact"/>
              <w:rPr>
                <w:sz w:val="20"/>
                <w:szCs w:val="20"/>
                <w:color w:val="auto"/>
              </w:rPr>
            </w:pPr>
            <w:r>
              <w:rPr>
                <w:rFonts w:ascii="Arial" w:cs="Arial" w:eastAsia="Arial" w:hAnsi="Arial"/>
                <w:sz w:val="14"/>
                <w:szCs w:val="14"/>
                <w:color w:val="auto"/>
              </w:rPr>
              <w:t>Short-term marketable securities</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239,223</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4"/>
              </w:rPr>
              <w:t>180,786</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4"/>
              </w:rPr>
              <w:t>207,088</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256,485</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140,569</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Long-term investments</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49,598</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84,965</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66,568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60,189</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17,993</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00" w:type="dxa"/>
            <w:vAlign w:val="bottom"/>
            <w:gridSpan w:val="3"/>
          </w:tcPr>
          <w:p>
            <w:pPr>
              <w:spacing w:after="0" w:line="149" w:lineRule="exact"/>
              <w:rPr>
                <w:sz w:val="20"/>
                <w:szCs w:val="20"/>
                <w:color w:val="auto"/>
              </w:rPr>
            </w:pPr>
            <w:r>
              <w:rPr>
                <w:rFonts w:ascii="Arial" w:cs="Arial" w:eastAsia="Arial" w:hAnsi="Arial"/>
                <w:sz w:val="14"/>
                <w:szCs w:val="14"/>
                <w:color w:val="auto"/>
              </w:rPr>
              <w:t>Working capital</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352,409</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4"/>
              </w:rPr>
              <w:t>327,088</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4"/>
              </w:rPr>
              <w:t>365,204</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312,197</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278,047</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540,737</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535,585</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694,168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589,604</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457,206</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00" w:type="dxa"/>
            <w:vAlign w:val="bottom"/>
            <w:gridSpan w:val="3"/>
          </w:tcPr>
          <w:p>
            <w:pPr>
              <w:spacing w:after="0" w:line="149" w:lineRule="exact"/>
              <w:rPr>
                <w:sz w:val="20"/>
                <w:szCs w:val="20"/>
                <w:color w:val="auto"/>
              </w:rPr>
            </w:pPr>
            <w:r>
              <w:rPr>
                <w:rFonts w:ascii="Arial" w:cs="Arial" w:eastAsia="Arial" w:hAnsi="Arial"/>
                <w:sz w:val="14"/>
                <w:szCs w:val="14"/>
                <w:color w:val="auto"/>
              </w:rPr>
              <w:t>Long-term deferred revenue, net of current portion</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25,242</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37,991</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16,462</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33,787</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33,853</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Long-term liabilities, net of current portion</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1,127</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1,865</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1,467</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1,449</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00" w:type="dxa"/>
            <w:vAlign w:val="bottom"/>
            <w:gridSpan w:val="3"/>
          </w:tcPr>
          <w:p>
            <w:pPr>
              <w:spacing w:after="0" w:line="149" w:lineRule="exact"/>
              <w:rPr>
                <w:sz w:val="20"/>
                <w:szCs w:val="20"/>
                <w:color w:val="auto"/>
              </w:rPr>
            </w:pPr>
            <w:r>
              <w:rPr>
                <w:rFonts w:ascii="Arial" w:cs="Arial" w:eastAsia="Arial" w:hAnsi="Arial"/>
                <w:sz w:val="14"/>
                <w:szCs w:val="14"/>
                <w:color w:val="auto"/>
              </w:rPr>
              <w:t>Convertible subordinated note</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Total stockholders' equity</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414,238</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406,435</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493,704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432,533</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278,812</w:t>
            </w:r>
          </w:p>
        </w:tc>
        <w:tc>
          <w:tcPr>
            <w:tcW w:w="160" w:type="dxa"/>
            <w:vAlign w:val="bottom"/>
            <w:shd w:val="clear" w:color="auto" w:fill="CCEEFF"/>
          </w:tcPr>
          <w:p>
            <w:pPr>
              <w:spacing w:after="0"/>
              <w:rPr>
                <w:sz w:val="12"/>
                <w:szCs w:val="12"/>
                <w:color w:val="auto"/>
              </w:rPr>
            </w:pPr>
          </w:p>
        </w:tc>
      </w:tr>
      <w:tr>
        <w:trPr>
          <w:trHeight w:val="108"/>
        </w:trPr>
        <w:tc>
          <w:tcPr>
            <w:tcW w:w="20" w:type="dxa"/>
            <w:vAlign w:val="bottom"/>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680" w:hanging="531"/>
        <w:spacing w:after="0" w:line="239" w:lineRule="auto"/>
        <w:tabs>
          <w:tab w:leader="none" w:pos="16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the results of operations of Atreus Systems, Inc. for the period subsequent to its acquisition by the Company on April 18, 2008 and $88.4 million of income tax expense related to the recording of a valuation allowance on certain deferred tax assets.</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an income tax benefit of $82.6 million related to the reversal of a valuation allowance on certain deferred tax assets.</w:t>
      </w: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i w:val="1"/>
          <w:iCs w:val="1"/>
          <w:color w:val="auto"/>
        </w:rPr>
        <w:t>The following discussion should be read in conjunction with our consolidated financial statements and notes to those statements and other financial information appearing elsewhere in this Annual Report on Form 10-K. The following discussion contains forward looking information that involves risks and uncertainties. Our actual results could differ materially from those anticipated in the forward looking statements as a result of a number of factors, including the risks discussed in Item 1A. "Risk Factors" and elsewhere in this Annual Report on Form 10-K. These forward-looking statements are based on our current expectations, assumptions, estimates and projections about our industry and ourselves, and we do not undertake an obligation to update our forward-looking statements to reflect future events or circumstances.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are a leading provider of voice infrastructure solutions for wireline and wireless service providers. Our products are a new generation of carrier-class infrastructure equipment and software that enables voice services to be delivered over Internet Protocol ("IP") packet-based networks. Our target customers include both traditional and emerging communications service providers, including long distance carriers, local exchange carriers, Internet service providers, wireless operators, cable operators, international telephone companies and carriers that provide services to other carriers. IP packet-based networks, which transport traffic in small bundles, or "packets," offer a significantly more flexible, cost-effective and efficient means for providing communications services than existing circuit-based networks, designed years ago to primarily deliver telephone calls.</w:t>
      </w:r>
    </w:p>
    <w:p>
      <w:pPr>
        <w:spacing w:after="0" w:line="174"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Our voice infrastructure solutions allow wireline and wireless operators to build converged voice over IP ("VoIP") networks. Our products are built on the same distributed, IP-based principles embraced by the IP Multimedia Subsystem ("IMS") architecture, as defined by the Third Generation Partnership Project ("3GPP"). This IMS architecture is being accepted by network operators globally as the common approach for building converged voice, data, wireline and wireless networks. Since the IMS architecture is based primarily on IP packets and the Session Initiation Protocol ("SIP"), which has been the foundation of our products since our formation, we are uniquely positioned to offer an intuitive evolution from a distributed softswitch architecture to IMS with little or no impact on existing Sonus equipment or services. Additionally, the Sonus all-IP architecture is positioned to take advantage of wireless long-term evolution ("LTE") implementations as they emerge. Our investment in product development is focused on delivering high-growth solutions that leverage these IMS and LTE architectures.</w:t>
      </w:r>
    </w:p>
    <w:p>
      <w:pPr>
        <w:spacing w:after="0" w:line="19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sell our products primarily through a direct sales force and, in some markets, through or with the assistance of resellers and distributors. Customers' decisions to purchase our products to deploy in commercial networks involve a significant commitment of resources and a lengthy evaluation, testing and product qualification process. Our revenue and results of operations may vary significantly and unexpectedly from quarter to quarter as a result of long sales cycles, our expectation that customers will tend to sporadically place large orders with short lead times and the application of complex revenue recognition rules to certain transactions, which may result in customer shipments and orders from multiple quarters being recognized as revenue in one quarter. We expect to recognize revenue from a limited number of customers for the foreseeable future.</w:t>
      </w:r>
    </w:p>
    <w:p>
      <w:pPr>
        <w:spacing w:after="0" w:line="174"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incurred net losses of $4.9 million in fiscal 2009, $121.4 million in fiscal 2008 and $24.2 million in fiscal 2007. We reported losses from operations of $11.4 million for fiscal 2009, $49.2 million for fiscal 2008 and $50.9 million in fiscal 2007. Our losses from continuing operations for fiscal 2008 and 2007 were $116.2 million and $23.1 million, respectively. Our loss from continuing operations in fiscal 2008 includes $88.4 million of income tax expense related to a valuation allowance recorded on all of our net deferred tax assets in the United States.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Our lower revenue in fiscal 2009 was a significant factor in our reported net loss. This lower revenue resulted in lower gross profit of $144.1 million, compared to $182.9 million in fiscal 2008 and $190.9 million in fiscal 2007.</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Operating expenses were $155.5 million in fiscal 2009, compared to $232.0 million in fiscal 2008 and $241.8 million in fiscal 2007. Operating expenses included $19.1 million and $24.7 million of expense for litigation settlements, net of insurance recovery, in fiscal 2008 and fiscal 2007, respectively. In fiscal 2008 we recorded $19.1 million of litigation settlement expense in the aggregate for litigation against certain of our customers alleging patent infringement of U.S. Patent No. 6,243,373 entitled "Method and Apparatus for Implementing a Computer Network Internet Telephone System" (the "C2 Patent Litigation") and a Consolidated Amended Complaint alleging that we made false and misleading statements about our products and business (the "2002 Securities Litigation"). In fiscal 2007 we recorded $24.7 million of litigation settlement expense, net of insurance recovery, related to an agreement to settle litigation against the Company and certain of our former and then-current officers alleging violations of federal securities laws in connection with the restatement in 2004 of our financial statements (the "2004 Restatement Litigation").</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addition to the absence of litigation settlement expense in fiscal 2009, the reduction in operating expenses in fiscal 2009 compared to fiscal 2008 and fiscal 2007 is also attributable to lower personnel-related costs as a result of lower stock-based compensation and our recent restructuring initiatives. We recorded $3.5 million in fiscal 2009 for three separate restructuring initiatives, which occurred in January, March and August 2009, and which reduced our headcount by approximately 190 employees in the aggregate. We recorded $0.7 million in the fourth quarter of fiscal 2008 for a restructuring initiative that reduced our headcount by approximately 50 employees. However, while we have eliminated jobs in some areas of the business, we have continued to hire in some geographies to support future business plans, including increased hiring activity in our research and development facility in India. We recorded stock-based compensation expense of $12.8 million in fiscal 2009, $25.1 million in fiscal 2008 and $42.5 million in fiscal 2007.</w:t>
      </w:r>
    </w:p>
    <w:p>
      <w:pPr>
        <w:spacing w:after="0" w:line="172"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Lower portfolio yield on our cash, cash equivalents and investments was also a factor in our current year net loss. Interest income was $4.1 million in fiscal 2009, compared to $12.6 million in fiscal 2008 and $18.4 million in fiscal 2007.</w:t>
      </w:r>
    </w:p>
    <w:p>
      <w:pPr>
        <w:spacing w:after="0" w:line="186"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We continue to focus on the key elements of our strategy, which is designed to capitalize on our technology and leadership position in the market and to build a premier franchise in packet-based voice infrastructure solutions. We are currently focusing major efforts on the following aspects of our business:</w:t>
      </w:r>
    </w:p>
    <w:p>
      <w:pPr>
        <w:spacing w:after="0" w:line="153"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leveraging our technology leadership to attract and retain key service providers;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embracing the principles outlined by 3GPP and delivering the industry's most advanced IMS-ready product suite;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expanding and broadening our customer base by targeting specific market segments, such as wireless operators;</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assisting our customers' ability to differentiate themselves by offering a sophisticated application development platform and service creation environment;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expanding our solutions to address emerging IP-based markets, such as network border switching;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expanding our global sales, marketing, support and distribution capabilities;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actively contributing to the standards definition and adoption process;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pursuing strategic acquisitions and alliances.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Management's discussion and analysis of the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The significant accounting policies that we believe are the most critical include the following:</w:t>
      </w:r>
    </w:p>
    <w:p>
      <w:pPr>
        <w:spacing w:after="0" w:line="186"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Inventory reserves;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contingencies and reserves;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Goodwill and intangible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25" w:lineRule="exact"/>
        <w:rPr>
          <w:sz w:val="20"/>
          <w:szCs w:val="20"/>
          <w:color w:val="auto"/>
        </w:rPr>
      </w:pPr>
    </w:p>
    <w:p>
      <w:pPr>
        <w:ind w:right="100" w:firstLine="351"/>
        <w:spacing w:after="0" w:line="323" w:lineRule="auto"/>
        <w:rPr>
          <w:sz w:val="20"/>
          <w:szCs w:val="20"/>
          <w:color w:val="auto"/>
        </w:rPr>
      </w:pPr>
      <w:r>
        <w:rPr>
          <w:rFonts w:ascii="Arial" w:cs="Arial" w:eastAsia="Arial" w:hAnsi="Arial"/>
          <w:sz w:val="15"/>
          <w:szCs w:val="15"/>
          <w:b w:val="1"/>
          <w:bCs w:val="1"/>
          <w:i w:val="1"/>
          <w:iCs w:val="1"/>
          <w:color w:val="auto"/>
        </w:rPr>
        <w:t xml:space="preserve">Revenue Recognition. </w:t>
      </w:r>
      <w:r>
        <w:rPr>
          <w:rFonts w:ascii="Arial" w:cs="Arial" w:eastAsia="Arial" w:hAnsi="Arial"/>
          <w:sz w:val="15"/>
          <w:szCs w:val="15"/>
          <w:color w:val="auto"/>
        </w:rPr>
        <w:t>We recognize revenue from product sales when persuasive evidence of an arrangement exists, delivery has occurred, the sale price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is fixed or determinable, and collectibility of the related receivable is probable under customary payment terms. When we have future obligations, including a requirement to deliver additional elements which are essential to the functionality of the delivered elements or for which vendor specific objective evidence of fair value ("VSOE") does not exist or when customer acceptance is required, we defer revenue recognition and related costs until those obligations are satisfied.</w:t>
      </w:r>
    </w:p>
    <w:p>
      <w:pPr>
        <w:spacing w:after="0" w:line="152" w:lineRule="exact"/>
        <w:rPr>
          <w:sz w:val="20"/>
          <w:szCs w:val="20"/>
          <w:color w:val="auto"/>
        </w:rPr>
      </w:pPr>
    </w:p>
    <w:p>
      <w:pPr>
        <w:ind w:right="40" w:firstLine="351"/>
        <w:spacing w:after="0" w:line="309" w:lineRule="auto"/>
        <w:rPr>
          <w:sz w:val="20"/>
          <w:szCs w:val="20"/>
          <w:color w:val="auto"/>
        </w:rPr>
      </w:pPr>
      <w:r>
        <w:rPr>
          <w:rFonts w:ascii="Arial" w:cs="Arial" w:eastAsia="Arial" w:hAnsi="Arial"/>
          <w:sz w:val="15"/>
          <w:szCs w:val="15"/>
          <w:color w:val="auto"/>
        </w:rPr>
        <w:t>Many of our sales involve multiple-element arrangements. When a sale includes multiple elements, such as products, maintenance and/or professional services, we recognize revenue using the residual method, as we have not established VSOE for our products or specified features/upgrades. Revenue associated with elements for which VSOE has been established is recorded based on the VSOE value; revenue associated with any undelivered elements that are considered not essential to the functionality of the product and for which VSOE has been established is deferred based on the VSOE value, and any remaining arrangement fee is then allocated to, and recognized as, product revenue. We have established VSOE for maintenance arrangements (post-contract support) and some professional services. VSOE for maintenance and professional services is either determined by the price charged when the same element is sold separately or established by management having the relevant pricing authority. The Company's Pricing Committee has the relevant authority for establishing pricing for products and services. If we cannot establish VSOE for any undelivered element, including specified features and upgrades, we defer revenue on the entire arrangement until VSOE for all undelivered elements is known or all elements are delivered and all other revenue recognition criteria are met.</w:t>
      </w:r>
    </w:p>
    <w:p>
      <w:pPr>
        <w:spacing w:after="0" w:line="162"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Revenue from maintenance and support services is recognized ratably over the service period. Earned maintenance revenue is deferred until the associated product is accepted by the customer and all other revenue recognition criteria have been met. Maintenance and support services include telephone support, return and repair support and unspecified rights to product upgrades and enhancements.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Revenue from installation services is generally recognized when the services are complete and all other revenue recognition criteria have been met. Revenue from other professional services for which VSOE has been established is typically recognized as the services are delivered if all other revenue criteria have been met.</w:t>
      </w:r>
    </w:p>
    <w:p>
      <w:pPr>
        <w:spacing w:after="0" w:line="194"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Revenue from consulting, custom development and other professional services-only engagements is recognized as services are rendered, provided all other revenue recognition criteria have been met.</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record deferred revenue for products delivered or services performed for which collection of the amount billed is either probable or has been collected but for which other revenue recognition criteria have not been met. Deferred revenue includes customer deposits and amounts associated with maintenance contracts. Deferred revenue expected to be recognized as revenue more than one year subsequent to the balance sheet date is reported with long-term liabilities in the consolidated balance sheets.</w:t>
      </w:r>
    </w:p>
    <w:p>
      <w:pPr>
        <w:spacing w:after="0" w:line="197"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We defer recognition of incremental direct costs, such as cost of goods, third party installations and commissions until recognition of the related revenue. Such costs are classified as current assets if the deferred revenue is initially classified as current and noncurrent assets if the related deferred revenue is initially classified as long-term.</w:t>
      </w:r>
    </w:p>
    <w:p>
      <w:pPr>
        <w:spacing w:after="0" w:line="194"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sell the majority of our products directly to our service provider customers. For products sold to resellers and distributors with whom we have at least eight quarters of consistent history regarding the potential for product returns or refunds, or any form of concession, we recognize revenue on a sell-in basis. For all other resellers and distributors we recognize revenue on a sell-through basis.</w:t>
      </w:r>
    </w:p>
    <w:p>
      <w:pPr>
        <w:spacing w:after="0" w:line="19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Beginning in the fourth quarter of fiscal 2008, we concluded that we no longer had sufficient evidence of VSOE on maintenance services for one of our largest customers. Therefore, all revenue related to multiple element arrangements for this customer entered into beginning in the fourth quarter of fiscal 2008 is being recognized ratably over the maintenance period. Revenue recognition on multiple element arrangements with this customer will begin when the only undelivered element of the arrangement is maintenance.</w:t>
      </w:r>
    </w:p>
    <w:p>
      <w:pPr>
        <w:spacing w:after="0" w:line="197"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exclude any taxes assessed by a governmental authority that are directly imposed on a revenue-producing transaction (i.e., sales, use, value added) from our revenue and costs. Reimbursement for out-of-pocket expenses is recorded as revenue.</w:t>
      </w:r>
    </w:p>
    <w:p>
      <w:pPr>
        <w:spacing w:after="0" w:line="186"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We record deferred revenue for product delivered or services performed for which collection of the amount billed is either probable or has been collected but other revenue recognition criteria have not been satisfied. Deferred revenue includes customer deposits and amounts associated with maintenance contracts. Deferred revenue expected to be recognized as revenue more than one year subsequent to the balance sheet date is classified as long-term deferred revenue.</w:t>
      </w:r>
    </w:p>
    <w:p>
      <w:pPr>
        <w:spacing w:after="0" w:line="142"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We defer recognition of incremental direct costs, such as cost of goods, commissions and third-party installation costs, until satisfaction of the criteria for recognition of the related revenue. Deferred incremental direct costs that relate to deferred revenue that is classified as current are classified as current assets. When a portion of the deferred revenue related to a customer arrangement is classified as long-term, the incremental costs relating to the arrangement are classified as noncurrent assets.</w:t>
      </w:r>
    </w:p>
    <w:p>
      <w:pPr>
        <w:spacing w:after="0" w:line="197" w:lineRule="exact"/>
        <w:rPr>
          <w:sz w:val="20"/>
          <w:szCs w:val="20"/>
          <w:color w:val="auto"/>
        </w:rPr>
      </w:pPr>
    </w:p>
    <w:p>
      <w:pPr>
        <w:ind w:right="20" w:firstLine="345"/>
        <w:spacing w:after="0" w:line="259" w:lineRule="auto"/>
        <w:rPr>
          <w:sz w:val="20"/>
          <w:szCs w:val="20"/>
          <w:color w:val="auto"/>
        </w:rPr>
      </w:pPr>
      <w:r>
        <w:rPr>
          <w:rFonts w:ascii="Arial" w:cs="Arial" w:eastAsia="Arial" w:hAnsi="Arial"/>
          <w:sz w:val="18"/>
          <w:szCs w:val="18"/>
          <w:b w:val="1"/>
          <w:bCs w:val="1"/>
          <w:i w:val="1"/>
          <w:iCs w:val="1"/>
          <w:color w:val="auto"/>
        </w:rPr>
        <w:t xml:space="preserve">Allowance for Doubtful Accounts. </w:t>
      </w:r>
      <w:r>
        <w:rPr>
          <w:rFonts w:ascii="Arial" w:cs="Arial" w:eastAsia="Arial" w:hAnsi="Arial"/>
          <w:sz w:val="18"/>
          <w:szCs w:val="18"/>
          <w:color w:val="auto"/>
        </w:rPr>
        <w:t>We establish billing terms at the time we negotiate purchase agreements with our customers. We monitor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receivables for timely payments and potential collection issues. The allowance for doubtful accounts is estimated based on our detailed assessment of the collectibility of specific customer accounts.</w:t>
      </w:r>
    </w:p>
    <w:p>
      <w:pPr>
        <w:spacing w:after="0" w:line="194"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b w:val="1"/>
          <w:bCs w:val="1"/>
          <w:i w:val="1"/>
          <w:iCs w:val="1"/>
          <w:color w:val="auto"/>
        </w:rPr>
        <w:t xml:space="preserve">Inventory Reserves. </w:t>
      </w:r>
      <w:r>
        <w:rPr>
          <w:rFonts w:ascii="Arial" w:cs="Arial" w:eastAsia="Arial" w:hAnsi="Arial"/>
          <w:sz w:val="16"/>
          <w:szCs w:val="16"/>
          <w:color w:val="auto"/>
        </w:rPr>
        <w:t>Inventory purchases and commitments are based upon estimated future demand for our products. We value inventory at the lower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on a first-in, first-out basis or net realizable value. We provide inventory reserves based on excess and obsolete inventory determined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primarily by future demand forecasts and estimated returns of defective product, and record charges to cost of revenue. We assess such demand forecasts and return history on at least a quarterly basis. If we record a charge to reduce inventory to its estimated net realizable value, we do not increase its carrying value due to subsequent changes in demand forecasts or product repairs. Accordingly, if inventory previously reserved for is subsequently sold, we may realize improved gross profit margins on those transactions in the period the related revenue is recognized.</w:t>
      </w:r>
    </w:p>
    <w:p>
      <w:pPr>
        <w:spacing w:after="0" w:line="167"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record a full inventory reserve for evaluation equipment at the time of shipment to our customers, as it is not probable that the inventory value will be realizable.</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i w:val="1"/>
          <w:iCs w:val="1"/>
          <w:color w:val="auto"/>
        </w:rPr>
        <w:t xml:space="preserve">Loss Contingencies and Reserves. </w:t>
      </w:r>
      <w:r>
        <w:rPr>
          <w:rFonts w:ascii="Arial" w:cs="Arial" w:eastAsia="Arial" w:hAnsi="Arial"/>
          <w:sz w:val="16"/>
          <w:szCs w:val="16"/>
          <w:color w:val="auto"/>
        </w:rPr>
        <w:t>We are subject to ongoing business risks arising in the ordinary course of business that affect the estimation process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carrying value of assets, the recording of liabilities and the possibility of various loss contingencies. An estimated loss contingency is accrued when it is probable that a liability has been incurred or an asset has been impaired and the amount of loss can be reasonably estimated. We regularly evaluate current information available to determine whether such amounts should be adjusted and record changes in estimates in the period they become known. We are subject to various legal claims, including securities litigation. We reserve for legal contingencies and legal fees when the amounts are probable and reasonably estimable. Our director and officer liability insurance policies provide only limited liability protection relating to the securities class action and derivative lawsuits against us and certain of our officers and directors.</w:t>
      </w:r>
    </w:p>
    <w:p>
      <w:pPr>
        <w:spacing w:after="0" w:line="172"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Our stock-based compensation cost is measured at the grant date based on the fair value of the award and is recognized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over the requisite service period, which is generally the vesting period.</w:t>
      </w:r>
    </w:p>
    <w:p>
      <w:pPr>
        <w:spacing w:after="0" w:line="186"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use the Black-Scholes valuation model for estimating the fair value on the date of grant of employee stock options. Determining the fair value of stock option awards at the grant date requires judgment regarding certain valuation assumptions, including the volatility of our stock price, expected term of the option, risk-free interest rate and expected dividends. Changes in such assumptions and estimates could result in different fair values and could therefore impact our earnings. Such changes would not impact our cash flows. The fair value of restricted stock and performance stock awards is based upon our stock price on the grant date.</w:t>
      </w:r>
    </w:p>
    <w:p>
      <w:pPr>
        <w:spacing w:after="0" w:line="197"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amount of stock-based compensation expense recorded in any period for unvested awards requires estimates of the amount of stock-based awards that are expected to be forfeited prior to vesting, as well as assumptions regarding the probability that performance awards will be earned. Assuming it was probable that the performance conditions for all outstanding performance-based stock awards would be satisfied, we would have recognized approximately $500,000 of additional stock-based compensation expense in fiscal 2009.</w:t>
      </w:r>
    </w:p>
    <w:p>
      <w:pPr>
        <w:spacing w:after="0" w:line="197"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b w:val="1"/>
          <w:bCs w:val="1"/>
          <w:i w:val="1"/>
          <w:iCs w:val="1"/>
          <w:color w:val="auto"/>
        </w:rPr>
        <w:t xml:space="preserve">Goodwill and Intangible Assets. </w:t>
      </w:r>
      <w:r>
        <w:rPr>
          <w:rFonts w:ascii="Arial" w:cs="Arial" w:eastAsia="Arial" w:hAnsi="Arial"/>
          <w:sz w:val="16"/>
          <w:szCs w:val="16"/>
          <w:color w:val="auto"/>
        </w:rPr>
        <w:t>Goodwill and intangible assets with indefinite lives are tested annually for impairment. Intangible assets with estimated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lives and other long-lived assets are reviewed for impairment when events or changes in circumstances indicate that the carrying amount of an asset may not be recoverable. Recoverability of intangible assets with estimated lives and other long-lived assets is measured by comparing the carrying amount of the asset to future net undiscounted cash flows expected to be generated by the asset. If these comparisons indicate that an asset is not recoverable, we will recognize an impairment loss for the amount by which the carrying value of the asset exceeds the related estimated fair value. Estimated fair value is based on either discounted future operating cash flows or appraised values, depending on the nature of the asset. Considerable judgment is required to estimate discounted future operating cash flows. Judgment is also required in determining whether an event has occurred that may impair the value of goodwill or identifiable intangible or other long-lived assets. Factors that could indicate an impairment may exist include significant underperformance relative to plan or long-term projections, strategic changes in business strategy, significant negative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industry or economic trends, a significant change in circumstances relative to a large customer, a significant decline in our stock price for a sustained period and a decline in our market capitalization to below net book value. We must make assumptions about future cash flows, future operating plans, discount rates and other factors in the models and valuation reports. To the extent these future projections and estimates change, the estimated amounts of impairment could differ from current estimates. Our annual testing for impairment of goodwill is completed as of November 30 of each year. Our testing for fiscal 2009 and fiscal 2008 indicated that no impairment of goodwill existed. At November 30, 2009, our market capitalization was well above the carrying value of our reporting unit.</w:t>
      </w:r>
    </w:p>
    <w:p>
      <w:pPr>
        <w:spacing w:after="0" w:line="170" w:lineRule="exact"/>
        <w:rPr>
          <w:sz w:val="20"/>
          <w:szCs w:val="20"/>
          <w:color w:val="auto"/>
        </w:rPr>
      </w:pPr>
    </w:p>
    <w:p>
      <w:pPr>
        <w:ind w:right="280" w:firstLine="345"/>
        <w:spacing w:after="0" w:line="256" w:lineRule="auto"/>
        <w:rPr>
          <w:sz w:val="20"/>
          <w:szCs w:val="20"/>
          <w:color w:val="auto"/>
        </w:rPr>
      </w:pPr>
      <w:r>
        <w:rPr>
          <w:rFonts w:ascii="Arial" w:cs="Arial" w:eastAsia="Arial" w:hAnsi="Arial"/>
          <w:sz w:val="18"/>
          <w:szCs w:val="18"/>
          <w:b w:val="1"/>
          <w:bCs w:val="1"/>
          <w:i w:val="1"/>
          <w:iCs w:val="1"/>
          <w:color w:val="auto"/>
        </w:rPr>
        <w:t xml:space="preserve">Accounting for Income Taxes. </w:t>
      </w:r>
      <w:r>
        <w:rPr>
          <w:rFonts w:ascii="Arial" w:cs="Arial" w:eastAsia="Arial" w:hAnsi="Arial"/>
          <w:sz w:val="18"/>
          <w:szCs w:val="18"/>
          <w:color w:val="auto"/>
        </w:rPr>
        <w:t>Our provision for income taxes is comprised of a current and a deferred portion. The current income tax provision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calculated as the estimated taxes payable or refundable on tax returns for the current year. We provide for deferred income taxes resulting from temporary differences between financial and taxable income. Such differences arise primarily from tax net operating loss and credit carryforwards, depreciation, deferred revenue, stock-based compensation expense, accruals and reserves.</w:t>
      </w:r>
    </w:p>
    <w:p>
      <w:pPr>
        <w:spacing w:after="0" w:line="197"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assess the recoverability of any tax assets recorded on the balance sheet and provide any necessary valuation allowances as required. In evaluating our ability to recover our deferred tax assets, we consider all available positive and negative evidence including our past operating results, the existence of cumulative income in the most recent fiscal years, changes in the business in which we operate and our forecast of future taxable income. In determining future taxable income, we are responsible for assumptions utilized, including the amount of state, federal and international pre-tax operating income, the reversal of temporary differences and the implementation of feasible and prudent tax planning strategies. These assumptions require significant judgment about the forecasts of future taxable income and are consistent with the plans and estimates we are using to manage the underlying businesses. Such assessment is completed on a jurisdiction by jurisdiction basis.</w:t>
      </w:r>
    </w:p>
    <w:p>
      <w:pPr>
        <w:spacing w:after="0" w:line="172" w:lineRule="exact"/>
        <w:rPr>
          <w:sz w:val="20"/>
          <w:szCs w:val="20"/>
          <w:color w:val="auto"/>
        </w:rPr>
      </w:pPr>
    </w:p>
    <w:p>
      <w:pPr>
        <w:ind w:right="40" w:firstLine="341"/>
        <w:spacing w:after="0" w:line="289" w:lineRule="auto"/>
        <w:rPr>
          <w:sz w:val="20"/>
          <w:szCs w:val="20"/>
          <w:color w:val="auto"/>
        </w:rPr>
      </w:pPr>
      <w:r>
        <w:rPr>
          <w:rFonts w:ascii="Arial" w:cs="Arial" w:eastAsia="Arial" w:hAnsi="Arial"/>
          <w:sz w:val="16"/>
          <w:szCs w:val="16"/>
          <w:color w:val="auto"/>
        </w:rPr>
        <w:t>At December 31, 2009, we had valuation allowances of $117.8 million to offset deferred tax assets of $119.8 million. In the event we determine it is more likely than not we will be able to use a deferred tax asset in the future in excess of its net carrying value, the valuation allowance will be reduced, thereby increasing net earnings and increasing equity in the period such determination is made. We have approximately $27 million of deferred tax assets related to compensation expenses for financial reporting purposes that are not deductible for tax purposes until options are exercised or shares vest. As employees will not exercise the underlying options unless the current market price exceeds the option exercise price and our tax deduction for restricted shares is determined as the shares vest, the ultimate realization of this benefit is directly associated with the price of our common stock. At December 31, 2009, the Company's stock price of $2.11 was well below the weighted average exercise price of our common stock options of $4.90. We have recorded net deferred tax assets in some of our international subsidiaries. These amounts could change in future periods based upon our operating results and changes in tax law.</w:t>
      </w:r>
    </w:p>
    <w:p>
      <w:pPr>
        <w:spacing w:after="0" w:line="172"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provide for income taxes during interim periods based on the estimated effective tax rate for the full fiscal year. We record a cumulative adjustment to the tax provision in an interim period in which a change in the estimated annual effective tax rate is determined.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not provided for U.S. income taxes on the undistributed earnings of non-U.S. subsidiaries, as we plan to permanently reinvest these amounts.</w:t>
      </w:r>
    </w:p>
    <w:p>
      <w:pPr>
        <w:spacing w:after="0" w:line="248"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50% likely of being realized upon ultimate settlement. As of each balance sheet date, unresolved uncertain tax positions must be reassessed, and we will determine whether (i) the factors underlying the sustainability assertion have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changed and (ii) the amount of recognized tax benefit is still appropriate. The recognition and measurement of tax benefits require significant judgment.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Judgments concerning the recognition and measurement of a tax benefit might change as new information becomes available.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Years Ended December 31, 2009 and 2008</w:t>
      </w:r>
    </w:p>
    <w:p>
      <w:pPr>
        <w:spacing w:after="0" w:line="231" w:lineRule="exact"/>
        <w:rPr>
          <w:sz w:val="20"/>
          <w:szCs w:val="20"/>
          <w:color w:val="auto"/>
        </w:rPr>
      </w:pPr>
    </w:p>
    <w:p>
      <w:pPr>
        <w:ind w:left="360"/>
        <w:spacing w:after="0"/>
        <w:tabs>
          <w:tab w:leader="none" w:pos="1180" w:val="left"/>
        </w:tabs>
        <w:rPr>
          <w:sz w:val="20"/>
          <w:szCs w:val="20"/>
          <w:color w:val="auto"/>
        </w:rPr>
      </w:pPr>
      <w:r>
        <w:rPr>
          <w:rFonts w:ascii="Arial" w:cs="Arial" w:eastAsia="Arial" w:hAnsi="Arial"/>
          <w:sz w:val="18"/>
          <w:szCs w:val="18"/>
          <w:b w:val="1"/>
          <w:bCs w:val="1"/>
          <w:i w:val="1"/>
          <w:iCs w:val="1"/>
          <w:color w:val="auto"/>
        </w:rPr>
        <w:t>Revenue.</w:t>
      </w:r>
      <w:r>
        <w:rPr>
          <w:sz w:val="20"/>
          <w:szCs w:val="20"/>
          <w:color w:val="auto"/>
        </w:rPr>
        <w:tab/>
      </w:r>
      <w:r>
        <w:rPr>
          <w:rFonts w:ascii="Arial" w:cs="Arial" w:eastAsia="Arial" w:hAnsi="Arial"/>
          <w:sz w:val="15"/>
          <w:szCs w:val="15"/>
          <w:color w:val="auto"/>
        </w:rPr>
        <w:t>Revenue for the years ended December 31, 2009 and 2008 was as follows (in thousands, except percentages):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4"/>
          </w:tcPr>
          <w:p>
            <w:pPr>
              <w:jc w:val="right"/>
              <w:ind w:right="457"/>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w w:val="85"/>
              </w:rPr>
              <w:t>Increase (decrease)</w:t>
            </w:r>
          </w:p>
        </w:tc>
      </w:tr>
      <w:tr>
        <w:trPr>
          <w:trHeight w:val="161"/>
        </w:trPr>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4"/>
          </w:tcPr>
          <w:p>
            <w:pPr>
              <w:jc w:val="right"/>
              <w:ind w:right="397"/>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w w:val="92"/>
              </w:rPr>
              <w:t>from prior year</w:t>
            </w:r>
          </w:p>
        </w:tc>
      </w:tr>
      <w:tr>
        <w:trPr>
          <w:trHeight w:val="142"/>
        </w:trPr>
        <w:tc>
          <w:tcPr>
            <w:tcW w:w="28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2"/>
                <w:szCs w:val="12"/>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Product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136,276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203,387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(67,111)</w:t>
            </w:r>
          </w:p>
        </w:tc>
        <w:tc>
          <w:tcPr>
            <w:tcW w:w="1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(33.0)%</w:t>
            </w:r>
          </w:p>
        </w:tc>
      </w:t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Service</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91,220</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109,758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(18,538)</w:t>
            </w:r>
          </w:p>
        </w:tc>
        <w:tc>
          <w:tcPr>
            <w:tcW w:w="1200" w:type="dxa"/>
            <w:vAlign w:val="bottom"/>
            <w:gridSpan w:val="2"/>
          </w:tcPr>
          <w:p>
            <w:pPr>
              <w:ind w:left="260"/>
              <w:spacing w:after="0"/>
              <w:rPr>
                <w:sz w:val="20"/>
                <w:szCs w:val="20"/>
                <w:color w:val="auto"/>
              </w:rPr>
            </w:pPr>
            <w:r>
              <w:rPr>
                <w:rFonts w:ascii="Arial" w:cs="Arial" w:eastAsia="Arial" w:hAnsi="Arial"/>
                <w:sz w:val="18"/>
                <w:szCs w:val="18"/>
                <w:color w:val="auto"/>
              </w:rPr>
              <w:t>(16.9)%</w:t>
            </w:r>
          </w:p>
        </w:tc>
      </w:tr>
      <w:tr>
        <w:trPr>
          <w:trHeight w:val="21"/>
        </w:trPr>
        <w:tc>
          <w:tcPr>
            <w:tcW w:w="2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0"/>
        </w:trPr>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227,496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313,145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(85,649)</w:t>
            </w:r>
          </w:p>
        </w:tc>
        <w:tc>
          <w:tcPr>
            <w:tcW w:w="1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(27.4)%</w:t>
            </w:r>
          </w:p>
        </w:tc>
      </w:tr>
      <w:tr>
        <w:trPr>
          <w:trHeight w:val="27"/>
        </w:trPr>
        <w:tc>
          <w:tcPr>
            <w:tcW w:w="2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Product revenue is comprised of sales of our voice infrastructure products, including our GSX9000 and GSX4000 Open Services Switches, Network Border Switch, PSX Policy &amp; Routing Server, SGX Signaling Gateway, ASX Call Feature Server, IMX Service Delivery Platform, Sonus Insight Management System, ASX Access Gateway Control Function, the Insight </w:t>
      </w:r>
      <w:r>
        <w:rPr>
          <w:rFonts w:ascii="Arial" w:cs="Arial" w:eastAsia="Arial" w:hAnsi="Arial"/>
          <w:sz w:val="16"/>
          <w:szCs w:val="16"/>
          <w:i w:val="1"/>
          <w:iCs w:val="1"/>
          <w:color w:val="auto"/>
        </w:rPr>
        <w:t>x</w:t>
      </w:r>
      <w:r>
        <w:rPr>
          <w:rFonts w:ascii="Arial" w:cs="Arial" w:eastAsia="Arial" w:hAnsi="Arial"/>
          <w:sz w:val="16"/>
          <w:szCs w:val="16"/>
          <w:color w:val="auto"/>
        </w:rPr>
        <w:t>Authority Provisioning System and related product offerings. The decrease in product revenue in fiscal 2009 compared to the prior year is primarily attributable to lower product sales and shipments, principally resulting from the current macroeconomic environment, coupled with a change in the fourth quarter of fiscal 2008 to ratable recognition of revenue from AT&amp;T over a two-year contractual maintenance period, which also impacts the timing of the recognition of product revenue attributable to this customer.</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expect that our product revenue in fiscal 2010 will be consistent with fiscal 2009 levels.</w:t>
      </w:r>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For orders received after October 1, 2008 from AT&amp;T, we concluded that we no longer have sufficient evidence of VSOE on maintenance services. As a result, all revenue related to multiple element arrangements for this customer entered into beginning in the fourth quarter of fiscal 2008 is being recognized ratably over the arrangement's maintenance period. Revenue recognition on multiple arrangements with AT&amp;T will begin when the only undelivered element of the arrangement is maintenance.</w:t>
      </w:r>
    </w:p>
    <w:p>
      <w:pPr>
        <w:spacing w:after="0" w:line="19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Service revenue is primarily comprised of hardware and software maintenance and support, network design, installation and other professional services. Lower maintenance revenue and professional services revenue accounted for $9.8 million and $8.7 million, respectively, of the decrease in fiscal 2009 compared to fiscal 2008. The decrease in fiscal 2009 is primarily attributable to pressure on maintenance pricing, coupled with the change in the fourth quarter of fiscal 2008 to ratable recognition of revenue from AT&amp;T.</w:t>
      </w:r>
    </w:p>
    <w:p>
      <w:pPr>
        <w:spacing w:after="0" w:line="197"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In fiscal 2009, we had no customers that contributed 10% or more of our revenue. In fiscal 2008, one customer, AT&amp;T, contributed 10% or more of our revenue. There were no other customers that contributed 10% or more of our revenue in fiscal 2008.</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International revenue was approximately 30% of revenue in both fiscal 2009 and fiscal 2008. Due to the uneven ordering patterns of customers and the timing of project completions, we expect that the domestic and international components as a percentage of our revenue will fluctuate from quarter to quarter and year to year.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deferred product revenue was $47.7 million and $30.7 million at December 31, 2009 and 2008, respectively. Our deferred service revenue was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$52.3 million and $48.3 million at December 31, 2009 and 2008, respectively. Our deferred revenue balance may fluctuate as a result of the timing of revenue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recognition, customer payments, maintenance contract renewals, contractual billing rights and maintenance revenue deferrals included in multiple element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arrangements.</w:t>
      </w:r>
    </w:p>
    <w:p>
      <w:pPr>
        <w:spacing w:after="0" w:line="219"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b w:val="1"/>
          <w:bCs w:val="1"/>
          <w:i w:val="1"/>
          <w:iCs w:val="1"/>
          <w:color w:val="auto"/>
        </w:rPr>
        <w:t xml:space="preserve">Cost of Revenue/Gross Profit. </w:t>
      </w:r>
      <w:r>
        <w:rPr>
          <w:rFonts w:ascii="Arial" w:cs="Arial" w:eastAsia="Arial" w:hAnsi="Arial"/>
          <w:sz w:val="16"/>
          <w:szCs w:val="16"/>
          <w:color w:val="auto"/>
        </w:rPr>
        <w:t>Our cost of revenue consists primarily of amounts paid to third-party manufacturers for purchased materials and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royalties, manufacturing and professional services personnel and related costs and inventory obsolescence. Cost of revenue and gross profit as a percentage of revenue ("gross margin") for the years ended December 31, 2009 and 2008 were as follows (in thousands, except percentages):</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jc w:val="center"/>
              <w:ind w:right="77"/>
              <w:spacing w:after="0"/>
              <w:rPr>
                <w:sz w:val="20"/>
                <w:szCs w:val="20"/>
                <w:color w:val="auto"/>
              </w:rPr>
            </w:pPr>
            <w:r>
              <w:rPr>
                <w:rFonts w:ascii="Arial" w:cs="Arial" w:eastAsia="Arial" w:hAnsi="Arial"/>
                <w:sz w:val="14"/>
                <w:szCs w:val="14"/>
                <w:b w:val="1"/>
                <w:bCs w:val="1"/>
                <w:color w:val="auto"/>
                <w:w w:val="87"/>
              </w:rPr>
              <w:t>Year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4"/>
          </w:tcPr>
          <w:p>
            <w:pPr>
              <w:ind w:left="6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jc w:val="center"/>
              <w:ind w:right="77"/>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4"/>
          </w:tcPr>
          <w:p>
            <w:pPr>
              <w:ind w:left="160"/>
              <w:spacing w:after="0"/>
              <w:rPr>
                <w:sz w:val="20"/>
                <w:szCs w:val="20"/>
                <w:color w:val="auto"/>
              </w:rPr>
            </w:pPr>
            <w:r>
              <w:rPr>
                <w:rFonts w:ascii="Arial" w:cs="Arial" w:eastAsia="Arial" w:hAnsi="Arial"/>
                <w:sz w:val="14"/>
                <w:szCs w:val="14"/>
                <w:b w:val="1"/>
                <w:bCs w:val="1"/>
                <w:color w:val="auto"/>
              </w:rPr>
              <w:t>from prior year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Product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38,893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74,274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(35,381)</w:t>
            </w:r>
          </w:p>
        </w:tc>
        <w:tc>
          <w:tcPr>
            <w:tcW w:w="1300" w:type="dxa"/>
            <w:vAlign w:val="bottom"/>
            <w:gridSpan w:val="2"/>
          </w:tcPr>
          <w:p>
            <w:pPr>
              <w:ind w:left="24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44,467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(11,553)</w:t>
            </w:r>
          </w:p>
        </w:tc>
        <w:tc>
          <w:tcPr>
            <w:tcW w:w="1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vMerge w:val="restart"/>
          </w:tcPr>
          <w:p>
            <w:pPr>
              <w:ind w:left="260"/>
              <w:spacing w:after="0"/>
              <w:rPr>
                <w:sz w:val="20"/>
                <w:szCs w:val="20"/>
                <w:color w:val="auto"/>
              </w:rPr>
            </w:pPr>
            <w:r>
              <w:rPr>
                <w:rFonts w:ascii="Arial" w:cs="Arial" w:eastAsia="Arial" w:hAnsi="Arial"/>
                <w:sz w:val="18"/>
                <w:szCs w:val="18"/>
                <w:color w:val="auto"/>
              </w:rPr>
              <w:t>Total cost of revenue</w:t>
            </w: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300" w:type="dxa"/>
            <w:vAlign w:val="bottom"/>
            <w:gridSpan w:val="2"/>
            <w:vMerge w:val="restart"/>
          </w:tcPr>
          <w:p>
            <w:pPr>
              <w:ind w:left="2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7"/>
              </w:rPr>
              <w:t>83,360</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130,294</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0"/>
              </w:rPr>
              <w:t>(46,934)</w:t>
            </w: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80" w:type="dxa"/>
            <w:vAlign w:val="bottom"/>
            <w:tcBorders>
              <w:bottom w:val="single" w:sz="8" w:color="CCEEFF"/>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r>
      <w:tr>
        <w:trPr>
          <w:trHeight w:val="197"/>
        </w:trPr>
        <w:tc>
          <w:tcPr>
            <w:tcW w:w="20" w:type="dxa"/>
            <w:vAlign w:val="bottom"/>
          </w:tcPr>
          <w:p>
            <w:pPr>
              <w:spacing w:after="0"/>
              <w:rPr>
                <w:sz w:val="17"/>
                <w:szCs w:val="17"/>
                <w:color w:val="auto"/>
              </w:rPr>
            </w:pPr>
          </w:p>
        </w:tc>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Product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71.5%</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63.5%</w:t>
            </w:r>
          </w:p>
        </w:tc>
        <w:tc>
          <w:tcPr>
            <w:tcW w:w="7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w:t>
            </w:r>
          </w:p>
        </w:tc>
        <w:tc>
          <w:tcPr>
            <w:tcW w:w="7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60"/>
              <w:spacing w:after="0"/>
              <w:rPr>
                <w:sz w:val="20"/>
                <w:szCs w:val="20"/>
                <w:color w:val="auto"/>
              </w:rPr>
            </w:pPr>
            <w:r>
              <w:rPr>
                <w:rFonts w:ascii="Arial" w:cs="Arial" w:eastAsia="Arial" w:hAnsi="Arial"/>
                <w:sz w:val="18"/>
                <w:szCs w:val="18"/>
                <w:color w:val="auto"/>
              </w:rPr>
              <w:t>Total gross margin</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63.4%</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58.4%</w:t>
            </w:r>
          </w:p>
        </w:tc>
        <w:tc>
          <w:tcPr>
            <w:tcW w:w="78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pacing w:after="0" w:line="20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increase in product gross profit as a percentage of product revenue ("product gross margin") was primarily due to product and customer mix. Two key contributors to the higher product gross margin in fiscal 2009 compared to fiscal 2008 were the completion in fiscal 2009 of a multi-year project for which the majority of costs had been recorded as period expense in fiscal 2008 coupled with the completion in the fourth quarter of fiscal 2008 of a low-margin multi-year project. The increase in service gross profit as a percentage of service revenue ("service gross margin") was primarily due to our lower fixed service cost base through our recent restructuring initiatives, coupled with the completion of a low-margin multi-year project in fiscal 2008. Our service cost of revenue is relatively fixed in advance of any particular quarter and therefore, changes in service revenue will have a significant impact on service gross margins. We believe that our gross margin over time will remain in our long-term financial model of 58% to 62%.</w:t>
      </w:r>
    </w:p>
    <w:p>
      <w:pPr>
        <w:spacing w:after="0" w:line="172"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consist primarily of salaries and related personnel expenses and prototype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related to the design, development, testing and enhancement of our products. Research and development expenses for the years ended December 31, 2009 and 2008 were as follows (in thousands, except percentages):</w:t>
      </w:r>
    </w:p>
    <w:p>
      <w:pPr>
        <w:spacing w:after="0" w:line="177" w:lineRule="exact"/>
        <w:rPr>
          <w:sz w:val="20"/>
          <w:szCs w:val="20"/>
          <w:color w:val="auto"/>
        </w:rPr>
      </w:pPr>
    </w:p>
    <w:tbl>
      <w:tblPr>
        <w:tblLayout w:type="fixed"/>
        <w:tblInd w:w="344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Increase (decrease) from</w:t>
            </w:r>
          </w:p>
        </w:tc>
      </w:tr>
      <w:tr>
        <w:trPr>
          <w:trHeight w:val="161"/>
        </w:trPr>
        <w:tc>
          <w:tcPr>
            <w:tcW w:w="17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2"/>
              </w:rPr>
              <w:t>Year ended December 31,</w:t>
            </w:r>
          </w:p>
        </w:tc>
        <w:tc>
          <w:tcPr>
            <w:tcW w:w="900" w:type="dxa"/>
            <w:vAlign w:val="bottom"/>
          </w:tcPr>
          <w:p>
            <w:pPr>
              <w:spacing w:after="0"/>
              <w:rPr>
                <w:sz w:val="14"/>
                <w:szCs w:val="14"/>
                <w:color w:val="auto"/>
              </w:rPr>
            </w:pPr>
          </w:p>
        </w:tc>
        <w:tc>
          <w:tcPr>
            <w:tcW w:w="1260" w:type="dxa"/>
            <w:vAlign w:val="bottom"/>
            <w:tcBorders>
              <w:bottom w:val="single" w:sz="8" w:color="auto"/>
            </w:tcBorders>
            <w:gridSpan w:val="3"/>
          </w:tcPr>
          <w:p>
            <w:pPr>
              <w:jc w:val="center"/>
              <w:ind w:left="387"/>
              <w:spacing w:after="0"/>
              <w:rPr>
                <w:sz w:val="20"/>
                <w:szCs w:val="20"/>
                <w:color w:val="auto"/>
              </w:rPr>
            </w:pPr>
            <w:r>
              <w:rPr>
                <w:rFonts w:ascii="Arial" w:cs="Arial" w:eastAsia="Arial" w:hAnsi="Arial"/>
                <w:sz w:val="14"/>
                <w:szCs w:val="14"/>
                <w:b w:val="1"/>
                <w:bCs w:val="1"/>
                <w:color w:val="auto"/>
                <w:w w:val="92"/>
              </w:rPr>
              <w:t>prior year</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0" w:type="dxa"/>
            <w:vAlign w:val="bottom"/>
            <w:tcBorders>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68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2008</w:t>
            </w:r>
          </w:p>
        </w:tc>
        <w:tc>
          <w:tcPr>
            <w:tcW w:w="900" w:type="dxa"/>
            <w:vAlign w:val="bottom"/>
          </w:tcPr>
          <w:p>
            <w:pPr>
              <w:spacing w:after="0"/>
              <w:rPr>
                <w:sz w:val="12"/>
                <w:szCs w:val="12"/>
                <w:color w:val="auto"/>
              </w:rPr>
            </w:pPr>
          </w:p>
        </w:tc>
        <w:tc>
          <w:tcPr>
            <w:tcW w:w="740" w:type="dxa"/>
            <w:vAlign w:val="bottom"/>
            <w:tcBorders>
              <w:bottom w:val="single" w:sz="8" w:color="auto"/>
            </w:tcBorders>
          </w:tcPr>
          <w:p>
            <w:pPr>
              <w:jc w:val="right"/>
              <w:ind w:right="267"/>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w w:val="91"/>
              </w:rPr>
              <w:t>$ 59,864</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$ 73,098</w:t>
            </w:r>
          </w:p>
        </w:tc>
        <w:tc>
          <w:tcPr>
            <w:tcW w:w="9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 (13,234)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100"/>
              <w:spacing w:after="0"/>
              <w:rPr>
                <w:sz w:val="20"/>
                <w:szCs w:val="20"/>
                <w:color w:val="auto"/>
              </w:rPr>
            </w:pPr>
            <w:r>
              <w:rPr>
                <w:rFonts w:ascii="Arial" w:cs="Arial" w:eastAsia="Arial" w:hAnsi="Arial"/>
                <w:sz w:val="18"/>
                <w:szCs w:val="18"/>
                <w:color w:val="auto"/>
                <w:w w:val="85"/>
              </w:rPr>
              <w:t>(18.1)%</w:t>
            </w:r>
          </w:p>
        </w:tc>
      </w:tr>
    </w:tbl>
    <w:p>
      <w:pPr>
        <w:spacing w:after="0" w:line="20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decrease in the current year primarily reflects lower employee-related costs, including salary and related costs as a result of our recent restructuring initiatives, partially offset by increased hiring activity in our India facility. Stock-based compensation was $3.3 million in fiscal 2009, compared to $7.9 million in fiscal 2008. Some aspects of our research and development efforts require significant short-term expenditures, the timing of which can cause significant variability in our expenses. We believe that rapid technological innovation is critical to our long-term success, and we are tailoring our</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investments to meet the requirements of our customers and market. We believe that our research and development expenses for fiscal 2010 will increase from 2009 levels due to our increased focus on new product development, partially offset by lower development costs as a result of recent migration to lower cost geographies.</w:t>
      </w:r>
    </w:p>
    <w:p>
      <w:pPr>
        <w:spacing w:after="0" w:line="194"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consist primarily of salaries and related personnel costs, commissions, travel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entertainment expenses, promotions, customer evaluations inventory and other marketing and sales support expenses. Sales and marketing expenses for the years ended December 31, 2009 and 2008 were as follows (in thousands, except percentages):</w:t>
      </w:r>
    </w:p>
    <w:p>
      <w:pPr>
        <w:spacing w:after="0" w:line="177" w:lineRule="exact"/>
        <w:rPr>
          <w:sz w:val="20"/>
          <w:szCs w:val="20"/>
          <w:color w:val="auto"/>
        </w:rPr>
      </w:pPr>
    </w:p>
    <w:tbl>
      <w:tblPr>
        <w:tblLayout w:type="fixed"/>
        <w:tblInd w:w="3440" w:type="dxa"/>
        <w:tblCellMar>
          <w:top w:w="0" w:type="dxa"/>
          <w:left w:w="0" w:type="dxa"/>
          <w:bottom w:w="0" w:type="dxa"/>
          <w:right w:w="0" w:type="dxa"/>
        </w:tblCellMar>
      </w:tblPr>
      <w:tr>
        <w:trPr>
          <w:trHeight w:val="161"/>
        </w:trPr>
        <w:tc>
          <w:tcPr>
            <w:tcW w:w="1200" w:type="dxa"/>
            <w:vAlign w:val="bottom"/>
            <w:gridSpan w:val="3"/>
          </w:tcPr>
          <w:p>
            <w:pPr>
              <w:jc w:val="center"/>
              <w:ind w:left="427"/>
              <w:spacing w:after="0"/>
              <w:rPr>
                <w:sz w:val="20"/>
                <w:szCs w:val="20"/>
                <w:color w:val="auto"/>
              </w:rPr>
            </w:pPr>
            <w:r>
              <w:rPr>
                <w:rFonts w:ascii="Arial" w:cs="Arial" w:eastAsia="Arial" w:hAnsi="Arial"/>
                <w:sz w:val="14"/>
                <w:szCs w:val="14"/>
                <w:b w:val="1"/>
                <w:bCs w:val="1"/>
                <w:color w:val="auto"/>
                <w:w w:val="87"/>
              </w:rPr>
              <w:t>Year ended</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4"/>
              </w:rPr>
              <w:t>Increase (decrease)</w:t>
            </w:r>
          </w:p>
        </w:tc>
      </w:tr>
      <w:tr>
        <w:trPr>
          <w:trHeight w:val="161"/>
        </w:trPr>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900" w:type="dxa"/>
            <w:vAlign w:val="bottom"/>
          </w:tcPr>
          <w:p>
            <w:pPr>
              <w:spacing w:after="0"/>
              <w:rPr>
                <w:sz w:val="14"/>
                <w:szCs w:val="14"/>
                <w:color w:val="auto"/>
              </w:rPr>
            </w:pPr>
          </w:p>
        </w:tc>
        <w:tc>
          <w:tcPr>
            <w:tcW w:w="1340" w:type="dxa"/>
            <w:vAlign w:val="bottom"/>
            <w:tcBorders>
              <w:bottom w:val="single" w:sz="8" w:color="auto"/>
            </w:tcBorders>
            <w:gridSpan w:val="3"/>
          </w:tcPr>
          <w:p>
            <w:pPr>
              <w:jc w:val="center"/>
              <w:ind w:left="287"/>
              <w:spacing w:after="0"/>
              <w:rPr>
                <w:sz w:val="20"/>
                <w:szCs w:val="20"/>
                <w:color w:val="auto"/>
              </w:rPr>
            </w:pPr>
            <w:r>
              <w:rPr>
                <w:rFonts w:ascii="Arial" w:cs="Arial" w:eastAsia="Arial" w:hAnsi="Arial"/>
                <w:sz w:val="14"/>
                <w:szCs w:val="14"/>
                <w:b w:val="1"/>
                <w:bCs w:val="1"/>
                <w:color w:val="auto"/>
                <w:w w:val="90"/>
              </w:rPr>
              <w:t>from prior year</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0" w:type="dxa"/>
            <w:vAlign w:val="bottom"/>
            <w:tcBorders>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2008</w:t>
            </w:r>
          </w:p>
        </w:tc>
        <w:tc>
          <w:tcPr>
            <w:tcW w:w="900" w:type="dxa"/>
            <w:vAlign w:val="bottom"/>
          </w:tcPr>
          <w:p>
            <w:pPr>
              <w:spacing w:after="0"/>
              <w:rPr>
                <w:sz w:val="12"/>
                <w:szCs w:val="12"/>
                <w:color w:val="auto"/>
              </w:rPr>
            </w:pPr>
          </w:p>
        </w:tc>
        <w:tc>
          <w:tcPr>
            <w:tcW w:w="740" w:type="dxa"/>
            <w:vAlign w:val="bottom"/>
            <w:tcBorders>
              <w:bottom w:val="single" w:sz="8" w:color="auto"/>
            </w:tcBorders>
          </w:tcPr>
          <w:p>
            <w:pPr>
              <w:jc w:val="right"/>
              <w:ind w:right="267"/>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w w:val="91"/>
              </w:rPr>
              <w:t>$ 48,929</w:t>
            </w:r>
          </w:p>
        </w:tc>
        <w:tc>
          <w:tcPr>
            <w:tcW w:w="3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20" w:type="dxa"/>
            <w:vAlign w:val="bottom"/>
          </w:tcPr>
          <w:p>
            <w:pPr>
              <w:ind w:left="20"/>
              <w:spacing w:after="0"/>
              <w:rPr>
                <w:sz w:val="20"/>
                <w:szCs w:val="20"/>
                <w:color w:val="auto"/>
              </w:rPr>
            </w:pPr>
            <w:r>
              <w:rPr>
                <w:rFonts w:ascii="Arial" w:cs="Arial" w:eastAsia="Arial" w:hAnsi="Arial"/>
                <w:sz w:val="18"/>
                <w:szCs w:val="18"/>
                <w:color w:val="auto"/>
                <w:w w:val="87"/>
              </w:rPr>
              <w:t>74,364</w:t>
            </w:r>
          </w:p>
        </w:tc>
        <w:tc>
          <w:tcPr>
            <w:tcW w:w="9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 (25,435)</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Arial" w:cs="Arial" w:eastAsia="Arial" w:hAnsi="Arial"/>
                <w:sz w:val="18"/>
                <w:szCs w:val="18"/>
                <w:color w:val="auto"/>
                <w:w w:val="85"/>
              </w:rPr>
              <w:t>(34.2)%</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current year decrease is primarily attributable to lower employee-related costs, including commission, travel and stock-based compensation expenses.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our sales and marketing expenses will increase in fiscal 2010 from fiscal 2009 levels, primarily attributable to higher personnel and related costs.</w:t>
      </w:r>
    </w:p>
    <w:p>
      <w:pPr>
        <w:spacing w:after="0" w:line="242"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consist primarily of salaries and related personnel costs for executive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administrative personnel, recruiting expenses, allowance for doubtful accounts and professional fees. General and administrative expenses for the years ended December 31, 2009 and 2008 were as follows (in thousands, except percentages):</w:t>
      </w:r>
    </w:p>
    <w:p>
      <w:pPr>
        <w:spacing w:after="0" w:line="177" w:lineRule="exact"/>
        <w:rPr>
          <w:sz w:val="20"/>
          <w:szCs w:val="20"/>
          <w:color w:val="auto"/>
        </w:rPr>
      </w:pPr>
    </w:p>
    <w:tbl>
      <w:tblPr>
        <w:tblLayout w:type="fixed"/>
        <w:tblInd w:w="3440" w:type="dxa"/>
        <w:tblCellMar>
          <w:top w:w="0" w:type="dxa"/>
          <w:left w:w="0" w:type="dxa"/>
          <w:bottom w:w="0" w:type="dxa"/>
          <w:right w:w="0" w:type="dxa"/>
        </w:tblCellMar>
      </w:tblPr>
      <w:tr>
        <w:trPr>
          <w:trHeight w:val="161"/>
        </w:trPr>
        <w:tc>
          <w:tcPr>
            <w:tcW w:w="1200" w:type="dxa"/>
            <w:vAlign w:val="bottom"/>
            <w:gridSpan w:val="3"/>
          </w:tcPr>
          <w:p>
            <w:pPr>
              <w:jc w:val="center"/>
              <w:ind w:left="427"/>
              <w:spacing w:after="0"/>
              <w:rPr>
                <w:sz w:val="20"/>
                <w:szCs w:val="20"/>
                <w:color w:val="auto"/>
              </w:rPr>
            </w:pPr>
            <w:r>
              <w:rPr>
                <w:rFonts w:ascii="Arial" w:cs="Arial" w:eastAsia="Arial" w:hAnsi="Arial"/>
                <w:sz w:val="14"/>
                <w:szCs w:val="14"/>
                <w:b w:val="1"/>
                <w:bCs w:val="1"/>
                <w:color w:val="auto"/>
                <w:w w:val="87"/>
              </w:rPr>
              <w:t>Year ended</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4"/>
              </w:rPr>
              <w:t>Increase (decrease)</w:t>
            </w:r>
          </w:p>
        </w:tc>
      </w:tr>
      <w:tr>
        <w:trPr>
          <w:trHeight w:val="161"/>
        </w:trPr>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900" w:type="dxa"/>
            <w:vAlign w:val="bottom"/>
          </w:tcPr>
          <w:p>
            <w:pPr>
              <w:spacing w:after="0"/>
              <w:rPr>
                <w:sz w:val="14"/>
                <w:szCs w:val="14"/>
                <w:color w:val="auto"/>
              </w:rPr>
            </w:pPr>
          </w:p>
        </w:tc>
        <w:tc>
          <w:tcPr>
            <w:tcW w:w="1340" w:type="dxa"/>
            <w:vAlign w:val="bottom"/>
            <w:tcBorders>
              <w:bottom w:val="single" w:sz="8" w:color="auto"/>
            </w:tcBorders>
            <w:gridSpan w:val="3"/>
          </w:tcPr>
          <w:p>
            <w:pPr>
              <w:jc w:val="center"/>
              <w:ind w:left="287"/>
              <w:spacing w:after="0"/>
              <w:rPr>
                <w:sz w:val="20"/>
                <w:szCs w:val="20"/>
                <w:color w:val="auto"/>
              </w:rPr>
            </w:pPr>
            <w:r>
              <w:rPr>
                <w:rFonts w:ascii="Arial" w:cs="Arial" w:eastAsia="Arial" w:hAnsi="Arial"/>
                <w:sz w:val="14"/>
                <w:szCs w:val="14"/>
                <w:b w:val="1"/>
                <w:bCs w:val="1"/>
                <w:color w:val="auto"/>
                <w:w w:val="90"/>
              </w:rPr>
              <w:t>from prior year</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0" w:type="dxa"/>
            <w:vAlign w:val="bottom"/>
            <w:tcBorders>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2008</w:t>
            </w:r>
          </w:p>
        </w:tc>
        <w:tc>
          <w:tcPr>
            <w:tcW w:w="900" w:type="dxa"/>
            <w:vAlign w:val="bottom"/>
          </w:tcPr>
          <w:p>
            <w:pPr>
              <w:spacing w:after="0"/>
              <w:rPr>
                <w:sz w:val="12"/>
                <w:szCs w:val="12"/>
                <w:color w:val="auto"/>
              </w:rPr>
            </w:pPr>
          </w:p>
        </w:tc>
        <w:tc>
          <w:tcPr>
            <w:tcW w:w="740" w:type="dxa"/>
            <w:vAlign w:val="bottom"/>
            <w:tcBorders>
              <w:bottom w:val="single" w:sz="8" w:color="auto"/>
            </w:tcBorders>
          </w:tcPr>
          <w:p>
            <w:pPr>
              <w:jc w:val="right"/>
              <w:ind w:right="267"/>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w w:val="91"/>
              </w:rPr>
              <w:t>$ 43,217</w:t>
            </w:r>
          </w:p>
        </w:tc>
        <w:tc>
          <w:tcPr>
            <w:tcW w:w="3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20" w:type="dxa"/>
            <w:vAlign w:val="bottom"/>
          </w:tcPr>
          <w:p>
            <w:pPr>
              <w:ind w:left="20"/>
              <w:spacing w:after="0"/>
              <w:rPr>
                <w:sz w:val="20"/>
                <w:szCs w:val="20"/>
                <w:color w:val="auto"/>
              </w:rPr>
            </w:pPr>
            <w:r>
              <w:rPr>
                <w:rFonts w:ascii="Arial" w:cs="Arial" w:eastAsia="Arial" w:hAnsi="Arial"/>
                <w:sz w:val="18"/>
                <w:szCs w:val="18"/>
                <w:color w:val="auto"/>
                <w:w w:val="87"/>
              </w:rPr>
              <w:t>62,045</w:t>
            </w:r>
          </w:p>
        </w:tc>
        <w:tc>
          <w:tcPr>
            <w:tcW w:w="9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 (18,828)</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Arial" w:cs="Arial" w:eastAsia="Arial" w:hAnsi="Arial"/>
                <w:sz w:val="18"/>
                <w:szCs w:val="18"/>
                <w:color w:val="auto"/>
                <w:w w:val="85"/>
              </w:rPr>
              <w:t>(30.3)%</w:t>
            </w:r>
          </w:p>
        </w:tc>
      </w:tr>
    </w:tbl>
    <w:p>
      <w:pPr>
        <w:spacing w:after="0" w:line="20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decrease in fiscal 2009 compared to the prior year is primarily attributable to $5.9 million of lower legal, audit and other consulting fees, $5.6 million of lower losses on foreign currency exchange and $5.0 million of lower stock-based compensation expense. The reduction in legal, audit and other consulting fees is primarily the result of reduced legal costs in fiscal 2009 resulting from our settlement in 2008 of litigation. We believe that our general and administrative expenses will decrease in fiscal 2010 from fiscal 2009 levels, primarily due to lower expected professional fees and other consulting costs and personnel-related expenses.</w:t>
      </w:r>
    </w:p>
    <w:p>
      <w:pPr>
        <w:spacing w:after="0" w:line="197"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b w:val="1"/>
          <w:bCs w:val="1"/>
          <w:i w:val="1"/>
          <w:iCs w:val="1"/>
          <w:color w:val="auto"/>
        </w:rPr>
        <w:t xml:space="preserve">Litigation Settlements, Net of Insurance Recovery. </w:t>
      </w:r>
      <w:r>
        <w:rPr>
          <w:rFonts w:ascii="Arial" w:cs="Arial" w:eastAsia="Arial" w:hAnsi="Arial"/>
          <w:sz w:val="16"/>
          <w:szCs w:val="16"/>
          <w:color w:val="auto"/>
        </w:rPr>
        <w:t>We recorded $19.1 million of expense reported as Litigation settlements, net of insurance recovery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fiscal 2008. On September 16, 2008, we reached an agreement to settle the litigation by C2 Communications against certain of our customers alleging patent infringement of U.S. Patent No. 6,243,373 entitled "Method and Apparatus for Implementing a Computer Network Internet Telephone System (the "C2 Patent Litigation"). The parties entered into a settlement and license agreement that provided for the payment of $9.5 million in full settlement of all claims against our customers as well as fully paid licenses to us and our customers. The settlement was paid on September 24, 2008. On September 23, 2008, we reached a tentative agreement to settle the Consolidated Amended Complaint alleging that we made false and misleading statements about our products and business (the "2002 Securities Litigation"). Pursuant to the settlement, we paid $9.5 million to the shareholder class in the case, as well as $0.1 million toward the cost of the class notice process. At December 31, 2008, we had accrued $10.0 million for the settlement and class notice process. This amount includes $0.4 million for costs related to the confirmatory discovery process, which is included as a component of General and administrative expense. On February 17, 2009, we placed $9.5 million into escrow related to this settlement. On July 16, 2009, the escrow amount was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released to the plaintiff. We did not record any expense for litigation settlements reported as Litigation settlements, net of insurance recovery in fiscal 2009.</w:t>
      </w:r>
    </w:p>
    <w:p>
      <w:pPr>
        <w:spacing w:after="0" w:line="248"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Restructuring. </w:t>
      </w:r>
      <w:r>
        <w:rPr>
          <w:rFonts w:ascii="Arial" w:cs="Arial" w:eastAsia="Arial" w:hAnsi="Arial"/>
          <w:sz w:val="18"/>
          <w:szCs w:val="18"/>
          <w:color w:val="auto"/>
        </w:rPr>
        <w:t>We recorded $3.5 million of restructuring expense in fiscal 2009 related to three restructuring initiatives, which reduced our workforce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190 employees in the aggregate. We recorded $0.7 million of restructuring expense in fiscal 2008 related to a restructuring initiative that affected approximately 50 employees.</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Impairment of Intangible Assets. </w:t>
      </w:r>
      <w:r>
        <w:rPr>
          <w:rFonts w:ascii="Arial" w:cs="Arial" w:eastAsia="Arial" w:hAnsi="Arial"/>
          <w:sz w:val="16"/>
          <w:szCs w:val="16"/>
          <w:color w:val="auto"/>
        </w:rPr>
        <w:t>In the fourth quarter of fiscal 2008 we recorded $2.7 million of expense for the write-down of intangible assets related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acquisition of Atreus Systems, Inc. (collectively with its subsidiaries, "Atreus"). In the second quarter of fiscal 2008 we recorded $3.6 million of expense for the write-down of intangible assets and goodwill related to our acquisition of Zynetix Ltd. ("Zynetix") intangible assets and goodwill, which is included as a component of Loss from discontinued operations, net of tax, in our consolidated statement of operations for the year ended December 31, 2008. We did not record any expense for the impairment of intangible assets in fiscal 2009.</w:t>
      </w:r>
    </w:p>
    <w:p>
      <w:pPr>
        <w:spacing w:after="0" w:line="170"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and interest expense for the years ended December 31, 2009 and 2008 were as follows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4"/>
          </w:tcPr>
          <w:p>
            <w:pPr>
              <w:jc w:val="center"/>
              <w:ind w:right="920"/>
              <w:spacing w:after="0"/>
              <w:rPr>
                <w:sz w:val="20"/>
                <w:szCs w:val="20"/>
                <w:color w:val="auto"/>
              </w:rPr>
            </w:pPr>
            <w:r>
              <w:rPr>
                <w:rFonts w:ascii="Arial" w:cs="Arial" w:eastAsia="Arial" w:hAnsi="Arial"/>
                <w:sz w:val="14"/>
                <w:szCs w:val="14"/>
                <w:b w:val="1"/>
                <w:bCs w:val="1"/>
                <w:color w:val="auto"/>
                <w:w w:val="84"/>
              </w:rPr>
              <w:t>Increase (decrease)</w:t>
            </w:r>
          </w:p>
        </w:tc>
      </w:t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4"/>
          </w:tcPr>
          <w:p>
            <w:pPr>
              <w:jc w:val="center"/>
              <w:ind w:right="920"/>
              <w:spacing w:after="0"/>
              <w:rPr>
                <w:sz w:val="20"/>
                <w:szCs w:val="20"/>
                <w:color w:val="auto"/>
              </w:rPr>
            </w:pPr>
            <w:r>
              <w:rPr>
                <w:rFonts w:ascii="Arial" w:cs="Arial" w:eastAsia="Arial" w:hAnsi="Arial"/>
                <w:sz w:val="14"/>
                <w:szCs w:val="14"/>
                <w:b w:val="1"/>
                <w:bCs w:val="1"/>
                <w:color w:val="auto"/>
                <w:w w:val="90"/>
              </w:rPr>
              <w:t>from prior year</w:t>
            </w:r>
          </w:p>
        </w:tc>
      </w:tr>
      <w:tr>
        <w:trPr>
          <w:trHeight w:val="142"/>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12,643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(8,538)</w:t>
            </w:r>
          </w:p>
        </w:tc>
        <w:tc>
          <w:tcPr>
            <w:tcW w:w="1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(67.5)%</w:t>
            </w:r>
          </w:p>
        </w:tc>
      </w:tr>
      <w:tr>
        <w:trPr>
          <w:trHeight w:val="222"/>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Interest expense</w:t>
            </w: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(291)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1380" w:type="dxa"/>
            <w:vAlign w:val="bottom"/>
            <w:gridSpan w:val="2"/>
          </w:tcPr>
          <w:p>
            <w:pPr>
              <w:ind w:left="240"/>
              <w:spacing w:after="0"/>
              <w:rPr>
                <w:sz w:val="20"/>
                <w:szCs w:val="20"/>
                <w:color w:val="auto"/>
              </w:rPr>
            </w:pPr>
            <w:r>
              <w:rPr>
                <w:rFonts w:ascii="Arial" w:cs="Arial" w:eastAsia="Arial" w:hAnsi="Arial"/>
                <w:sz w:val="18"/>
                <w:szCs w:val="18"/>
                <w:color w:val="auto"/>
              </w:rPr>
              <w:t>(37.1)%</w:t>
            </w:r>
          </w:p>
        </w:tc>
      </w:tr>
      <w:tr>
        <w:trPr>
          <w:trHeight w:val="21"/>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 net</w:t>
            </w: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12,352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(8,430)</w:t>
            </w:r>
          </w:p>
        </w:tc>
        <w:tc>
          <w:tcPr>
            <w:tcW w:w="1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(68.2)%</w:t>
            </w:r>
          </w:p>
        </w:tc>
      </w:tr>
      <w:tr>
        <w:trPr>
          <w:trHeight w:val="27"/>
        </w:trPr>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color w:val="auto"/>
        </w:rPr>
        <w:t>Interest income consists of interest earned on our cash equivalents, marketable debt securities and long-term investments. Interest expense in both fiscal 2009 and fiscal 2008 relates to capital lease obligations. The reduction in interest income, net, in the current year is primarily attributable to a lower average portfolio yield compared to fiscal 2008 as a result of the current economic environment.</w:t>
      </w:r>
    </w:p>
    <w:p>
      <w:pPr>
        <w:spacing w:after="0" w:line="19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The income tax provision/benefit is computed on the basis of the various tax jurisdictions' income or loss before income taxes. Deferred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taxes reflect the tax effects of the differences between the carrying amounts of assets and liabilities for financial reporting purposes and the amounts used for income tax purposes. The Company uses judgment and assumptions to determine whether valuation allowances for deferred income tax assets are required if realization is not likely by considering future market growth, forecasted operations, future taxable income, and the amounts of earnings in the tax jurisdictions in which it operates.</w:t>
      </w:r>
    </w:p>
    <w:p>
      <w:pPr>
        <w:spacing w:after="0" w:line="197" w:lineRule="exact"/>
        <w:rPr>
          <w:sz w:val="20"/>
          <w:szCs w:val="20"/>
          <w:color w:val="auto"/>
        </w:rPr>
      </w:pPr>
    </w:p>
    <w:p>
      <w:pPr>
        <w:ind w:right="100" w:firstLine="351"/>
        <w:spacing w:after="0" w:line="284" w:lineRule="auto"/>
        <w:rPr>
          <w:sz w:val="20"/>
          <w:szCs w:val="20"/>
          <w:color w:val="auto"/>
        </w:rPr>
      </w:pPr>
      <w:r>
        <w:rPr>
          <w:rFonts w:ascii="Arial" w:cs="Arial" w:eastAsia="Arial" w:hAnsi="Arial"/>
          <w:sz w:val="16"/>
          <w:szCs w:val="16"/>
          <w:color w:val="auto"/>
        </w:rPr>
        <w:t>For the year ended December 31, 2009, we recognized an income tax benefit of $2.5 million. This benefit is comprised of a recovery of prior year domestic tax payments as a result of tax law changes and a foreign tax benefit of $1.1 million impacted by international settlements. For the year ended December 31, 2008, we recognized income tax expense of $79.7 million, comprised of a tax benefit of $8.7 million, offset by an increase to our income tax expense of</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$88.4 million related to an increase in the valuation allowance on substantially all of our net deferred tax assets after considering all positive and negative factors as to the recoverability of these assets. This determination was based on many factors, including the severity of the current and prior year losses, cumulative three years of losses, the severe economic recession, a significant decrease to taxable income forecasted in future periods and other relevant factors. We have maintained a full valuation allowance in fiscal 2009.</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Discontinued Operations</w:t>
      </w:r>
    </w:p>
    <w:p>
      <w:pPr>
        <w:spacing w:after="0" w:line="231"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b w:val="1"/>
          <w:bCs w:val="1"/>
          <w:i w:val="1"/>
          <w:iCs w:val="1"/>
          <w:color w:val="auto"/>
        </w:rPr>
        <w:t xml:space="preserve">Loss from discontinued operations, net of tax. </w:t>
      </w:r>
      <w:r>
        <w:rPr>
          <w:rFonts w:ascii="Arial" w:cs="Arial" w:eastAsia="Arial" w:hAnsi="Arial"/>
          <w:sz w:val="16"/>
          <w:szCs w:val="16"/>
          <w:color w:val="auto"/>
        </w:rPr>
        <w:t>In the third quarter of 2008, we committed to a plan to sell our Zynetix subsidiary, which we completed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November 27, 2008. We had acquired Zynetix on April 13, 2007. Accordingly, the results of operations of Zynetix are included in discontinued operations for the periods subsequent to its acquisition. These results are reported under the caption Loss from discontinued operations, net of tax.</w:t>
      </w:r>
    </w:p>
    <w:p>
      <w:pPr>
        <w:spacing w:after="0" w:line="16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connection with the preparation of our financial statements for the second quarter of fiscal 2008 and the update of our sales forecast for the second half of the fiscal year, we conducted a review of intangible assets and goodwill for impairment indicators, during which we determined that there were no impairment indicators related to the intangible assets and goodwill allocated to the Sonus reporting unit. However, this review identified several indicators related to the intangible assets and goodwill allocated to the Zynetix reporting unit, including significant underperformance relative to plan or long-term projections. In response, we performed an assessment of the carrying value of our intangible assets and goodwill. As a result, we recorded a charge to operations of $3.6 million for the write-down of intangible assets and goodwill. Of this charge, $1.5 million related to intangible assets and $2.1 million related to goodwill. As a result, the net book values of the intangible assets and goodwill attributable to the Zynetix reporting unit were reduced to zero at June 30, 2008. The write-down of these assets is included in the results of discontinued operations for the year ended December 31, 2008.</w:t>
      </w:r>
    </w:p>
    <w:p>
      <w:pPr>
        <w:spacing w:after="0" w:line="172"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b w:val="1"/>
          <w:bCs w:val="1"/>
          <w:i w:val="1"/>
          <w:iCs w:val="1"/>
          <w:color w:val="auto"/>
        </w:rPr>
        <w:t xml:space="preserve">Loss on sale of discontinued operations, net of tax. </w:t>
      </w:r>
      <w:r>
        <w:rPr>
          <w:rFonts w:ascii="Arial" w:cs="Arial" w:eastAsia="Arial" w:hAnsi="Arial"/>
          <w:sz w:val="16"/>
          <w:szCs w:val="16"/>
          <w:color w:val="auto"/>
        </w:rPr>
        <w:t>On November 26, 2008, we completed the sale of Zynetix. In consideration for all of the equity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Zynetix we received a cash payment of £1.0 (approximately U.S. $2 at November 26, 2008); all cash on the books of Zynetix at the time of closing, the intellectual property we acquired at the time we purchased Zynetix that we subsequently included in certain of our products and the buyer's assumption of all contingent liabilities related to the Zynetix business, including but not limited to any customer and product support obligations. Prior to November 26, 2008, we had entered into intellectual property agreements between our subsidiary in the United Kingdom and Zynetix. These agreements allow for perpetual licenses between us and Zynetix for intellectual property used in both parties' respective products. We recorded a loss of $0.7 million, net of tax, on the sale of Zynetix.</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did not have any discontinued operations in fiscal 2009.</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Years Ended December 31, 2008 and 2007</w:t>
      </w:r>
    </w:p>
    <w:p>
      <w:pPr>
        <w:spacing w:after="0" w:line="231" w:lineRule="exact"/>
        <w:rPr>
          <w:sz w:val="20"/>
          <w:szCs w:val="20"/>
          <w:color w:val="auto"/>
        </w:rPr>
      </w:pPr>
    </w:p>
    <w:p>
      <w:pPr>
        <w:ind w:left="360"/>
        <w:spacing w:after="0"/>
        <w:tabs>
          <w:tab w:leader="none" w:pos="1180" w:val="left"/>
        </w:tabs>
        <w:rPr>
          <w:sz w:val="20"/>
          <w:szCs w:val="20"/>
          <w:color w:val="auto"/>
        </w:rPr>
      </w:pPr>
      <w:r>
        <w:rPr>
          <w:rFonts w:ascii="Arial" w:cs="Arial" w:eastAsia="Arial" w:hAnsi="Arial"/>
          <w:sz w:val="18"/>
          <w:szCs w:val="18"/>
          <w:b w:val="1"/>
          <w:bCs w:val="1"/>
          <w:i w:val="1"/>
          <w:iCs w:val="1"/>
          <w:color w:val="auto"/>
        </w:rPr>
        <w:t>Revenue.</w:t>
      </w:r>
      <w:r>
        <w:rPr>
          <w:sz w:val="20"/>
          <w:szCs w:val="20"/>
          <w:color w:val="auto"/>
        </w:rPr>
        <w:tab/>
      </w:r>
      <w:r>
        <w:rPr>
          <w:rFonts w:ascii="Arial" w:cs="Arial" w:eastAsia="Arial" w:hAnsi="Arial"/>
          <w:sz w:val="15"/>
          <w:szCs w:val="15"/>
          <w:color w:val="auto"/>
        </w:rPr>
        <w:t>Revenue for the years ended December 31, 2008 and 2007 was as follows (in thousands, except percentages):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right"/>
              <w:ind w:right="477"/>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4"/>
          </w:tcPr>
          <w:p>
            <w:pPr>
              <w:jc w:val="right"/>
              <w:ind w:right="1200"/>
              <w:spacing w:after="0"/>
              <w:rPr>
                <w:sz w:val="20"/>
                <w:szCs w:val="20"/>
                <w:color w:val="auto"/>
              </w:rPr>
            </w:pPr>
            <w:r>
              <w:rPr>
                <w:rFonts w:ascii="Arial" w:cs="Arial" w:eastAsia="Arial" w:hAnsi="Arial"/>
                <w:sz w:val="14"/>
                <w:szCs w:val="14"/>
                <w:b w:val="1"/>
                <w:bCs w:val="1"/>
                <w:color w:val="auto"/>
                <w:w w:val="85"/>
              </w:rPr>
              <w:t>Increase (decrease)</w:t>
            </w: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right"/>
              <w:ind w:right="397"/>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4"/>
          </w:tcPr>
          <w:p>
            <w:pPr>
              <w:jc w:val="right"/>
              <w:ind w:right="1300"/>
              <w:spacing w:after="0"/>
              <w:rPr>
                <w:sz w:val="20"/>
                <w:szCs w:val="20"/>
                <w:color w:val="auto"/>
              </w:rPr>
            </w:pPr>
            <w:r>
              <w:rPr>
                <w:rFonts w:ascii="Arial" w:cs="Arial" w:eastAsia="Arial" w:hAnsi="Arial"/>
                <w:sz w:val="14"/>
                <w:szCs w:val="14"/>
                <w:b w:val="1"/>
                <w:bCs w:val="1"/>
                <w:color w:val="auto"/>
              </w:rPr>
              <w:t>from prior year</w:t>
            </w: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w:t>
            </w:r>
          </w:p>
        </w:tc>
        <w:tc>
          <w:tcPr>
            <w:tcW w:w="10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Product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203,387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225,644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(22,257)</w:t>
            </w: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(9.9)%</w:t>
            </w: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Service</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109,758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93,771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15,987</w:t>
            </w:r>
          </w:p>
        </w:tc>
        <w:tc>
          <w:tcPr>
            <w:tcW w:w="160" w:type="dxa"/>
            <w:vAlign w:val="bottom"/>
          </w:tcPr>
          <w:p>
            <w:pPr>
              <w:spacing w:after="0"/>
              <w:rPr>
                <w:sz w:val="19"/>
                <w:szCs w:val="19"/>
                <w:color w:val="auto"/>
              </w:rPr>
            </w:pPr>
          </w:p>
        </w:tc>
        <w:tc>
          <w:tcPr>
            <w:tcW w:w="1540" w:type="dxa"/>
            <w:vAlign w:val="bottom"/>
            <w:gridSpan w:val="2"/>
          </w:tcPr>
          <w:p>
            <w:pPr>
              <w:jc w:val="right"/>
              <w:ind w:right="860"/>
              <w:spacing w:after="0"/>
              <w:rPr>
                <w:sz w:val="20"/>
                <w:szCs w:val="20"/>
                <w:color w:val="auto"/>
              </w:rPr>
            </w:pPr>
            <w:r>
              <w:rPr>
                <w:rFonts w:ascii="Arial" w:cs="Arial" w:eastAsia="Arial" w:hAnsi="Arial"/>
                <w:sz w:val="18"/>
                <w:szCs w:val="18"/>
                <w:color w:val="auto"/>
              </w:rPr>
              <w:t>17.0%</w:t>
            </w:r>
          </w:p>
        </w:tc>
      </w:tr>
      <w:tr>
        <w:trPr>
          <w:trHeight w:val="21"/>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313,145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319,415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(6,270)</w:t>
            </w: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(2.0)%</w:t>
            </w: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decrease in product revenue in fiscal 2008 compared to fiscal 2007 was attributable to lower product sales, partially offset by the recognition of approximately $17 million of revenue related to the completion of a multi-year project and for which all of the revenue recognition criteria were met in the fourth quarter of fiscal 2008. Product revenue was also negatively impacted by the current macroeconomic environment.</w:t>
      </w:r>
    </w:p>
    <w:p>
      <w:pPr>
        <w:spacing w:after="0" w:line="16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increase in service revenue in fiscal 2008 compared to fiscal 2007 is primarily the result of our larger base of installed products in fiscal 2008. Higher maintenance revenue and professional services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revenue accounted for $8.2 million and $7.8 million, respectively, of the increase in fiscal 2008 compared to fiscal 2007.</w:t>
      </w:r>
    </w:p>
    <w:p>
      <w:pPr>
        <w:spacing w:after="0" w:line="225"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AT&amp;T contributed 10% or more of our revenue in both fiscal 2008 and fiscal 2007. There were no other customers that contributed 10% or more of revenue in either fiscal year.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International revenue was approximately 30% and 26% of revenue in fiscal 2008 and fiscal 2007, respectively.</w:t>
      </w:r>
    </w:p>
    <w:p>
      <w:pPr>
        <w:spacing w:after="0" w:line="225"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color w:val="auto"/>
        </w:rPr>
        <w:t>Our deferred product revenue was $30.7 million and $44.1 million at December 31, 2008 and 2007, respectively. Our deferred service revenue was $48.3 million and $55.1 million at December 31, 2008 and 2007, respectively.</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Cost of Revenue/Gross Profit. </w:t>
      </w:r>
      <w:r>
        <w:rPr>
          <w:rFonts w:ascii="Arial" w:cs="Arial" w:eastAsia="Arial" w:hAnsi="Arial"/>
          <w:sz w:val="18"/>
          <w:szCs w:val="18"/>
          <w:color w:val="auto"/>
        </w:rPr>
        <w:t>Cost of revenue and gross margin for the years ended December 31, 2008 and 2007 were as follows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right"/>
              <w:ind w:right="477"/>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w w:val="87"/>
              </w:rPr>
              <w:t>Increase (decrease)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right"/>
              <w:ind w:right="397"/>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from prior year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Product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74,274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90,976</w:t>
            </w:r>
          </w:p>
        </w:tc>
        <w:tc>
          <w:tcPr>
            <w:tcW w:w="3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(16,702)</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80" w:type="dxa"/>
            <w:vAlign w:val="bottom"/>
            <w:vMerge w:val="restart"/>
          </w:tcPr>
          <w:p>
            <w:pPr>
              <w:ind w:left="260"/>
              <w:spacing w:after="0"/>
              <w:rPr>
                <w:sz w:val="20"/>
                <w:szCs w:val="20"/>
                <w:color w:val="auto"/>
              </w:rPr>
            </w:pPr>
            <w:r>
              <w:rPr>
                <w:rFonts w:ascii="Arial" w:cs="Arial" w:eastAsia="Arial" w:hAnsi="Arial"/>
                <w:sz w:val="18"/>
                <w:szCs w:val="18"/>
                <w:color w:val="auto"/>
              </w:rPr>
              <w:t>Total cost of revenue</w:t>
            </w:r>
          </w:p>
        </w:tc>
        <w:tc>
          <w:tcPr>
            <w:tcW w:w="178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130,294</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128,489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00" w:type="dxa"/>
            <w:vAlign w:val="bottom"/>
            <w:tcBorders>
              <w:bottom w:val="single" w:sz="8" w:color="CCEEFF"/>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60" w:type="dxa"/>
            <w:vAlign w:val="bottom"/>
            <w:tcBorders>
              <w:top w:val="single" w:sz="8" w:color="auto"/>
              <w:bottom w:val="single" w:sz="8" w:color="auto"/>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r>
      <w:tr>
        <w:trPr>
          <w:trHeight w:val="197"/>
        </w:trPr>
        <w:tc>
          <w:tcPr>
            <w:tcW w:w="20" w:type="dxa"/>
            <w:vAlign w:val="bottom"/>
          </w:tcPr>
          <w:p>
            <w:pPr>
              <w:spacing w:after="0"/>
              <w:rPr>
                <w:sz w:val="17"/>
                <w:szCs w:val="17"/>
                <w:color w:val="auto"/>
              </w:rPr>
            </w:pPr>
          </w:p>
        </w:tc>
        <w:tc>
          <w:tcPr>
            <w:tcW w:w="5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20"/>
              <w:spacing w:after="0"/>
              <w:rPr>
                <w:sz w:val="20"/>
                <w:szCs w:val="20"/>
                <w:color w:val="auto"/>
              </w:rPr>
            </w:pPr>
            <w:r>
              <w:rPr>
                <w:rFonts w:ascii="Arial" w:cs="Arial" w:eastAsia="Arial" w:hAnsi="Arial"/>
                <w:sz w:val="18"/>
                <w:szCs w:val="18"/>
                <w:color w:val="auto"/>
              </w:rPr>
              <w:t>Product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63.5%</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59.7%</w:t>
            </w:r>
          </w:p>
        </w:tc>
        <w:tc>
          <w:tcPr>
            <w:tcW w:w="7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w:t>
            </w:r>
          </w:p>
        </w:tc>
        <w:tc>
          <w:tcPr>
            <w:tcW w:w="7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260"/>
              <w:spacing w:after="0"/>
              <w:rPr>
                <w:sz w:val="20"/>
                <w:szCs w:val="20"/>
                <w:color w:val="auto"/>
              </w:rPr>
            </w:pPr>
            <w:r>
              <w:rPr>
                <w:rFonts w:ascii="Arial" w:cs="Arial" w:eastAsia="Arial" w:hAnsi="Arial"/>
                <w:sz w:val="18"/>
                <w:szCs w:val="18"/>
                <w:color w:val="auto"/>
              </w:rPr>
              <w:t>Total gross margin</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58.4%</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59.8%</w:t>
            </w:r>
          </w:p>
        </w:tc>
        <w:tc>
          <w:tcPr>
            <w:tcW w:w="76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pacing w:after="0" w:line="20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increase in product gross margin in fiscal 2008 compared to fiscal 2007 was primarily due to product and customer mix. The decrease in service gross margin in fiscal 2008 compared to fiscal 2007 was primarily due to increased personnel costs to support our 2008 global expansion efforts, coupled with the completion of a low margin multi-year project in fiscal 2008.</w:t>
      </w:r>
    </w:p>
    <w:p>
      <w:pPr>
        <w:spacing w:after="0" w:line="194"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years ended December 31, 2008 and 2007 were as follows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 except percentages):</w:t>
      </w:r>
    </w:p>
    <w:p>
      <w:pPr>
        <w:spacing w:after="0" w:line="169" w:lineRule="exact"/>
        <w:rPr>
          <w:sz w:val="20"/>
          <w:szCs w:val="20"/>
          <w:color w:val="auto"/>
        </w:rPr>
      </w:pPr>
    </w:p>
    <w:tbl>
      <w:tblPr>
        <w:tblLayout w:type="fixed"/>
        <w:tblInd w:w="3440" w:type="dxa"/>
        <w:tblCellMar>
          <w:top w:w="0" w:type="dxa"/>
          <w:left w:w="0" w:type="dxa"/>
          <w:bottom w:w="0" w:type="dxa"/>
          <w:right w:w="0" w:type="dxa"/>
        </w:tblCellMar>
      </w:tblPr>
      <w:tr>
        <w:trPr>
          <w:trHeight w:val="161"/>
        </w:trPr>
        <w:tc>
          <w:tcPr>
            <w:tcW w:w="1220" w:type="dxa"/>
            <w:vAlign w:val="bottom"/>
            <w:gridSpan w:val="3"/>
          </w:tcPr>
          <w:p>
            <w:pPr>
              <w:jc w:val="center"/>
              <w:ind w:left="427"/>
              <w:spacing w:after="0"/>
              <w:rPr>
                <w:sz w:val="20"/>
                <w:szCs w:val="20"/>
                <w:color w:val="auto"/>
              </w:rPr>
            </w:pPr>
            <w:r>
              <w:rPr>
                <w:rFonts w:ascii="Arial" w:cs="Arial" w:eastAsia="Arial" w:hAnsi="Arial"/>
                <w:sz w:val="14"/>
                <w:szCs w:val="14"/>
                <w:b w:val="1"/>
                <w:bCs w:val="1"/>
                <w:color w:val="auto"/>
                <w:w w:val="84"/>
              </w:rPr>
              <w:t>Year ended</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4"/>
              </w:rPr>
              <w:t>Increase (decrease)</w:t>
            </w:r>
          </w:p>
        </w:tc>
      </w:tr>
      <w:tr>
        <w:trPr>
          <w:trHeight w:val="161"/>
        </w:trPr>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040" w:type="dxa"/>
            <w:vAlign w:val="bottom"/>
          </w:tcPr>
          <w:p>
            <w:pPr>
              <w:spacing w:after="0"/>
              <w:rPr>
                <w:sz w:val="14"/>
                <w:szCs w:val="14"/>
                <w:color w:val="auto"/>
              </w:rPr>
            </w:pPr>
          </w:p>
        </w:tc>
        <w:tc>
          <w:tcPr>
            <w:tcW w:w="1240" w:type="dxa"/>
            <w:vAlign w:val="bottom"/>
            <w:tcBorders>
              <w:bottom w:val="single" w:sz="8" w:color="auto"/>
            </w:tcBorders>
            <w:gridSpan w:val="3"/>
          </w:tcPr>
          <w:p>
            <w:pPr>
              <w:jc w:val="center"/>
              <w:ind w:left="227"/>
              <w:spacing w:after="0"/>
              <w:rPr>
                <w:sz w:val="20"/>
                <w:szCs w:val="20"/>
                <w:color w:val="auto"/>
              </w:rPr>
            </w:pPr>
            <w:r>
              <w:rPr>
                <w:rFonts w:ascii="Arial" w:cs="Arial" w:eastAsia="Arial" w:hAnsi="Arial"/>
                <w:sz w:val="14"/>
                <w:szCs w:val="14"/>
                <w:b w:val="1"/>
                <w:bCs w:val="1"/>
                <w:color w:val="auto"/>
                <w:w w:val="90"/>
              </w:rPr>
              <w:t>from prior year</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0" w:type="dxa"/>
            <w:vAlign w:val="bottom"/>
            <w:tcBorders>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2007</w:t>
            </w:r>
          </w:p>
        </w:tc>
        <w:tc>
          <w:tcPr>
            <w:tcW w:w="1040" w:type="dxa"/>
            <w:vAlign w:val="bottom"/>
          </w:tcPr>
          <w:p>
            <w:pPr>
              <w:spacing w:after="0"/>
              <w:rPr>
                <w:sz w:val="12"/>
                <w:szCs w:val="12"/>
                <w:color w:val="auto"/>
              </w:rPr>
            </w:pPr>
          </w:p>
        </w:tc>
        <w:tc>
          <w:tcPr>
            <w:tcW w:w="660" w:type="dxa"/>
            <w:vAlign w:val="bottom"/>
            <w:tcBorders>
              <w:bottom w:val="single" w:sz="8" w:color="auto"/>
            </w:tcBorders>
          </w:tcPr>
          <w:p>
            <w:pPr>
              <w:jc w:val="right"/>
              <w:ind w:right="227"/>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w w:val="96"/>
              </w:rPr>
              <w:t>%</w:t>
            </w:r>
          </w:p>
        </w:tc>
        <w:tc>
          <w:tcPr>
            <w:tcW w:w="200" w:type="dxa"/>
            <w:vAlign w:val="bottom"/>
          </w:tcPr>
          <w:p>
            <w:pPr>
              <w:spacing w:after="0"/>
              <w:rPr>
                <w:sz w:val="12"/>
                <w:szCs w:val="12"/>
                <w:color w:val="auto"/>
              </w:rPr>
            </w:pP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w w:val="91"/>
              </w:rPr>
              <w:t>$ 73,098</w:t>
            </w:r>
          </w:p>
        </w:tc>
        <w:tc>
          <w:tcPr>
            <w:tcW w:w="40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78,898</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3"/>
              </w:rPr>
              <w:t>$  (5,800)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4"/>
              </w:rPr>
              <w:t>(7.4)%</w:t>
            </w:r>
          </w:p>
        </w:tc>
      </w:tr>
    </w:tbl>
    <w:p>
      <w:pPr>
        <w:spacing w:after="0" w:line="20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decrease in fiscal 2008 compared to fiscal 2007 primarily reflects lower stock-based compensation, partially offset by higher salary and related expenses associated with additional headcount. Stock-based compensation costs accounted for $8.2 million of lower research and development expense in fiscal 2008, compared to fiscal 2007.</w:t>
      </w:r>
    </w:p>
    <w:p>
      <w:pPr>
        <w:spacing w:after="0" w:line="194"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years ended December 31, 2008 and 2007 were as follows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0" w:type="dxa"/>
            <w:vAlign w:val="bottom"/>
            <w:gridSpan w:val="5"/>
          </w:tcPr>
          <w:p>
            <w:pPr>
              <w:jc w:val="center"/>
              <w:ind w:right="3660"/>
              <w:spacing w:after="0"/>
              <w:rPr>
                <w:sz w:val="20"/>
                <w:szCs w:val="20"/>
                <w:color w:val="auto"/>
              </w:rPr>
            </w:pPr>
            <w:r>
              <w:rPr>
                <w:rFonts w:ascii="Arial" w:cs="Arial" w:eastAsia="Arial" w:hAnsi="Arial"/>
                <w:sz w:val="14"/>
                <w:szCs w:val="14"/>
                <w:b w:val="1"/>
                <w:bCs w:val="1"/>
                <w:color w:val="auto"/>
                <w:w w:val="85"/>
              </w:rPr>
              <w:t>Increase (decrease) from</w:t>
            </w:r>
          </w:p>
        </w:tc>
      </w:tr>
      <w:tr>
        <w:trPr>
          <w:trHeight w:val="161"/>
        </w:trPr>
        <w:tc>
          <w:tcPr>
            <w:tcW w:w="3440" w:type="dxa"/>
            <w:vAlign w:val="bottom"/>
          </w:tcPr>
          <w:p>
            <w:pPr>
              <w:spacing w:after="0"/>
              <w:rPr>
                <w:sz w:val="14"/>
                <w:szCs w:val="14"/>
                <w:color w:val="auto"/>
              </w:rPr>
            </w:pPr>
          </w:p>
        </w:tc>
        <w:tc>
          <w:tcPr>
            <w:tcW w:w="17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3"/>
              </w:rPr>
              <w:t>Year ended December 31,</w:t>
            </w:r>
          </w:p>
        </w:tc>
        <w:tc>
          <w:tcPr>
            <w:tcW w:w="1040" w:type="dxa"/>
            <w:vAlign w:val="bottom"/>
          </w:tcPr>
          <w:p>
            <w:pPr>
              <w:spacing w:after="0"/>
              <w:rPr>
                <w:sz w:val="14"/>
                <w:szCs w:val="14"/>
                <w:color w:val="auto"/>
              </w:rPr>
            </w:pPr>
          </w:p>
        </w:tc>
        <w:tc>
          <w:tcPr>
            <w:tcW w:w="1160" w:type="dxa"/>
            <w:vAlign w:val="bottom"/>
            <w:tcBorders>
              <w:bottom w:val="single" w:sz="8" w:color="auto"/>
            </w:tcBorders>
            <w:gridSpan w:val="3"/>
          </w:tcPr>
          <w:p>
            <w:pPr>
              <w:jc w:val="center"/>
              <w:ind w:left="327"/>
              <w:spacing w:after="0"/>
              <w:rPr>
                <w:sz w:val="20"/>
                <w:szCs w:val="20"/>
                <w:color w:val="auto"/>
              </w:rPr>
            </w:pPr>
            <w:r>
              <w:rPr>
                <w:rFonts w:ascii="Arial" w:cs="Arial" w:eastAsia="Arial" w:hAnsi="Arial"/>
                <w:sz w:val="14"/>
                <w:szCs w:val="14"/>
                <w:b w:val="1"/>
                <w:bCs w:val="1"/>
                <w:color w:val="auto"/>
                <w:w w:val="92"/>
              </w:rPr>
              <w:t>prior year</w:t>
            </w:r>
          </w:p>
        </w:tc>
        <w:tc>
          <w:tcPr>
            <w:tcW w:w="400" w:type="dxa"/>
            <w:vAlign w:val="bottom"/>
            <w:tcBorders>
              <w:bottom w:val="single" w:sz="8" w:color="auto"/>
            </w:tcBorders>
          </w:tcPr>
          <w:p>
            <w:pPr>
              <w:spacing w:after="0"/>
              <w:rPr>
                <w:sz w:val="14"/>
                <w:szCs w:val="14"/>
                <w:color w:val="auto"/>
              </w:rPr>
            </w:pPr>
          </w:p>
        </w:tc>
        <w:tc>
          <w:tcPr>
            <w:tcW w:w="3640" w:type="dxa"/>
            <w:vAlign w:val="bottom"/>
          </w:tcPr>
          <w:p>
            <w:pPr>
              <w:spacing w:after="0"/>
              <w:rPr>
                <w:sz w:val="14"/>
                <w:szCs w:val="14"/>
                <w:color w:val="auto"/>
              </w:rPr>
            </w:pPr>
          </w:p>
        </w:tc>
      </w:tr>
      <w:tr>
        <w:trPr>
          <w:trHeight w:val="142"/>
        </w:trPr>
        <w:tc>
          <w:tcPr>
            <w:tcW w:w="3440" w:type="dxa"/>
            <w:vAlign w:val="bottom"/>
          </w:tcPr>
          <w:p>
            <w:pPr>
              <w:spacing w:after="0"/>
              <w:rPr>
                <w:sz w:val="12"/>
                <w:szCs w:val="12"/>
                <w:color w:val="auto"/>
              </w:rPr>
            </w:pPr>
          </w:p>
        </w:tc>
        <w:tc>
          <w:tcPr>
            <w:tcW w:w="660" w:type="dxa"/>
            <w:vAlign w:val="bottom"/>
            <w:tcBorders>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68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2007</w:t>
            </w:r>
          </w:p>
        </w:tc>
        <w:tc>
          <w:tcPr>
            <w:tcW w:w="1040" w:type="dxa"/>
            <w:vAlign w:val="bottom"/>
          </w:tcPr>
          <w:p>
            <w:pPr>
              <w:spacing w:after="0"/>
              <w:rPr>
                <w:sz w:val="12"/>
                <w:szCs w:val="12"/>
                <w:color w:val="auto"/>
              </w:rPr>
            </w:pPr>
          </w:p>
        </w:tc>
        <w:tc>
          <w:tcPr>
            <w:tcW w:w="660" w:type="dxa"/>
            <w:vAlign w:val="bottom"/>
            <w:tcBorders>
              <w:bottom w:val="single" w:sz="8" w:color="auto"/>
            </w:tcBorders>
          </w:tcPr>
          <w:p>
            <w:pPr>
              <w:jc w:val="right"/>
              <w:ind w:right="227"/>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w:t>
            </w:r>
          </w:p>
        </w:tc>
        <w:tc>
          <w:tcPr>
            <w:tcW w:w="3640" w:type="dxa"/>
            <w:vAlign w:val="bottom"/>
          </w:tcPr>
          <w:p>
            <w:pPr>
              <w:spacing w:after="0"/>
              <w:rPr>
                <w:sz w:val="12"/>
                <w:szCs w:val="12"/>
                <w:color w:val="auto"/>
              </w:rPr>
            </w:pPr>
          </w:p>
        </w:tc>
      </w:tr>
      <w:tr>
        <w:trPr>
          <w:trHeight w:val="216"/>
        </w:trPr>
        <w:tc>
          <w:tcPr>
            <w:tcW w:w="3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$ 74,364</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  81,602</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3"/>
              </w:rPr>
              <w:t>$  (7,238)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gridSpan w:val="2"/>
          </w:tcPr>
          <w:p>
            <w:pPr>
              <w:jc w:val="right"/>
              <w:ind w:right="3440"/>
              <w:spacing w:after="0"/>
              <w:rPr>
                <w:sz w:val="20"/>
                <w:szCs w:val="20"/>
                <w:color w:val="auto"/>
              </w:rPr>
            </w:pPr>
            <w:r>
              <w:rPr>
                <w:rFonts w:ascii="Arial" w:cs="Arial" w:eastAsia="Arial" w:hAnsi="Arial"/>
                <w:sz w:val="18"/>
                <w:szCs w:val="18"/>
                <w:color w:val="auto"/>
              </w:rPr>
              <w:t>(8.9)%</w:t>
            </w:r>
          </w:p>
        </w:tc>
      </w:tr>
      <w:tr>
        <w:trPr>
          <w:trHeight w:val="424"/>
        </w:trPr>
        <w:tc>
          <w:tcPr>
            <w:tcW w:w="3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jc w:val="right"/>
              <w:ind w:right="332"/>
              <w:spacing w:after="0"/>
              <w:rPr>
                <w:sz w:val="20"/>
                <w:szCs w:val="20"/>
                <w:color w:val="auto"/>
              </w:rPr>
            </w:pPr>
            <w:r>
              <w:rPr>
                <w:rFonts w:ascii="Arial" w:cs="Arial" w:eastAsia="Arial" w:hAnsi="Arial"/>
                <w:sz w:val="18"/>
                <w:szCs w:val="18"/>
                <w:color w:val="auto"/>
              </w:rPr>
              <w:t>45</w:t>
            </w: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28"/>
        </w:trPr>
        <w:tc>
          <w:tcPr>
            <w:tcW w:w="34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80" w:firstLine="348"/>
        <w:spacing w:after="0" w:line="259" w:lineRule="auto"/>
        <w:rPr>
          <w:sz w:val="20"/>
          <w:szCs w:val="20"/>
          <w:color w:val="auto"/>
        </w:rPr>
      </w:pPr>
      <w:r>
        <w:rPr>
          <w:rFonts w:ascii="Arial" w:cs="Arial" w:eastAsia="Arial" w:hAnsi="Arial"/>
          <w:sz w:val="18"/>
          <w:szCs w:val="18"/>
          <w:color w:val="auto"/>
        </w:rPr>
        <w:t>The decrease in fiscal 2008 compared to fiscal 2007 primarily reflects lower stock-based compensation, partially offset by costs related to our continued expansion of our worldwide sales and support coverage. Stock-based compensation costs accounted for $8.7 million of lower sales and marketing expense in fiscal 2008, compared to fiscal 2007.</w:t>
      </w:r>
    </w:p>
    <w:p>
      <w:pPr>
        <w:spacing w:after="0" w:line="194"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years ended December 31, 2008 and 2007 were as follows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 except percentages):</w:t>
      </w:r>
    </w:p>
    <w:p>
      <w:pPr>
        <w:spacing w:after="0" w:line="169" w:lineRule="exact"/>
        <w:rPr>
          <w:sz w:val="20"/>
          <w:szCs w:val="20"/>
          <w:color w:val="auto"/>
        </w:rPr>
      </w:pPr>
    </w:p>
    <w:tbl>
      <w:tblPr>
        <w:tblLayout w:type="fixed"/>
        <w:tblInd w:w="3440" w:type="dxa"/>
        <w:tblCellMar>
          <w:top w:w="0" w:type="dxa"/>
          <w:left w:w="0" w:type="dxa"/>
          <w:bottom w:w="0" w:type="dxa"/>
          <w:right w:w="0" w:type="dxa"/>
        </w:tblCellMar>
      </w:tblPr>
      <w:tr>
        <w:trPr>
          <w:trHeight w:val="161"/>
        </w:trPr>
        <w:tc>
          <w:tcPr>
            <w:tcW w:w="1300" w:type="dxa"/>
            <w:vAlign w:val="bottom"/>
            <w:gridSpan w:val="3"/>
          </w:tcPr>
          <w:p>
            <w:pPr>
              <w:jc w:val="center"/>
              <w:ind w:left="427"/>
              <w:spacing w:after="0"/>
              <w:rPr>
                <w:sz w:val="20"/>
                <w:szCs w:val="20"/>
                <w:color w:val="auto"/>
              </w:rPr>
            </w:pPr>
            <w:r>
              <w:rPr>
                <w:rFonts w:ascii="Arial" w:cs="Arial" w:eastAsia="Arial" w:hAnsi="Arial"/>
                <w:sz w:val="14"/>
                <w:szCs w:val="14"/>
                <w:b w:val="1"/>
                <w:bCs w:val="1"/>
                <w:color w:val="auto"/>
                <w:w w:val="84"/>
              </w:rPr>
              <w:t>Year ended</w:t>
            </w: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4"/>
              </w:rPr>
              <w:t>Increase (decrease)</w:t>
            </w:r>
          </w:p>
        </w:tc>
      </w:tr>
      <w:tr>
        <w:trPr>
          <w:trHeight w:val="161"/>
        </w:trPr>
        <w:tc>
          <w:tcPr>
            <w:tcW w:w="1300" w:type="dxa"/>
            <w:vAlign w:val="bottom"/>
            <w:tcBorders>
              <w:bottom w:val="single" w:sz="8" w:color="auto"/>
            </w:tcBorders>
            <w:gridSpan w:val="3"/>
          </w:tcPr>
          <w:p>
            <w:pPr>
              <w:jc w:val="center"/>
              <w:ind w:left="407"/>
              <w:spacing w:after="0"/>
              <w:rPr>
                <w:sz w:val="20"/>
                <w:szCs w:val="20"/>
                <w:color w:val="auto"/>
              </w:rPr>
            </w:pPr>
            <w:r>
              <w:rPr>
                <w:rFonts w:ascii="Arial" w:cs="Arial" w:eastAsia="Arial" w:hAnsi="Arial"/>
                <w:sz w:val="14"/>
                <w:szCs w:val="14"/>
                <w:b w:val="1"/>
                <w:bCs w:val="1"/>
                <w:color w:val="auto"/>
                <w:w w:val="85"/>
              </w:rPr>
              <w:t>December 31,</w:t>
            </w:r>
          </w:p>
        </w:tc>
        <w:tc>
          <w:tcPr>
            <w:tcW w:w="500" w:type="dxa"/>
            <w:vAlign w:val="bottom"/>
            <w:tcBorders>
              <w:bottom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Borders>
              <w:bottom w:val="single" w:sz="8" w:color="auto"/>
            </w:tcBorders>
            <w:gridSpan w:val="3"/>
          </w:tcPr>
          <w:p>
            <w:pPr>
              <w:jc w:val="center"/>
              <w:ind w:left="187"/>
              <w:spacing w:after="0"/>
              <w:rPr>
                <w:sz w:val="20"/>
                <w:szCs w:val="20"/>
                <w:color w:val="auto"/>
              </w:rPr>
            </w:pPr>
            <w:r>
              <w:rPr>
                <w:rFonts w:ascii="Arial" w:cs="Arial" w:eastAsia="Arial" w:hAnsi="Arial"/>
                <w:sz w:val="14"/>
                <w:szCs w:val="14"/>
                <w:b w:val="1"/>
                <w:bCs w:val="1"/>
                <w:color w:val="auto"/>
                <w:w w:val="90"/>
              </w:rPr>
              <w:t>from prior year</w:t>
            </w:r>
          </w:p>
        </w:tc>
        <w:tc>
          <w:tcPr>
            <w:tcW w:w="2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680" w:type="dxa"/>
            <w:vAlign w:val="bottom"/>
            <w:tcBorders>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2007</w:t>
            </w:r>
          </w:p>
        </w:tc>
        <w:tc>
          <w:tcPr>
            <w:tcW w:w="1180" w:type="dxa"/>
            <w:vAlign w:val="bottom"/>
          </w:tcPr>
          <w:p>
            <w:pPr>
              <w:spacing w:after="0"/>
              <w:rPr>
                <w:sz w:val="12"/>
                <w:szCs w:val="12"/>
                <w:color w:val="auto"/>
              </w:rPr>
            </w:pPr>
          </w:p>
        </w:tc>
        <w:tc>
          <w:tcPr>
            <w:tcW w:w="620" w:type="dxa"/>
            <w:vAlign w:val="bottom"/>
            <w:tcBorders>
              <w:bottom w:val="single" w:sz="8" w:color="auto"/>
            </w:tcBorders>
          </w:tcPr>
          <w:p>
            <w:pPr>
              <w:jc w:val="right"/>
              <w:ind w:right="207"/>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96"/>
              </w:rPr>
              <w:t>%</w:t>
            </w:r>
          </w:p>
        </w:tc>
        <w:tc>
          <w:tcPr>
            <w:tcW w:w="140" w:type="dxa"/>
            <w:vAlign w:val="bottom"/>
          </w:tcPr>
          <w:p>
            <w:pPr>
              <w:spacing w:after="0"/>
              <w:rPr>
                <w:sz w:val="12"/>
                <w:szCs w:val="12"/>
                <w:color w:val="auto"/>
              </w:rPr>
            </w:pP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w w:val="91"/>
              </w:rPr>
              <w:t>$ 62,045</w:t>
            </w:r>
          </w:p>
        </w:tc>
        <w:tc>
          <w:tcPr>
            <w:tcW w:w="44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500" w:type="dxa"/>
            <w:vAlign w:val="bottom"/>
          </w:tcPr>
          <w:p>
            <w:pPr>
              <w:ind w:left="20"/>
              <w:spacing w:after="0"/>
              <w:rPr>
                <w:sz w:val="20"/>
                <w:szCs w:val="20"/>
                <w:color w:val="auto"/>
              </w:rPr>
            </w:pPr>
            <w:r>
              <w:rPr>
                <w:rFonts w:ascii="Arial" w:cs="Arial" w:eastAsia="Arial" w:hAnsi="Arial"/>
                <w:sz w:val="18"/>
                <w:szCs w:val="18"/>
                <w:color w:val="auto"/>
                <w:w w:val="83"/>
              </w:rPr>
              <w:t>56,652</w:t>
            </w:r>
          </w:p>
        </w:tc>
        <w:tc>
          <w:tcPr>
            <w:tcW w:w="1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  5,393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2"/>
              </w:rPr>
              <w:t>9.5%</w:t>
            </w:r>
          </w:p>
        </w:tc>
      </w:tr>
    </w:tbl>
    <w:p>
      <w:pPr>
        <w:spacing w:after="0" w:line="20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increase in fiscal 2008 compared to fiscal 2007 is primarily attributable to higher personnel-related costs, coupled with $6.6 million of higher losses on foreign currency exchange compared to the prior year. Stock-based compensation costs accounted for $0.6 million of increased general and administration expense in fiscal 2008, compared to the prior year. In fiscal 2008, we recorded $4.8 million of stock-based compensation expense related to restricted stock granted to our former President and Chief Executive Officer (the "Former Executive") in connection with his Retention and Restricted Stock Agreement (the "Retention Agreement"), which was effective November 14, 2007. This amount includes $1.7 million of incremental stock-based compensation expense related to the accelerated vesting of such restricted stock. In fiscal 2007, we recorded $2.6 million of charges related to the departures of the Company's President and Chief Operating Officer, and Chief Financial Officer, as well as $1.8 million of charges related to the modification of options held by the Former Executive in connection with his Retention Agreement. These increases were partially offset by $14.2 million of lower professional fees in fiscal 2008 compared to fiscal 2007. Professional fees, including $12.1 million of legal fees primarily related to litigation, totaled $20.8 million in fiscal 2008. Professional fees, including $9.9 million related to our stock option historical review, totaled $25.3 million in fiscal 2007.</w:t>
      </w:r>
    </w:p>
    <w:p>
      <w:pPr>
        <w:spacing w:after="0" w:line="177"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Litigation Settlements, Net of Insurance Recovery. </w:t>
      </w:r>
      <w:r>
        <w:rPr>
          <w:rFonts w:ascii="Arial" w:cs="Arial" w:eastAsia="Arial" w:hAnsi="Arial"/>
          <w:sz w:val="18"/>
          <w:szCs w:val="18"/>
          <w:color w:val="auto"/>
        </w:rPr>
        <w:t>We recorded $19.1 million and $24.7 million of net expense related to the settlement of litigation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2008 and fiscal 2007, respectively.</w:t>
      </w:r>
    </w:p>
    <w:p>
      <w:pPr>
        <w:spacing w:after="0" w:line="186"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On September 16, 2008, we reached an agreement to settle the C2 Patent Litigation. The parties entered into a settlement and license agreement that provided for the payment of $9.5 million in full settlement of all claims against customers as well as fully paid licenses to us and our customers. The settlement was paid on September 24, 2008. On September 23, 2008, we reached a tentative agreement to settle the 2002 Securities Litigation. Pursuant to the settlement, subject to confirmatory discovery and final court approval, we agreed to pay $9.5 million to the shareholder class in the case, as well as $0.1 million toward the cost of the class notice process. At December 31, 2008, we had accrued $10.0 million for the 2002 Securities Litigation settlement, including the aforementioned $9.6 million for the settlement and class notice process, as well as $0.4 million for costs related to the confirmatory discovery process. The $0.4 million for discovery costs is included as a component of General and administrative expense. On February 17, 2009, we placed the $9.5 million settlement amount into escrow. On July 16, 2009, the escrow amount was released to the plaintiff.</w:t>
      </w:r>
    </w:p>
    <w:p>
      <w:pPr>
        <w:spacing w:after="0" w:line="17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On November 7, 2007, we reached an agreement to settle litigation against the Company and certain of our former and current officers alleging violations of federal securities laws in connection with the restatement in 2004 of our financial statements (the "2004 Restatement Litigation"). Under the terms of the settlement, the plaintiffs agreed to release all claims against us and the other defendants in consideration for the payment of $40.0 million from us to the class of plaintiffs. In connection with the settlement, in the third quarter of fiscal 2007, we recorded a charge of $40.0 million and a related liability for the full amount of the settlement. Following the resolution of an insurance coverage dispute with our insurer on December 28, 2007, we recorded a $15.3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insurance recovery in the fourth quarter of fiscal 2007, as such recovery became probable following the resolution of the insurance coverage dispute in December 2007.</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Pursuant to the settlement, in November 2007, we deposited $25.0 million in escrow toward the settlement fund. In January 2008, our insurer deposited $15.0 million into the escrow account and paid directly to us the remaining $0.3 million in available insurance coverage.</w:t>
      </w:r>
    </w:p>
    <w:p>
      <w:pPr>
        <w:spacing w:after="0" w:line="186"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b w:val="1"/>
          <w:bCs w:val="1"/>
          <w:i w:val="1"/>
          <w:iCs w:val="1"/>
          <w:color w:val="auto"/>
        </w:rPr>
        <w:t xml:space="preserve">Impairment of Intangible Assets. </w:t>
      </w:r>
      <w:r>
        <w:rPr>
          <w:rFonts w:ascii="Arial" w:cs="Arial" w:eastAsia="Arial" w:hAnsi="Arial"/>
          <w:sz w:val="16"/>
          <w:szCs w:val="16"/>
          <w:color w:val="auto"/>
        </w:rPr>
        <w:t>In the fourth quarter of fiscal 2008 we recorded $2.7 million of expense for the write-down of intangible assets related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acquisition of Atreus. In the second quarter of fiscal 2008 we recorded $3.6 million of expense for the write-down of intangible assets and goodwill related to our acquisition of Zynetix intangible assets and goodwill, which is included as a component of Loss from discontinued operations, net of tax, in our consolidated statement of operations for the year ended December 31, 2008. None of the Company's intangible assets were determined to be impaired in fiscal 2007.</w:t>
      </w:r>
    </w:p>
    <w:p>
      <w:pPr>
        <w:spacing w:after="0" w:line="16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Restructuring. </w:t>
      </w:r>
      <w:r>
        <w:rPr>
          <w:rFonts w:ascii="Arial" w:cs="Arial" w:eastAsia="Arial" w:hAnsi="Arial"/>
          <w:sz w:val="18"/>
          <w:szCs w:val="18"/>
          <w:color w:val="auto"/>
        </w:rPr>
        <w:t>We recorded $0.7 million of restructuring expense in fiscal 2008 related to a headcount reduction initiative. Approximately 50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affected by the reduction. We did not record any restructuring expense in fiscal 2007.</w:t>
      </w:r>
    </w:p>
    <w:p>
      <w:pPr>
        <w:spacing w:after="0" w:line="186"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and interest expense for the years ended December 31, 2008 and 2007 were as follows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gridSpan w:val="6"/>
          </w:tcPr>
          <w:p>
            <w:pPr>
              <w:ind w:left="20"/>
              <w:spacing w:after="0"/>
              <w:rPr>
                <w:sz w:val="20"/>
                <w:szCs w:val="20"/>
                <w:color w:val="auto"/>
              </w:rPr>
            </w:pPr>
            <w:r>
              <w:rPr>
                <w:rFonts w:ascii="Arial" w:cs="Arial" w:eastAsia="Arial" w:hAnsi="Arial"/>
                <w:sz w:val="14"/>
                <w:szCs w:val="14"/>
                <w:b w:val="1"/>
                <w:bCs w:val="1"/>
                <w:color w:val="auto"/>
              </w:rPr>
              <w:t>Increase (decrease) from</w:t>
            </w: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6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86"/>
              </w:rPr>
              <w:t>Year ended December 31,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ind w:left="280"/>
              <w:spacing w:after="0"/>
              <w:rPr>
                <w:sz w:val="20"/>
                <w:szCs w:val="20"/>
                <w:color w:val="auto"/>
              </w:rPr>
            </w:pPr>
            <w:r>
              <w:rPr>
                <w:rFonts w:ascii="Arial" w:cs="Arial" w:eastAsia="Arial" w:hAnsi="Arial"/>
                <w:sz w:val="14"/>
                <w:szCs w:val="14"/>
                <w:b w:val="1"/>
                <w:bCs w:val="1"/>
                <w:color w:val="auto"/>
                <w:w w:val="92"/>
              </w:rPr>
              <w:t>prior year</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18,393</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(5,750)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(31.3)%</w:t>
            </w:r>
          </w:p>
        </w:tc>
      </w:tr>
      <w:tr>
        <w:trPr>
          <w:trHeight w:val="222"/>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77.4%</w:t>
            </w:r>
          </w:p>
        </w:tc>
      </w:tr>
      <w:tr>
        <w:trPr>
          <w:trHeight w:val="21"/>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12,352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18,229</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(5,877)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(32.2)%</w:t>
            </w:r>
          </w:p>
        </w:tc>
      </w:tr>
      <w:tr>
        <w:trPr>
          <w:trHeight w:val="27"/>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reduction in interest income, net, in fiscal 2008 compared to fiscal 2007 reflects lower average cash and investment balances, coupled with a lower average portfolio yield.</w:t>
      </w:r>
    </w:p>
    <w:p>
      <w:pPr>
        <w:spacing w:after="0" w:line="186"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b w:val="1"/>
          <w:bCs w:val="1"/>
          <w:i w:val="1"/>
          <w:iCs w:val="1"/>
          <w:color w:val="auto"/>
        </w:rPr>
        <w:t>Income Taxes.</w:t>
      </w:r>
      <w:r>
        <w:rPr>
          <w:sz w:val="20"/>
          <w:szCs w:val="20"/>
          <w:color w:val="auto"/>
        </w:rPr>
        <w:tab/>
      </w:r>
      <w:r>
        <w:rPr>
          <w:rFonts w:ascii="Arial" w:cs="Arial" w:eastAsia="Arial" w:hAnsi="Arial"/>
          <w:sz w:val="15"/>
          <w:szCs w:val="15"/>
          <w:color w:val="auto"/>
        </w:rPr>
        <w:t>For the year ended December 31, 2008, we recognized income tax expense of $79.7 million. This was comprised of a tax benefit of</w:t>
      </w:r>
    </w:p>
    <w:p>
      <w:pPr>
        <w:spacing w:after="0" w:line="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$8.7 million, offset by an increase to our income tax expense of $88.4 million related to an increase in the valuation allowance on substantially all of our domestic net deferred tax assets after considering all positive and negative factors as to the recoverability of these assets. This determination was based on many factors, including the severity of the current and prior year losses, cumulative three years of losses, the current severe economic recession, a significant decrease to taxable income forecasted in future periods and other relevant factors. For the year ended December 31, 2007, we recognized an income tax benefit of $8.5 million.</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Discontinued Operations</w:t>
      </w:r>
    </w:p>
    <w:p>
      <w:pPr>
        <w:spacing w:after="0" w:line="231"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Loss from discontinued operations, net of tax. </w:t>
      </w:r>
      <w:r>
        <w:rPr>
          <w:rFonts w:ascii="Arial" w:cs="Arial" w:eastAsia="Arial" w:hAnsi="Arial"/>
          <w:sz w:val="16"/>
          <w:szCs w:val="16"/>
          <w:color w:val="auto"/>
        </w:rPr>
        <w:t>In the third quarter of 2008, we committed to a plan to sell our Zynetix subsidiary, which we completed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November 27, 2008. We had acquired Zynetix on April 13, 2007. Accordingly, the results of operations of Zynetix are included in discontinued operations for the periods subsequent to its acquisition. These results are reported under the caption Loss from discontinued operations, net of tax.</w:t>
      </w:r>
    </w:p>
    <w:p>
      <w:pPr>
        <w:spacing w:after="0" w:line="16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connection with the preparation of our financial statements for the second quarter of fiscal 2008 and the update of our sales forecast for the second half of the fiscal year, we conducted a review of intangible assets and goodwill for impairment indicators, during which we determined that there were no impairment indicators related to the intangible assets and goodwill allocated to the Sonus reporting unit. However, this review identified several indicators related to the intangible assets and goodwill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allocated to the Zynetix reporting unit, including significant underperformance relative to plan or long-term projections. In response, we performed an assessment of the carrying value of our intangible assets and goodwill. As a result, we recorded a charge to operations of $3.6 million for the write-down of intangible assets and goodwill. Of this charge, $1.5 million related to intangible assets and $2.1 million related to goodwill. As a result, the net book values of the intangible assets and goodwill attributable to the Zynetix reporting unit were reduced to zero at June 30, 2008. The write-down of these assets is included in the results of discontinued operations for the year ended December 31, 2008.</w:t>
      </w:r>
    </w:p>
    <w:p>
      <w:pPr>
        <w:spacing w:after="0" w:line="197"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b w:val="1"/>
          <w:bCs w:val="1"/>
          <w:i w:val="1"/>
          <w:iCs w:val="1"/>
          <w:color w:val="auto"/>
        </w:rPr>
        <w:t xml:space="preserve">Loss on sale of discontinued operations, net of tax. </w:t>
      </w:r>
      <w:r>
        <w:rPr>
          <w:rFonts w:ascii="Arial" w:cs="Arial" w:eastAsia="Arial" w:hAnsi="Arial"/>
          <w:sz w:val="16"/>
          <w:szCs w:val="16"/>
          <w:color w:val="auto"/>
        </w:rPr>
        <w:t>On November 26, 2008, we completed the sale of Zynetix. In consideration for all of the equity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Zynetix we received a cash payment of £1.0 (approximately U.S. $2 at November 26, 2008); all cash on the books of Zynetix at the time of closing, the intellectual property we acquired at the time we purchased Zynetix that we subsequently included in certain of our products and the buyer's assumption of all contingent liabilities related to the Zynetix business, including but not limited to any customer and product support obligations. Prior to November 26, 2008, we had entered into intellectual property agreements between our subsidiary in the United Kingdom and Zynetix. These agreements allow for perpetual licenses between us and Zynetix for intellectual property used in both parties' respective products. We recorded a loss of $0.7 million, net of tax, on the sale of Zynetix.</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material effect on our financial position, changes in financial position, revenues or expenses, results of operations, liquidity, capital expenditures or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2009, our cash, cash equivalents, marketable securities and long-term investments totaled $414.1 million.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operating activities provided $33.8 million of cash in fiscal 2009, compared to $16.7 million of cash used in operating activities in fiscal 2008.</w:t>
      </w:r>
    </w:p>
    <w:p>
      <w:pPr>
        <w:spacing w:after="0" w:line="248"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Cash provided by operating activities in fiscal 2009 was primarily the result of a net decrease in accounts receivable, which was mainly driven by lower revenue levels and our focus on cash collections, partially offset by increases in other operating assets and inventory, as well as a net reduction in our operating liabilities. The increase in operating assets is primarily attributable to higher deferred costs, including cost of goods, royalties, commissions and third party installation costs, for which the related revenue has not yet been recognized. The decrease in our operating liabilities in fiscal 2009 is primarily attributable to the payment of litigation settlements and related costs, lower employee compensation and related costs, and lower professional fees, taxes payable and royalties. Our net loss, adjusted for non-cash items such as depreciation, amortization and stock-based compensation, contributed $18.9 million to the cash provided by operating activities.</w:t>
      </w:r>
    </w:p>
    <w:p>
      <w:pPr>
        <w:spacing w:after="0" w:line="20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Cash used in operating activities in fiscal 2008 was primarily attributable to the decreases in inventory, the insurance receivable for a litigation settlement, other operating assets and accounts receivable. These amounts were more than offset by the release of a $40.0 million litigation settlement from escrow to the plaintiffs, coupled with lower levels of deferred revenue, accrued expenses and accounts payable. The lower accounts receivable levels are the result of our efforts on cash collections. On March 31, 2008, our proposed litigation settlement related to the 2004 Restatement Litigation was approved by the court. Accordingly, the amounts that had been placed into escrow by us and our insurer were released to the plaintiff, and we eliminated the related liability and insurance receivable included in our consolidated balance sheet at December 31, 2007. As a result, our cash flows from operating activities were negatively affected by the release at March 31, 2008 of the $25.0 million we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had previously placed into an escrow account, partially offset by the $9.6 million liability recorded for the settlement of the 2002 Securities Litigation. The decrease in accrued expenses is primarily attributable to lower employee compensation and related costs, including reductions for the payment of bonuses to our executives and employees under our bonus programs, payments for professional fees and royalties previously accrued, the completion of an employee stock purchase under our original Employee Stock Purchase Plan and lower withholdings under the Amended and Restated 2000 Employee Stock Purchase Plan (the "ESPP").</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investing activities used $31.6 million of cash in fiscal 2009, comprised of $25.0 million of net purchases of marketable securities and $6.6 million of investments in property and equipment. Our investing activities provided $18.5 million of cash in fiscal 2008, primarily comprised of $8.2 million of net sales and maturities of marketable securities, and $25.0 million related to the release at March 31, 2008 of that amount in the 2004 Restatement Litigation settlement escrow account as a result of the court's approval of the settlement agreement and the release of those funds to the plaintiffs. These amounts were partially offset by $9.7 million of investments in property and equipment, and cash payments aggregating $4.9 million, net of cash acquired, for our April 18, 2008 acquisition of Atreus.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financing activities provided $0.3 million and $2.5 million of cash in fiscal 2009 and fiscal 2008, respectively. The fiscal 2009 amount is primarily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attributable to $1.1 million of proceeds from the sale of our common stock in connection with our ESPP and $0.1 million of proceeds from the exercise of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options. These proceeds were partially offset by $0.7 million used to pay withholding obligations related to the net share settlement of restricted stock awards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upon vesting and $0.2 million used for payments on our capital leases for office equipment. The fiscal 2008 amount includes $3.8 million of proceeds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 of common stock in connection with our ESPP and $0.4 million of proceeds from the exercise of stock options. These proceeds were partially offset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 million used to pay withholding obligations related to the net share settlement of restricted stock awards upon vesting and $0.2 million used for payments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capital leases for office equipment.</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contractual obligations (both principal and interest) at December 31, 2009 consist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5"/>
              </w:rPr>
              <w:t>Less than 1 year</w:t>
            </w:r>
          </w:p>
        </w:tc>
        <w:tc>
          <w:tcPr>
            <w:tcW w:w="160" w:type="dxa"/>
            <w:vAlign w:val="bottom"/>
          </w:tcPr>
          <w:p>
            <w:pPr>
              <w:spacing w:after="0"/>
              <w:rPr>
                <w:sz w:val="12"/>
                <w:szCs w:val="12"/>
                <w:color w:val="auto"/>
              </w:rPr>
            </w:pPr>
          </w:p>
        </w:tc>
        <w:tc>
          <w:tcPr>
            <w:tcW w:w="70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5"/>
              </w:rPr>
              <w:t>1-3 years</w:t>
            </w:r>
          </w:p>
        </w:tc>
        <w:tc>
          <w:tcPr>
            <w:tcW w:w="16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3-5 years</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7"/>
              </w:rPr>
              <w:t>More than 5 years</w:t>
            </w:r>
          </w:p>
        </w:tc>
        <w:tc>
          <w:tcPr>
            <w:tcW w:w="160" w:type="dxa"/>
            <w:vAlign w:val="bottom"/>
          </w:tcPr>
          <w:p>
            <w:pPr>
              <w:spacing w:after="0"/>
              <w:rPr>
                <w:sz w:val="12"/>
                <w:szCs w:val="12"/>
                <w:color w:val="auto"/>
              </w:rPr>
            </w:pPr>
          </w:p>
        </w:tc>
      </w:tr>
      <w:tr>
        <w:trPr>
          <w:trHeight w:val="210"/>
        </w:trPr>
        <w:tc>
          <w:tcPr>
            <w:tcW w:w="11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3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Operating lease obligations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11,570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4,603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5,152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559</w:t>
            </w: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15,790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Restructuring severance obligations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Uncertain tax positions*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1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27,930</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20,251</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5,847</w:t>
            </w:r>
          </w:p>
        </w:tc>
        <w:tc>
          <w:tcPr>
            <w:tcW w:w="160" w:type="dxa"/>
            <w:vAlign w:val="bottom"/>
          </w:tcPr>
          <w:p>
            <w:pPr>
              <w:spacing w:after="0"/>
              <w:rPr>
                <w:sz w:val="18"/>
                <w:szCs w:val="18"/>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1,268</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60" w:type="dxa"/>
            <w:vAlign w:val="bottom"/>
          </w:tcPr>
          <w:p>
            <w:pPr>
              <w:spacing w:after="0"/>
              <w:rPr>
                <w:sz w:val="18"/>
                <w:szCs w:val="18"/>
                <w:color w:val="auto"/>
              </w:rPr>
            </w:pPr>
          </w:p>
        </w:tc>
      </w:tr>
      <w:tr>
        <w:trPr>
          <w:trHeight w:val="21"/>
        </w:trPr>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2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540" w:right="400" w:hanging="532"/>
        <w:spacing w:after="0" w:line="332" w:lineRule="auto"/>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This liability is not subject to fixed payment terms and the amount and timing of payments, if any, which we will make related to this liability are not known. See Note 17 to our Consolidated Financial Statements appearing in this Annual Report on Form 10-K for additional information.</w:t>
      </w:r>
    </w:p>
    <w:p>
      <w:pPr>
        <w:spacing w:after="0" w:line="139"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color w:val="auto"/>
        </w:rPr>
        <w:t>Based on our current expectations, we believe our current cash, cash equivalents, marketable debt securities and long-term investments will be sufficient to meet our anticipated cash needs for working capital and capital expenditures for at least twelve months. It is difficult to predict future liquidity requirements with certainty. The rate at which we will consume cash will be dependent on the cash needs of future operations, including changes in working capital, which will, in turn, be directly affected by the levels of demand for our products, the timing and rate of expansion of our business,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0"/>
        <w:spacing w:after="0" w:line="335" w:lineRule="auto"/>
        <w:rPr>
          <w:sz w:val="20"/>
          <w:szCs w:val="20"/>
          <w:color w:val="auto"/>
        </w:rPr>
      </w:pPr>
      <w:r>
        <w:rPr>
          <w:rFonts w:ascii="Arial" w:cs="Arial" w:eastAsia="Arial" w:hAnsi="Arial"/>
          <w:sz w:val="15"/>
          <w:szCs w:val="15"/>
          <w:color w:val="auto"/>
        </w:rPr>
        <w:t>resources we devote to developing our products and any litigation settlements. We anticipate devoting substantial capital resources to continue our research and development efforts, to maintain our sales, support and marketing, to improve our controls environment and for other general corporate activities, as well as to vigorously defend against existing and potential litigation. See Note 22 to our consolidated financial statements for a description of our other contingencies.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In October 2009, an update was issued to </w:t>
      </w:r>
      <w:r>
        <w:rPr>
          <w:rFonts w:ascii="Arial" w:cs="Arial" w:eastAsia="Arial" w:hAnsi="Arial"/>
          <w:sz w:val="16"/>
          <w:szCs w:val="16"/>
          <w:i w:val="1"/>
          <w:iCs w:val="1"/>
          <w:color w:val="auto"/>
        </w:rPr>
        <w:t>Certain Arrangements that Include Software Elements</w:t>
      </w:r>
      <w:r>
        <w:rPr>
          <w:rFonts w:ascii="Arial" w:cs="Arial" w:eastAsia="Arial" w:hAnsi="Arial"/>
          <w:sz w:val="16"/>
          <w:szCs w:val="16"/>
          <w:color w:val="auto"/>
        </w:rPr>
        <w:t>. This update removes tangible products from the scope of software revenue guidance and provides guidance on determining whether software deliverables in an arrangement that includes a tangible product are covered by the scope of the software revenue guidance. This update will require the Company to account for many of its multiple element arrangements as non-software transactions and could impact the timing and amounts of revenue recognized. This update is effective for us beginning January 1, 2011, although early adoption is permitted, and adoption can be applied prospectively or retrospectively. We are currently evaluating the effect that implementation of this update will have on our consolidated financial position and results of operations upon adoption.</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In October 2009, an update was issued to the accounting guidance related to the separation criteria used to determine the unit of accounting for multiple element arrangements. This update removes the objective-and-reliable-evidence-of-fair-value criterion from the separation criteria used to determine whether an arrangement involving multiple deliverables contains more than one unit of accounting, replaces references to "fair value" with "selling price" to distinguish from the fair value measurements required under the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guidance, provides a hierarchy that entities must use to estimate the selling price, eliminates the use of the residual method for allocation and expands the ongoing disclosure requirements. This guidance is effective for us beginning January 1, 2011, although early adoption is permitted, and adoption can be applied prospectively or retrospectively. We are currently evaluating the effect that implementation of this update will have, if any, on our consolidated financial position and results of operations upon adoption.</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are exposed to a variety of market risks, including changes in interest rates affecting the return on our investments and foreign currency fluctuations.</w:t>
      </w:r>
    </w:p>
    <w:p>
      <w:pPr>
        <w:spacing w:after="0" w:line="248" w:lineRule="exact"/>
        <w:rPr>
          <w:sz w:val="20"/>
          <w:szCs w:val="20"/>
          <w:color w:val="auto"/>
        </w:rPr>
      </w:pPr>
    </w:p>
    <w:p>
      <w:pPr>
        <w:ind w:right="100" w:firstLine="341"/>
        <w:spacing w:after="0" w:line="287" w:lineRule="auto"/>
        <w:rPr>
          <w:sz w:val="20"/>
          <w:szCs w:val="20"/>
          <w:color w:val="auto"/>
        </w:rPr>
      </w:pPr>
      <w:r>
        <w:rPr>
          <w:rFonts w:ascii="Arial" w:cs="Arial" w:eastAsia="Arial" w:hAnsi="Arial"/>
          <w:sz w:val="16"/>
          <w:szCs w:val="16"/>
          <w:color w:val="auto"/>
        </w:rPr>
        <w:t>At December 31, 2009, our cash, cash equivalents, marketable securities and long-term investments totaled $414.1 million. We maintain an investment portfolio of various holdings, types and maturities which may include money market funds, commercial paper, corporate notes, certificates of deposit and government debt securities. At any time a sharp rise in market interest rates could have a material adverse impact on the fair value of our investment portfolio. Conversely, declines in market interest rates could have a material impact on the interest earnings of our investment portfolio. We do not currently hedge these interest rate exposures. We place our investments with high quality issuers and have policies limiting, among other things, the amount of credit exposure to any one issuer. We seek to limit default risk by purchasing only investment grade securities. We manage potential losses in fair value by investing in relatively short-term investments, thereby allowing us to hold our investments to maturity. A hypothetical movement of plus or minus 50 basis points in market interest rates could affect the value of our investment portfolio by approximately $0.7 million. However, we have the ability to hold our investments until maturity, and therefore do not expect our operating results or cash flows to be affected to any significant degree by the effect of a sudden change in market interest rates on our investment portfolio.</w:t>
      </w:r>
    </w:p>
    <w:p>
      <w:pPr>
        <w:spacing w:after="0" w:line="177"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Based on a hypothetical 10% adverse movement in all foreign currency exchange rates, our revenue would not be materially affected and our net loss would be adversely affected by approximately $0.4 million, although the actual effects may differ materially from the hypothetical analysis.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8940" w:type="dxa"/>
            <w:vAlign w:val="bottom"/>
            <w:gridSpan w:val="9"/>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Report of Independent Registered Public Accounting Firm</w:t>
              </w:r>
            </w:hyperlink>
          </w:p>
        </w:tc>
        <w:tc>
          <w:tcPr>
            <w:tcW w:w="1320" w:type="dxa"/>
            <w:vAlign w:val="bottom"/>
            <w:gridSpan w:val="2"/>
          </w:tcPr>
          <w:p>
            <w:pPr>
              <w:jc w:val="right"/>
              <w:ind w:right="1140"/>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52</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8940" w:type="dxa"/>
            <w:vAlign w:val="bottom"/>
            <w:gridSpan w:val="9"/>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Consolidated Balance Sheets as of December 31, 2009 and 2008</w:t>
              </w:r>
            </w:hyperlink>
          </w:p>
        </w:tc>
        <w:tc>
          <w:tcPr>
            <w:tcW w:w="1320" w:type="dxa"/>
            <w:vAlign w:val="bottom"/>
            <w:gridSpan w:val="2"/>
          </w:tcPr>
          <w:p>
            <w:pPr>
              <w:jc w:val="right"/>
              <w:ind w:right="1140"/>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53</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668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57">
              <w:r>
                <w:rPr>
                  <w:rFonts w:ascii="Arial" w:cs="Arial" w:eastAsia="Arial" w:hAnsi="Arial"/>
                  <w:sz w:val="18"/>
                  <w:szCs w:val="18"/>
                  <w:color w:val="0000EE"/>
                  <w:w w:val="86"/>
                </w:rPr>
                <w:t>Consolidated Statements of Operations for the years ended December 31, 2009, 2008 and 2007</w:t>
              </w:r>
            </w:hyperlink>
          </w:p>
        </w:tc>
        <w:tc>
          <w:tcPr>
            <w:tcW w:w="2260" w:type="dxa"/>
            <w:vAlign w:val="bottom"/>
            <w:gridSpan w:val="3"/>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54</w:t>
              </w:r>
            </w:hyperlink>
          </w:p>
        </w:tc>
        <w:tc>
          <w:tcPr>
            <w:tcW w:w="1140" w:type="dxa"/>
            <w:vAlign w:val="bottom"/>
          </w:tcPr>
          <w:p>
            <w:pPr>
              <w:spacing w:after="0"/>
              <w:rPr>
                <w:sz w:val="24"/>
                <w:szCs w:val="24"/>
                <w:color w:val="auto"/>
              </w:rPr>
            </w:pPr>
          </w:p>
        </w:tc>
      </w:tr>
      <w:tr>
        <w:trPr>
          <w:trHeight w:val="412"/>
        </w:trPr>
        <w:tc>
          <w:tcPr>
            <w:tcW w:w="1160" w:type="dxa"/>
            <w:vAlign w:val="bottom"/>
          </w:tcPr>
          <w:p>
            <w:pPr>
              <w:spacing w:after="0"/>
              <w:rPr>
                <w:sz w:val="24"/>
                <w:szCs w:val="24"/>
                <w:color w:val="auto"/>
              </w:rPr>
            </w:pPr>
          </w:p>
        </w:tc>
        <w:tc>
          <w:tcPr>
            <w:tcW w:w="8940" w:type="dxa"/>
            <w:vAlign w:val="bottom"/>
            <w:gridSpan w:val="9"/>
          </w:tcPr>
          <w:p>
            <w:pPr>
              <w:spacing w:after="0"/>
              <w:rPr>
                <w:rFonts w:ascii="Arial" w:cs="Arial" w:eastAsia="Arial" w:hAnsi="Arial"/>
                <w:sz w:val="18"/>
                <w:szCs w:val="18"/>
                <w:color w:val="0000EE"/>
                <w:w w:val="91"/>
              </w:rPr>
            </w:pPr>
            <w:hyperlink w:anchor="page58">
              <w:r>
                <w:rPr>
                  <w:rFonts w:ascii="Arial" w:cs="Arial" w:eastAsia="Arial" w:hAnsi="Arial"/>
                  <w:sz w:val="18"/>
                  <w:szCs w:val="18"/>
                  <w:color w:val="0000EE"/>
                  <w:w w:val="91"/>
                </w:rPr>
                <w:t>Consolidated Statements of Changes in Stockholders' Equity and Comprehensive Loss for the years ended December 31,</w:t>
              </w:r>
            </w:hyperlink>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w:anchor="page58">
              <w:r>
                <w:rPr>
                  <w:rFonts w:ascii="Arial" w:cs="Arial" w:eastAsia="Arial" w:hAnsi="Arial"/>
                  <w:sz w:val="18"/>
                  <w:szCs w:val="18"/>
                  <w:color w:val="0000EE"/>
                  <w:w w:val="86"/>
                </w:rPr>
                <w:t>2009, 2008 and 2007</w:t>
              </w:r>
            </w:hyperlink>
          </w:p>
        </w:tc>
        <w:tc>
          <w:tcPr>
            <w:tcW w:w="6820" w:type="dxa"/>
            <w:vAlign w:val="bottom"/>
            <w:tcBorders>
              <w:top w:val="single" w:sz="8" w:color="0000EE"/>
            </w:tcBorders>
            <w:gridSpan w:val="6"/>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55</w:t>
              </w:r>
            </w:hyperlink>
          </w:p>
        </w:tc>
        <w:tc>
          <w:tcPr>
            <w:tcW w:w="1140" w:type="dxa"/>
            <w:vAlign w:val="bottom"/>
          </w:tcPr>
          <w:p>
            <w:pPr>
              <w:spacing w:after="0"/>
              <w:rPr>
                <w:sz w:val="17"/>
                <w:szCs w:val="17"/>
                <w:color w:val="auto"/>
              </w:rPr>
            </w:pPr>
          </w:p>
        </w:tc>
      </w:tr>
      <w:tr>
        <w:trPr>
          <w:trHeight w:val="412"/>
        </w:trPr>
        <w:tc>
          <w:tcPr>
            <w:tcW w:w="1160" w:type="dxa"/>
            <w:vAlign w:val="bottom"/>
          </w:tcPr>
          <w:p>
            <w:pPr>
              <w:spacing w:after="0"/>
              <w:rPr>
                <w:sz w:val="24"/>
                <w:szCs w:val="24"/>
                <w:color w:val="auto"/>
              </w:rPr>
            </w:pPr>
          </w:p>
        </w:tc>
        <w:tc>
          <w:tcPr>
            <w:tcW w:w="8940" w:type="dxa"/>
            <w:vAlign w:val="bottom"/>
            <w:gridSpan w:val="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Consolidated Statements of Cash Flows for the years ended December 31, 2009, 2008 and 2007</w:t>
              </w:r>
            </w:hyperlink>
          </w:p>
        </w:tc>
        <w:tc>
          <w:tcPr>
            <w:tcW w:w="1320" w:type="dxa"/>
            <w:vAlign w:val="bottom"/>
            <w:gridSpan w:val="2"/>
          </w:tcPr>
          <w:p>
            <w:pPr>
              <w:jc w:val="right"/>
              <w:ind w:right="1140"/>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56</w:t>
              </w:r>
            </w:hyperlink>
          </w:p>
        </w:tc>
      </w:tr>
      <w:tr>
        <w:trPr>
          <w:trHeight w:val="412"/>
        </w:trPr>
        <w:tc>
          <w:tcPr>
            <w:tcW w:w="1160" w:type="dxa"/>
            <w:vAlign w:val="bottom"/>
          </w:tcPr>
          <w:p>
            <w:pPr>
              <w:spacing w:after="0"/>
              <w:rPr>
                <w:sz w:val="24"/>
                <w:szCs w:val="24"/>
                <w:color w:val="auto"/>
              </w:rPr>
            </w:pPr>
          </w:p>
        </w:tc>
        <w:tc>
          <w:tcPr>
            <w:tcW w:w="6720" w:type="dxa"/>
            <w:vAlign w:val="bottom"/>
            <w:tcBorders>
              <w:top w:val="single" w:sz="8" w:color="0000EE"/>
            </w:tcBorders>
            <w:gridSpan w:val="7"/>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Notes to Consolidated Financial Statements</w:t>
              </w:r>
            </w:hyperlink>
          </w:p>
        </w:tc>
        <w:tc>
          <w:tcPr>
            <w:tcW w:w="2220" w:type="dxa"/>
            <w:vAlign w:val="bottom"/>
            <w:gridSpan w:val="2"/>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57</w:t>
              </w:r>
            </w:hyperlink>
          </w:p>
        </w:tc>
        <w:tc>
          <w:tcPr>
            <w:tcW w:w="1140" w:type="dxa"/>
            <w:vAlign w:val="bottom"/>
          </w:tcPr>
          <w:p>
            <w:pPr>
              <w:spacing w:after="0"/>
              <w:rPr>
                <w:sz w:val="24"/>
                <w:szCs w:val="24"/>
                <w:color w:val="auto"/>
              </w:rPr>
            </w:pPr>
          </w:p>
        </w:tc>
      </w:tr>
      <w:tr>
        <w:trPr>
          <w:trHeight w:val="451"/>
        </w:trPr>
        <w:tc>
          <w:tcPr>
            <w:tcW w:w="1160" w:type="dxa"/>
            <w:vAlign w:val="bottom"/>
          </w:tcPr>
          <w:p>
            <w:pPr>
              <w:spacing w:after="0"/>
              <w:rPr>
                <w:sz w:val="24"/>
                <w:szCs w:val="24"/>
                <w:color w:val="auto"/>
              </w:rPr>
            </w:pPr>
          </w:p>
        </w:tc>
        <w:tc>
          <w:tcPr>
            <w:tcW w:w="3060" w:type="dxa"/>
            <w:vAlign w:val="bottom"/>
            <w:tcBorders>
              <w:top w:val="single" w:sz="8" w:color="0000EE"/>
            </w:tcBorders>
            <w:gridSpan w:val="3"/>
          </w:tcPr>
          <w:p>
            <w:pPr>
              <w:spacing w:after="0"/>
              <w:rPr>
                <w:sz w:val="24"/>
                <w:szCs w:val="24"/>
                <w:color w:val="auto"/>
              </w:rPr>
            </w:pPr>
          </w:p>
        </w:tc>
        <w:tc>
          <w:tcPr>
            <w:tcW w:w="3620" w:type="dxa"/>
            <w:vAlign w:val="bottom"/>
            <w:gridSpan w:val="3"/>
          </w:tcPr>
          <w:p>
            <w:pPr>
              <w:jc w:val="right"/>
              <w:ind w:right="204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Sonus Networks,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Westford, Massachusetts</w:t>
      </w:r>
    </w:p>
    <w:p>
      <w:pPr>
        <w:spacing w:after="0" w:line="219"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have audited the accompanying consolidated balance sheets of Sonus Networks, Inc. and subsidiaries (the "Company") as of December 31, 2009 and 2008, and the related consolidated statements of operations, stockholders' equity and comprehensive loss, and cash flows for each of the three years in the period ended December 31, 2009. These financial statements are the responsibility of the Company's management. Our responsibility is to express an opinion on the financial statements based on our audits.</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Sonus Networks, Inc. and subsidiaries as of December 31, 2009 and 2008, and the results of their operations and their cash flows for each of the three years in the period ended December 31, 2009, in conformity with accounting principles generally accepted in the United States of America.</w:t>
      </w:r>
    </w:p>
    <w:p>
      <w:pPr>
        <w:spacing w:after="0" w:line="194"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2009,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February 25, 2010 expressed an unqualified opinion on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2010</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(in thousands, except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67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125,323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239,223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180,786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Arial" w:cs="Arial" w:eastAsia="Arial" w:hAnsi="Arial"/>
                <w:sz w:val="18"/>
                <w:szCs w:val="18"/>
                <w:color w:val="auto"/>
              </w:rPr>
              <w:t>Inventory,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21,925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tcPr>
          <w:p>
            <w:pPr>
              <w:ind w:left="12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17,508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14,937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452,539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7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14,646</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17,852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5,053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540,737</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535,585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67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19,292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28,231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litigation settlements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Arial" w:cs="Arial" w:eastAsia="Arial" w:hAnsi="Arial"/>
                <w:sz w:val="18"/>
                <w:szCs w:val="18"/>
                <w:color w:val="auto"/>
              </w:rPr>
              <w:t>Current portion of deferred revenue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74,748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40,962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liabilities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00" w:type="dxa"/>
            <w:vAlign w:val="bottom"/>
            <w:vMerge w:val="restart"/>
          </w:tcPr>
          <w:p>
            <w:pPr>
              <w:ind w:left="26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100,130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89,294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25,242</w:t>
            </w: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37,991</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Long-term liabilities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126,499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20" w:type="dxa"/>
            <w:vAlign w:val="bottom"/>
            <w:gridSpan w:val="2"/>
            <w:vMerge w:val="restart"/>
          </w:tcPr>
          <w:p>
            <w:pPr>
              <w:spacing w:after="0"/>
              <w:rPr>
                <w:sz w:val="20"/>
                <w:szCs w:val="20"/>
                <w:color w:val="auto"/>
              </w:rPr>
            </w:pPr>
            <w:r>
              <w:rPr>
                <w:rFonts w:ascii="Arial" w:cs="Arial" w:eastAsia="Arial" w:hAnsi="Arial"/>
                <w:sz w:val="18"/>
                <w:szCs w:val="18"/>
                <w:color w:val="auto"/>
              </w:rPr>
              <w:t>Commitments and contingencies (Note 22)</w:t>
            </w: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67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Arial" w:cs="Arial" w:eastAsia="Arial" w:hAnsi="Arial"/>
                <w:sz w:val="18"/>
                <w:szCs w:val="18"/>
                <w:color w:val="auto"/>
                <w:w w:val="89"/>
              </w:rPr>
              <w:t>Preferred stock, $0.01 par value; 5,000,000 shares authorized, none issued and outstanding</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Common stock, $0.001 par value; 600,000,000 shares authorized; 276,792,897 and</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275,133,894 shares issued; 274,495,987 and 272,836,984 shares outstanding at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December 31, 2009 and 2008, respectively</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1,286,326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1,272,952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(878,810)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6,712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Treasury stock, at cost; 2,296,910 common shares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00" w:type="dxa"/>
            <w:vAlign w:val="bottom"/>
            <w:vMerge w:val="restart"/>
          </w:tcPr>
          <w:p>
            <w:pPr>
              <w:ind w:left="400"/>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414,238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406,435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540,737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81"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11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Product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$ 136,276</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203,387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225,644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109,758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20" w:type="dxa"/>
            <w:vAlign w:val="bottom"/>
            <w:vMerge w:val="restart"/>
          </w:tcPr>
          <w:p>
            <w:pPr>
              <w:ind w:left="24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227,496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313,145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319,415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Product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38,893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74,274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90,976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20" w:type="dxa"/>
            <w:vAlign w:val="bottom"/>
            <w:vMerge w:val="restart"/>
          </w:tcPr>
          <w:p>
            <w:pPr>
              <w:ind w:left="240"/>
              <w:spacing w:after="0"/>
              <w:rPr>
                <w:sz w:val="20"/>
                <w:szCs w:val="20"/>
                <w:color w:val="auto"/>
              </w:rPr>
            </w:pPr>
            <w:r>
              <w:rPr>
                <w:rFonts w:ascii="Arial" w:cs="Arial" w:eastAsia="Arial" w:hAnsi="Arial"/>
                <w:sz w:val="18"/>
                <w:szCs w:val="18"/>
                <w:color w:val="auto"/>
              </w:rPr>
              <w:t>Total cost of revenue</w:t>
            </w: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83,360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130,294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128,489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144,136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182,851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190,926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48,929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74,364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81,602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Litigation settlements, net of insurance recovery</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19,100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24,672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of intangible assets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Restructuring</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3,510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155,520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232,036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241,824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34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(11,384)</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(49,185)</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(50,898)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18,393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Loss from continuing operations before income taxes</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34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(36,475)</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(31,601)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(79,675)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Loss from continuing operations</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34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(4,932)</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(116,150)</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(23,127)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 of $0, $969 and $466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Loss on disposal of discontinued operations, net of tax of $0</w:t>
            </w: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(741)</w:t>
            </w: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(121,382)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(24,213)</w:t>
            </w:r>
          </w:p>
        </w:tc>
        <w:tc>
          <w:tcPr>
            <w:tcW w:w="0" w:type="dxa"/>
            <w:vAlign w:val="bottom"/>
          </w:tcPr>
          <w:p>
            <w:pPr>
              <w:spacing w:after="0"/>
              <w:rPr>
                <w:sz w:val="1"/>
                <w:szCs w:val="1"/>
                <w:color w:val="auto"/>
              </w:rPr>
            </w:pPr>
          </w:p>
        </w:tc>
      </w:tr>
      <w:tr>
        <w:trPr>
          <w:trHeight w:val="27"/>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Loss per share</w:t>
            </w: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40"/>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(0.43)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Discontinued operations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40"/>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(0.43)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Discontinued operations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Shares used to compute loss per share:</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273,730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271,477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262,924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273,730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271,477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262,924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7" w:name="page58"/>
    <w:bookmarkEnd w:id="57"/>
    <w:p>
      <w:pPr>
        <w:spacing w:after="0" w:line="86"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SONUS NETWORKS, INC.</w:t>
      </w:r>
    </w:p>
    <w:p>
      <w:pPr>
        <w:spacing w:after="0" w:line="21"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Stockholders' Equity and Comprehensive Loss</w:t>
      </w:r>
    </w:p>
    <w:p>
      <w:pPr>
        <w:spacing w:after="0" w:line="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(in thousands, except share data)</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40" w:type="dxa"/>
            <w:vAlign w:val="bottom"/>
            <w:gridSpan w:val="5"/>
            <w:vMerge w:val="restart"/>
          </w:tcPr>
          <w:p>
            <w:pPr>
              <w:jc w:val="right"/>
              <w:ind w:right="212"/>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Accumulated</w:t>
            </w:r>
          </w:p>
        </w:tc>
        <w:tc>
          <w:tcPr>
            <w:tcW w:w="122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w w:val="96"/>
              </w:rPr>
              <w:t>Treasury Stock</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40" w:type="dxa"/>
            <w:vAlign w:val="bottom"/>
            <w:gridSpan w:val="5"/>
            <w:vMerge w:val="continue"/>
          </w:tcPr>
          <w:p>
            <w:pPr>
              <w:spacing w:after="0"/>
              <w:rPr>
                <w:sz w:val="12"/>
                <w:szCs w:val="12"/>
                <w:color w:val="auto"/>
              </w:rPr>
            </w:pPr>
          </w:p>
        </w:tc>
        <w:tc>
          <w:tcPr>
            <w:tcW w:w="880" w:type="dxa"/>
            <w:vAlign w:val="bottom"/>
            <w:gridSpan w:val="3"/>
          </w:tcPr>
          <w:p>
            <w:pPr>
              <w:jc w:val="right"/>
              <w:ind w:right="100"/>
              <w:spacing w:after="0" w:line="148"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90"/>
              </w:rPr>
              <w:t>Other</w:t>
            </w:r>
          </w:p>
        </w:tc>
        <w:tc>
          <w:tcPr>
            <w:tcW w:w="122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3"/>
              </w:rPr>
              <w:t>Total</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112"/>
              <w:spacing w:after="0" w:line="129" w:lineRule="exact"/>
              <w:rPr>
                <w:sz w:val="20"/>
                <w:szCs w:val="20"/>
                <w:color w:val="auto"/>
              </w:rPr>
            </w:pPr>
            <w:r>
              <w:rPr>
                <w:rFonts w:ascii="Arial" w:cs="Arial" w:eastAsia="Arial" w:hAnsi="Arial"/>
                <w:sz w:val="14"/>
                <w:szCs w:val="14"/>
                <w:b w:val="1"/>
                <w:bCs w:val="1"/>
                <w:color w:val="auto"/>
              </w:rPr>
              <w:t>Par</w:t>
            </w:r>
          </w:p>
        </w:tc>
        <w:tc>
          <w:tcPr>
            <w:tcW w:w="160" w:type="dxa"/>
            <w:vAlign w:val="bottom"/>
          </w:tcPr>
          <w:p>
            <w:pPr>
              <w:spacing w:after="0"/>
              <w:rPr>
                <w:sz w:val="11"/>
                <w:szCs w:val="11"/>
                <w:color w:val="auto"/>
              </w:rPr>
            </w:pPr>
          </w:p>
        </w:tc>
        <w:tc>
          <w:tcPr>
            <w:tcW w:w="72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Paid-in</w:t>
            </w:r>
          </w:p>
        </w:tc>
        <w:tc>
          <w:tcPr>
            <w:tcW w:w="940" w:type="dxa"/>
            <w:vAlign w:val="bottom"/>
            <w:gridSpan w:val="4"/>
          </w:tcPr>
          <w:p>
            <w:pPr>
              <w:jc w:val="right"/>
              <w:ind w:right="120"/>
              <w:spacing w:after="0" w:line="129" w:lineRule="exact"/>
              <w:rPr>
                <w:sz w:val="20"/>
                <w:szCs w:val="20"/>
                <w:color w:val="auto"/>
              </w:rPr>
            </w:pPr>
            <w:r>
              <w:rPr>
                <w:rFonts w:ascii="Arial" w:cs="Arial" w:eastAsia="Arial" w:hAnsi="Arial"/>
                <w:sz w:val="14"/>
                <w:szCs w:val="14"/>
                <w:b w:val="1"/>
                <w:bCs w:val="1"/>
                <w:color w:val="auto"/>
                <w:w w:val="90"/>
              </w:rPr>
              <w:t>Accumulated</w:t>
            </w:r>
          </w:p>
        </w:tc>
        <w:tc>
          <w:tcPr>
            <w:tcW w:w="1120" w:type="dxa"/>
            <w:vAlign w:val="bottom"/>
            <w:gridSpan w:val="4"/>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6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4"/>
          </w:tcPr>
          <w:p>
            <w:pPr>
              <w:jc w:val="center"/>
              <w:ind w:right="40"/>
              <w:spacing w:after="0" w:line="129" w:lineRule="exact"/>
              <w:rPr>
                <w:sz w:val="20"/>
                <w:szCs w:val="20"/>
                <w:color w:val="auto"/>
              </w:rPr>
            </w:pPr>
            <w:r>
              <w:rPr>
                <w:rFonts w:ascii="Arial" w:cs="Arial" w:eastAsia="Arial" w:hAnsi="Arial"/>
                <w:sz w:val="14"/>
                <w:szCs w:val="14"/>
                <w:b w:val="1"/>
                <w:bCs w:val="1"/>
                <w:color w:val="auto"/>
                <w:w w:val="86"/>
              </w:rPr>
              <w:t>Stockholders'</w:t>
            </w:r>
          </w:p>
        </w:tc>
        <w:tc>
          <w:tcPr>
            <w:tcW w:w="1140" w:type="dxa"/>
            <w:vAlign w:val="bottom"/>
            <w:gridSpan w:val="4"/>
          </w:tcPr>
          <w:p>
            <w:pPr>
              <w:jc w:val="right"/>
              <w:ind w:right="180"/>
              <w:spacing w:after="0" w:line="12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Deficit</w:t>
            </w:r>
          </w:p>
        </w:tc>
        <w:tc>
          <w:tcPr>
            <w:tcW w:w="60" w:type="dxa"/>
            <w:vAlign w:val="bottom"/>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Income (Loss)</w:t>
            </w:r>
          </w:p>
        </w:tc>
        <w:tc>
          <w:tcPr>
            <w:tcW w:w="600" w:type="dxa"/>
            <w:vAlign w:val="bottom"/>
          </w:tcPr>
          <w:p>
            <w:pPr>
              <w:jc w:val="right"/>
              <w:ind w:right="52"/>
              <w:spacing w:after="0"/>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Cost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Equity</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7"/>
              </w:rPr>
              <w:t>Loss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January 1,</w:t>
            </w: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2007</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262,065,332</w:t>
            </w:r>
          </w:p>
        </w:tc>
        <w:tc>
          <w:tcPr>
            <w:tcW w:w="1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$1,160,853</w:t>
            </w:r>
          </w:p>
        </w:tc>
        <w:tc>
          <w:tcPr>
            <w:tcW w:w="1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(728,233)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(82)</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2,296,910</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 (267)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432,533</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40" w:type="dxa"/>
            <w:vAlign w:val="bottom"/>
          </w:tcPr>
          <w:p>
            <w:pPr>
              <w:spacing w:after="0" w:line="138" w:lineRule="exact"/>
              <w:rPr>
                <w:sz w:val="20"/>
                <w:szCs w:val="20"/>
                <w:color w:val="auto"/>
              </w:rPr>
            </w:pPr>
            <w:r>
              <w:rPr>
                <w:rFonts w:ascii="Arial" w:cs="Arial" w:eastAsia="Arial" w:hAnsi="Arial"/>
                <w:sz w:val="14"/>
                <w:szCs w:val="14"/>
                <w:color w:val="auto"/>
              </w:rPr>
              <w:t>Adjustment related to</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ind w:left="100"/>
              <w:spacing w:after="0" w:line="149" w:lineRule="exact"/>
              <w:rPr>
                <w:sz w:val="20"/>
                <w:szCs w:val="20"/>
                <w:color w:val="auto"/>
              </w:rPr>
            </w:pPr>
            <w:r>
              <w:rPr>
                <w:rFonts w:ascii="Arial" w:cs="Arial" w:eastAsia="Arial" w:hAnsi="Arial"/>
                <w:sz w:val="14"/>
                <w:szCs w:val="14"/>
                <w:color w:val="auto"/>
              </w:rPr>
              <w:t>January 1, 2007</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ind w:left="100"/>
              <w:spacing w:after="0" w:line="149" w:lineRule="exact"/>
              <w:rPr>
                <w:sz w:val="20"/>
                <w:szCs w:val="20"/>
                <w:color w:val="auto"/>
              </w:rPr>
            </w:pPr>
            <w:r>
              <w:rPr>
                <w:rFonts w:ascii="Arial" w:cs="Arial" w:eastAsia="Arial" w:hAnsi="Arial"/>
                <w:sz w:val="14"/>
                <w:szCs w:val="14"/>
                <w:color w:val="auto"/>
              </w:rPr>
              <w:t>adoption of accounting</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ind w:left="100"/>
              <w:spacing w:after="0" w:line="149" w:lineRule="exact"/>
              <w:rPr>
                <w:sz w:val="20"/>
                <w:szCs w:val="20"/>
                <w:color w:val="auto"/>
              </w:rPr>
            </w:pPr>
            <w:r>
              <w:rPr>
                <w:rFonts w:ascii="Arial" w:cs="Arial" w:eastAsia="Arial" w:hAnsi="Arial"/>
                <w:sz w:val="14"/>
                <w:szCs w:val="14"/>
                <w:color w:val="auto"/>
              </w:rPr>
              <w:t>for uncertain tax</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tcPr>
          <w:p>
            <w:pPr>
              <w:ind w:left="100"/>
              <w:spacing w:after="0" w:line="159" w:lineRule="exact"/>
              <w:rPr>
                <w:sz w:val="20"/>
                <w:szCs w:val="20"/>
                <w:color w:val="auto"/>
              </w:rPr>
            </w:pPr>
            <w:r>
              <w:rPr>
                <w:rFonts w:ascii="Arial" w:cs="Arial" w:eastAsia="Arial" w:hAnsi="Arial"/>
                <w:sz w:val="14"/>
                <w:szCs w:val="14"/>
                <w:color w:val="auto"/>
              </w:rPr>
              <w:t>positions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(50)</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(50)</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common</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in connection</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with employee stock</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purchase plan</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1,375,668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5,611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5,613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Arial" w:cs="Arial" w:eastAsia="Arial" w:hAnsi="Arial"/>
                <w:sz w:val="14"/>
                <w:szCs w:val="14"/>
                <w:color w:val="auto"/>
                <w:w w:val="98"/>
              </w:rPr>
              <w:t>Exercise of stock options</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9,063,463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39,539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39,548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Vesting of restricted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stock</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92,500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40" w:type="dxa"/>
            <w:vAlign w:val="bottom"/>
          </w:tcPr>
          <w:p>
            <w:pPr>
              <w:spacing w:after="0" w:line="138" w:lineRule="exact"/>
              <w:rPr>
                <w:sz w:val="20"/>
                <w:szCs w:val="20"/>
                <w:color w:val="auto"/>
              </w:rPr>
            </w:pPr>
            <w:r>
              <w:rPr>
                <w:rFonts w:ascii="Arial" w:cs="Arial" w:eastAsia="Arial" w:hAnsi="Arial"/>
                <w:sz w:val="14"/>
                <w:szCs w:val="14"/>
                <w:color w:val="auto"/>
                <w:w w:val="96"/>
              </w:rPr>
              <w:t>Shares of restricted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ind w:left="100"/>
              <w:spacing w:after="0" w:line="149" w:lineRule="exact"/>
              <w:rPr>
                <w:sz w:val="20"/>
                <w:szCs w:val="20"/>
                <w:color w:val="auto"/>
              </w:rPr>
            </w:pPr>
            <w:r>
              <w:rPr>
                <w:rFonts w:ascii="Arial" w:cs="Arial" w:eastAsia="Arial" w:hAnsi="Arial"/>
                <w:sz w:val="14"/>
                <w:szCs w:val="14"/>
                <w:color w:val="auto"/>
              </w:rPr>
              <w:t>returned to the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ind w:left="100"/>
              <w:spacing w:after="0" w:line="149" w:lineRule="exact"/>
              <w:rPr>
                <w:sz w:val="20"/>
                <w:szCs w:val="20"/>
                <w:color w:val="auto"/>
              </w:rPr>
            </w:pPr>
            <w:r>
              <w:rPr>
                <w:rFonts w:ascii="Arial" w:cs="Arial" w:eastAsia="Arial" w:hAnsi="Arial"/>
                <w:sz w:val="14"/>
                <w:szCs w:val="14"/>
                <w:color w:val="auto"/>
              </w:rPr>
              <w:t>Company under net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ind w:left="100"/>
              <w:spacing w:after="0" w:line="149" w:lineRule="exact"/>
              <w:rPr>
                <w:sz w:val="20"/>
                <w:szCs w:val="20"/>
                <w:color w:val="auto"/>
              </w:rPr>
            </w:pPr>
            <w:r>
              <w:rPr>
                <w:rFonts w:ascii="Arial" w:cs="Arial" w:eastAsia="Arial" w:hAnsi="Arial"/>
                <w:sz w:val="14"/>
                <w:szCs w:val="14"/>
                <w:color w:val="auto"/>
              </w:rPr>
              <w:t>share settlements to</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ind w:left="100"/>
              <w:spacing w:after="0" w:line="149" w:lineRule="exact"/>
              <w:rPr>
                <w:sz w:val="20"/>
                <w:szCs w:val="20"/>
                <w:color w:val="auto"/>
              </w:rPr>
            </w:pPr>
            <w:r>
              <w:rPr>
                <w:rFonts w:ascii="Arial" w:cs="Arial" w:eastAsia="Arial" w:hAnsi="Arial"/>
                <w:sz w:val="14"/>
                <w:szCs w:val="14"/>
                <w:color w:val="auto"/>
              </w:rPr>
              <w:t>satisfy tax withholding</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tcPr>
          <w:p>
            <w:pPr>
              <w:ind w:left="100"/>
              <w:spacing w:after="0" w:line="159" w:lineRule="exact"/>
              <w:rPr>
                <w:sz w:val="20"/>
                <w:szCs w:val="20"/>
                <w:color w:val="auto"/>
              </w:rPr>
            </w:pPr>
            <w:r>
              <w:rPr>
                <w:rFonts w:ascii="Arial" w:cs="Arial" w:eastAsia="Arial" w:hAnsi="Arial"/>
                <w:sz w:val="14"/>
                <w:szCs w:val="14"/>
                <w:color w:val="auto"/>
              </w:rPr>
              <w:t>obligations</w:t>
            </w: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(31,012)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(210)</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(210)</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Stock-based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w w:val="98"/>
              </w:rPr>
              <w:t>compensation expense</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42,642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42,642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40" w:type="dxa"/>
            <w:vAlign w:val="bottom"/>
          </w:tcPr>
          <w:p>
            <w:pPr>
              <w:spacing w:after="0" w:line="138" w:lineRule="exact"/>
              <w:rPr>
                <w:sz w:val="20"/>
                <w:szCs w:val="20"/>
                <w:color w:val="auto"/>
              </w:rPr>
            </w:pPr>
            <w:r>
              <w:rPr>
                <w:rFonts w:ascii="Arial" w:cs="Arial" w:eastAsia="Arial" w:hAnsi="Arial"/>
                <w:sz w:val="14"/>
                <w:szCs w:val="14"/>
                <w:color w:val="auto"/>
              </w:rPr>
              <w:t>Modifications of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ind w:left="100"/>
              <w:spacing w:after="0" w:line="149" w:lineRule="exact"/>
              <w:rPr>
                <w:sz w:val="20"/>
                <w:szCs w:val="20"/>
                <w:color w:val="auto"/>
              </w:rPr>
            </w:pPr>
            <w:r>
              <w:rPr>
                <w:rFonts w:ascii="Arial" w:cs="Arial" w:eastAsia="Arial" w:hAnsi="Arial"/>
                <w:sz w:val="14"/>
                <w:szCs w:val="14"/>
                <w:color w:val="auto"/>
              </w:rPr>
              <w:t>options—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ind w:left="100"/>
              <w:spacing w:after="0" w:line="149" w:lineRule="exact"/>
              <w:rPr>
                <w:sz w:val="20"/>
                <w:szCs w:val="20"/>
                <w:color w:val="auto"/>
              </w:rPr>
            </w:pPr>
            <w:r>
              <w:rPr>
                <w:rFonts w:ascii="Arial" w:cs="Arial" w:eastAsia="Arial" w:hAnsi="Arial"/>
                <w:sz w:val="14"/>
                <w:szCs w:val="14"/>
                <w:color w:val="auto"/>
              </w:rPr>
              <w:t>reclassification from</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ind w:left="100"/>
              <w:spacing w:after="0" w:line="149" w:lineRule="exact"/>
              <w:rPr>
                <w:sz w:val="20"/>
                <w:szCs w:val="20"/>
                <w:color w:val="auto"/>
              </w:rPr>
            </w:pPr>
            <w:r>
              <w:rPr>
                <w:rFonts w:ascii="Arial" w:cs="Arial" w:eastAsia="Arial" w:hAnsi="Arial"/>
                <w:sz w:val="14"/>
                <w:szCs w:val="14"/>
                <w:color w:val="auto"/>
              </w:rPr>
              <w:t>equity to liability</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tcPr>
          <w:p>
            <w:pPr>
              <w:ind w:left="100"/>
              <w:spacing w:after="0" w:line="159" w:lineRule="exact"/>
              <w:rPr>
                <w:sz w:val="20"/>
                <w:szCs w:val="20"/>
                <w:color w:val="auto"/>
              </w:rPr>
            </w:pPr>
            <w:r>
              <w:rPr>
                <w:rFonts w:ascii="Arial" w:cs="Arial" w:eastAsia="Arial" w:hAnsi="Arial"/>
                <w:sz w:val="14"/>
                <w:szCs w:val="14"/>
                <w:color w:val="auto"/>
              </w:rPr>
              <w:t>awards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(1,255)</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(1,255)</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Settlement of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options—liability</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awards</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1,231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1,231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40" w:type="dxa"/>
            <w:vAlign w:val="bottom"/>
          </w:tcPr>
          <w:p>
            <w:pPr>
              <w:spacing w:after="0" w:line="138" w:lineRule="exact"/>
              <w:rPr>
                <w:sz w:val="20"/>
                <w:szCs w:val="20"/>
                <w:color w:val="auto"/>
              </w:rPr>
            </w:pPr>
            <w:r>
              <w:rPr>
                <w:rFonts w:ascii="Arial" w:cs="Arial" w:eastAsia="Arial" w:hAnsi="Arial"/>
                <w:sz w:val="14"/>
                <w:szCs w:val="14"/>
                <w:color w:val="auto"/>
                <w:w w:val="99"/>
              </w:rPr>
              <w:t>Stock option tender offer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ind w:left="100"/>
              <w:spacing w:after="0" w:line="149" w:lineRule="exact"/>
              <w:rPr>
                <w:sz w:val="20"/>
                <w:szCs w:val="20"/>
                <w:color w:val="auto"/>
              </w:rPr>
            </w:pPr>
            <w:r>
              <w:rPr>
                <w:rFonts w:ascii="Arial" w:cs="Arial" w:eastAsia="Arial" w:hAnsi="Arial"/>
                <w:sz w:val="14"/>
                <w:szCs w:val="14"/>
                <w:color w:val="auto"/>
              </w:rPr>
              <w:t>—reduction of equity</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ind w:left="100"/>
              <w:spacing w:after="0" w:line="149" w:lineRule="exact"/>
              <w:rPr>
                <w:sz w:val="20"/>
                <w:szCs w:val="20"/>
                <w:color w:val="auto"/>
              </w:rPr>
            </w:pPr>
            <w:r>
              <w:rPr>
                <w:rFonts w:ascii="Arial" w:cs="Arial" w:eastAsia="Arial" w:hAnsi="Arial"/>
                <w:sz w:val="14"/>
                <w:szCs w:val="14"/>
                <w:color w:val="auto"/>
              </w:rPr>
              <w:t>to establish tender</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tcPr>
          <w:p>
            <w:pPr>
              <w:ind w:left="100"/>
              <w:spacing w:after="0" w:line="159" w:lineRule="exact"/>
              <w:rPr>
                <w:sz w:val="20"/>
                <w:szCs w:val="20"/>
                <w:color w:val="auto"/>
              </w:rPr>
            </w:pPr>
            <w:r>
              <w:rPr>
                <w:rFonts w:ascii="Arial" w:cs="Arial" w:eastAsia="Arial" w:hAnsi="Arial"/>
                <w:sz w:val="14"/>
                <w:szCs w:val="14"/>
                <w:color w:val="auto"/>
              </w:rPr>
              <w:t>offer liability</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(3,485)</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(3,485)</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Currency translation</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adjustment</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1,350</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1,350</w:t>
            </w:r>
          </w:p>
        </w:tc>
        <w:tc>
          <w:tcPr>
            <w:tcW w:w="1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1,350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4"/>
                <w:szCs w:val="14"/>
                <w:color w:val="auto"/>
              </w:rPr>
              <w:t>Net loss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(24,213)</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(24,213)</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(24,213)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shd w:val="clear" w:color="auto" w:fill="CCEEFF"/>
          </w:tcPr>
          <w:p>
            <w:pPr>
              <w:spacing w:after="0" w:line="133" w:lineRule="exact"/>
              <w:rPr>
                <w:sz w:val="20"/>
                <w:szCs w:val="20"/>
                <w:color w:val="auto"/>
              </w:rPr>
            </w:pPr>
            <w:r>
              <w:rPr>
                <w:rFonts w:ascii="Arial" w:cs="Arial" w:eastAsia="Arial" w:hAnsi="Arial"/>
                <w:sz w:val="14"/>
                <w:szCs w:val="14"/>
                <w:color w:val="auto"/>
              </w:rPr>
              <w:t>Comprehensive loss for</w:t>
            </w: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the year ended</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December 31, 2007</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(22,863)</w:t>
            </w:r>
          </w:p>
        </w:tc>
        <w:tc>
          <w:tcPr>
            <w:tcW w:w="0" w:type="dxa"/>
            <w:vAlign w:val="bottom"/>
          </w:tcPr>
          <w:p>
            <w:pPr>
              <w:spacing w:after="0"/>
              <w:rPr>
                <w:sz w:val="1"/>
                <w:szCs w:val="1"/>
                <w:color w:val="auto"/>
              </w:rPr>
            </w:pPr>
          </w:p>
        </w:tc>
      </w:tr>
      <w:tr>
        <w:trPr>
          <w:trHeight w:val="27"/>
        </w:trPr>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December 31,</w:t>
            </w: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60" w:type="dxa"/>
            <w:vAlign w:val="bottom"/>
            <w:gridSpan w:val="2"/>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56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2007</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9"/>
              </w:rPr>
              <w:t>272,565,951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273</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1,244,926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(752,496)</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1,268</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3"/>
              </w:rPr>
              <w:t>2,296,910</w:t>
            </w:r>
          </w:p>
        </w:tc>
        <w:tc>
          <w:tcPr>
            <w:tcW w:w="6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(267)</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493,704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common</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in connection</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with employee stock</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purchase plan</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1,321,328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3,755</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3,755</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Arial" w:cs="Arial" w:eastAsia="Arial" w:hAnsi="Arial"/>
                <w:sz w:val="14"/>
                <w:szCs w:val="14"/>
                <w:color w:val="auto"/>
                <w:w w:val="98"/>
              </w:rPr>
              <w:t>Exercise of stock options</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184,845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437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Vesting of restricted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stock</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1,433,766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40" w:type="dxa"/>
            <w:vAlign w:val="bottom"/>
          </w:tcPr>
          <w:p>
            <w:pPr>
              <w:spacing w:after="0" w:line="138" w:lineRule="exact"/>
              <w:rPr>
                <w:sz w:val="20"/>
                <w:szCs w:val="20"/>
                <w:color w:val="auto"/>
              </w:rPr>
            </w:pPr>
            <w:r>
              <w:rPr>
                <w:rFonts w:ascii="Arial" w:cs="Arial" w:eastAsia="Arial" w:hAnsi="Arial"/>
                <w:sz w:val="14"/>
                <w:szCs w:val="14"/>
                <w:color w:val="auto"/>
                <w:w w:val="96"/>
              </w:rPr>
              <w:t>Shares of restricted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ind w:left="100"/>
              <w:spacing w:after="0" w:line="149" w:lineRule="exact"/>
              <w:rPr>
                <w:sz w:val="20"/>
                <w:szCs w:val="20"/>
                <w:color w:val="auto"/>
              </w:rPr>
            </w:pPr>
            <w:r>
              <w:rPr>
                <w:rFonts w:ascii="Arial" w:cs="Arial" w:eastAsia="Arial" w:hAnsi="Arial"/>
                <w:sz w:val="14"/>
                <w:szCs w:val="14"/>
                <w:color w:val="auto"/>
              </w:rPr>
              <w:t>returned to the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ind w:left="100"/>
              <w:spacing w:after="0" w:line="149" w:lineRule="exact"/>
              <w:rPr>
                <w:sz w:val="20"/>
                <w:szCs w:val="20"/>
                <w:color w:val="auto"/>
              </w:rPr>
            </w:pPr>
            <w:r>
              <w:rPr>
                <w:rFonts w:ascii="Arial" w:cs="Arial" w:eastAsia="Arial" w:hAnsi="Arial"/>
                <w:sz w:val="14"/>
                <w:szCs w:val="14"/>
                <w:color w:val="auto"/>
              </w:rPr>
              <w:t>Company under net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ind w:left="100"/>
              <w:spacing w:after="0" w:line="149" w:lineRule="exact"/>
              <w:rPr>
                <w:sz w:val="20"/>
                <w:szCs w:val="20"/>
                <w:color w:val="auto"/>
              </w:rPr>
            </w:pPr>
            <w:r>
              <w:rPr>
                <w:rFonts w:ascii="Arial" w:cs="Arial" w:eastAsia="Arial" w:hAnsi="Arial"/>
                <w:sz w:val="14"/>
                <w:szCs w:val="14"/>
                <w:color w:val="auto"/>
              </w:rPr>
              <w:t>share settlements to</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ind w:left="100"/>
              <w:spacing w:after="0" w:line="149" w:lineRule="exact"/>
              <w:rPr>
                <w:sz w:val="20"/>
                <w:szCs w:val="20"/>
                <w:color w:val="auto"/>
              </w:rPr>
            </w:pPr>
            <w:r>
              <w:rPr>
                <w:rFonts w:ascii="Arial" w:cs="Arial" w:eastAsia="Arial" w:hAnsi="Arial"/>
                <w:sz w:val="14"/>
                <w:szCs w:val="14"/>
                <w:color w:val="auto"/>
              </w:rPr>
              <w:t>satisfy tax withholding</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tcPr>
          <w:p>
            <w:pPr>
              <w:ind w:left="100"/>
              <w:spacing w:after="0" w:line="159" w:lineRule="exact"/>
              <w:rPr>
                <w:sz w:val="20"/>
                <w:szCs w:val="20"/>
                <w:color w:val="auto"/>
              </w:rPr>
            </w:pPr>
            <w:r>
              <w:rPr>
                <w:rFonts w:ascii="Arial" w:cs="Arial" w:eastAsia="Arial" w:hAnsi="Arial"/>
                <w:sz w:val="14"/>
                <w:szCs w:val="14"/>
                <w:color w:val="auto"/>
              </w:rPr>
              <w:t>obligations</w:t>
            </w: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(546,996)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(1,510)</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(1,510)</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Stock-based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w w:val="98"/>
              </w:rPr>
              <w:t>compensation expense</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25,031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25,031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40" w:type="dxa"/>
            <w:vAlign w:val="bottom"/>
          </w:tcPr>
          <w:p>
            <w:pPr>
              <w:spacing w:after="0" w:line="138" w:lineRule="exact"/>
              <w:rPr>
                <w:sz w:val="20"/>
                <w:szCs w:val="20"/>
                <w:color w:val="auto"/>
              </w:rPr>
            </w:pPr>
            <w:r>
              <w:rPr>
                <w:rFonts w:ascii="Arial" w:cs="Arial" w:eastAsia="Arial" w:hAnsi="Arial"/>
                <w:sz w:val="14"/>
                <w:szCs w:val="14"/>
                <w:color w:val="auto"/>
              </w:rPr>
              <w:t>Issuance of shares in</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ind w:left="100"/>
              <w:spacing w:after="0" w:line="149" w:lineRule="exact"/>
              <w:rPr>
                <w:sz w:val="20"/>
                <w:szCs w:val="20"/>
                <w:color w:val="auto"/>
              </w:rPr>
            </w:pPr>
            <w:r>
              <w:rPr>
                <w:rFonts w:ascii="Arial" w:cs="Arial" w:eastAsia="Arial" w:hAnsi="Arial"/>
                <w:sz w:val="14"/>
                <w:szCs w:val="14"/>
                <w:color w:val="auto"/>
              </w:rPr>
              <w:t>connection with</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ind w:left="100"/>
              <w:spacing w:after="0" w:line="149" w:lineRule="exact"/>
              <w:rPr>
                <w:sz w:val="20"/>
                <w:szCs w:val="20"/>
                <w:color w:val="auto"/>
              </w:rPr>
            </w:pPr>
            <w:r>
              <w:rPr>
                <w:rFonts w:ascii="Arial" w:cs="Arial" w:eastAsia="Arial" w:hAnsi="Arial"/>
                <w:sz w:val="14"/>
                <w:szCs w:val="14"/>
                <w:color w:val="auto"/>
              </w:rPr>
              <w:t>Zynetix earnout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tcPr>
          <w:p>
            <w:pPr>
              <w:ind w:left="100"/>
              <w:spacing w:after="0" w:line="159" w:lineRule="exact"/>
              <w:rPr>
                <w:sz w:val="20"/>
                <w:szCs w:val="20"/>
                <w:color w:val="auto"/>
              </w:rPr>
            </w:pPr>
            <w:r>
              <w:rPr>
                <w:rFonts w:ascii="Arial" w:cs="Arial" w:eastAsia="Arial" w:hAnsi="Arial"/>
                <w:sz w:val="14"/>
                <w:szCs w:val="14"/>
                <w:color w:val="auto"/>
              </w:rPr>
              <w:t>agreement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175,000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313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313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Unrealized gain on</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available-for-sale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marketable securities,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net of tax</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928</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928</w:t>
            </w:r>
          </w:p>
        </w:tc>
        <w:tc>
          <w:tcPr>
            <w:tcW w:w="1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928</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40" w:type="dxa"/>
            <w:vAlign w:val="bottom"/>
          </w:tcPr>
          <w:p>
            <w:pPr>
              <w:spacing w:after="0" w:line="138" w:lineRule="exact"/>
              <w:rPr>
                <w:sz w:val="20"/>
                <w:szCs w:val="20"/>
                <w:color w:val="auto"/>
              </w:rPr>
            </w:pPr>
            <w:r>
              <w:rPr>
                <w:rFonts w:ascii="Arial" w:cs="Arial" w:eastAsia="Arial" w:hAnsi="Arial"/>
                <w:sz w:val="14"/>
                <w:szCs w:val="14"/>
                <w:color w:val="auto"/>
              </w:rPr>
              <w:t>Currency translation</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tcPr>
          <w:p>
            <w:pPr>
              <w:ind w:left="100"/>
              <w:spacing w:after="0" w:line="159" w:lineRule="exact"/>
              <w:rPr>
                <w:sz w:val="20"/>
                <w:szCs w:val="20"/>
                <w:color w:val="auto"/>
              </w:rPr>
            </w:pPr>
            <w:r>
              <w:rPr>
                <w:rFonts w:ascii="Arial" w:cs="Arial" w:eastAsia="Arial" w:hAnsi="Arial"/>
                <w:sz w:val="14"/>
                <w:szCs w:val="14"/>
                <w:color w:val="auto"/>
              </w:rPr>
              <w:t>adjustment</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5,157</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5,157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5,157</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(121,382)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(121,382)</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(121,382)</w:t>
            </w:r>
          </w:p>
        </w:tc>
        <w:tc>
          <w:tcPr>
            <w:tcW w:w="0" w:type="dxa"/>
            <w:vAlign w:val="bottom"/>
          </w:tcPr>
          <w:p>
            <w:pPr>
              <w:spacing w:after="0"/>
              <w:rPr>
                <w:sz w:val="1"/>
                <w:szCs w:val="1"/>
                <w:color w:val="auto"/>
              </w:rPr>
            </w:pPr>
          </w:p>
        </w:tc>
      </w:tr>
      <w:tr>
        <w:trPr>
          <w:trHeight w:val="27"/>
        </w:trPr>
        <w:tc>
          <w:tcPr>
            <w:tcW w:w="1560" w:type="dxa"/>
            <w:vAlign w:val="bottom"/>
            <w:gridSpan w:val="2"/>
            <w:vMerge w:val="restart"/>
          </w:tcPr>
          <w:p>
            <w:pPr>
              <w:spacing w:after="0"/>
              <w:rPr>
                <w:sz w:val="20"/>
                <w:szCs w:val="20"/>
                <w:color w:val="auto"/>
              </w:rPr>
            </w:pPr>
            <w:r>
              <w:rPr>
                <w:rFonts w:ascii="Arial" w:cs="Arial" w:eastAsia="Arial" w:hAnsi="Arial"/>
                <w:sz w:val="14"/>
                <w:szCs w:val="14"/>
                <w:color w:val="auto"/>
              </w:rPr>
              <w:t>Comprehensive loss for</w:t>
            </w: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56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ind w:left="100"/>
              <w:spacing w:after="0" w:line="149" w:lineRule="exact"/>
              <w:rPr>
                <w:sz w:val="20"/>
                <w:szCs w:val="20"/>
                <w:color w:val="auto"/>
              </w:rPr>
            </w:pPr>
            <w:r>
              <w:rPr>
                <w:rFonts w:ascii="Arial" w:cs="Arial" w:eastAsia="Arial" w:hAnsi="Arial"/>
                <w:sz w:val="14"/>
                <w:szCs w:val="14"/>
                <w:color w:val="auto"/>
              </w:rPr>
              <w:t>the year ended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540" w:type="dxa"/>
            <w:vAlign w:val="bottom"/>
          </w:tcPr>
          <w:p>
            <w:pPr>
              <w:ind w:left="100"/>
              <w:spacing w:after="0"/>
              <w:rPr>
                <w:sz w:val="20"/>
                <w:szCs w:val="20"/>
                <w:color w:val="auto"/>
              </w:rPr>
            </w:pPr>
            <w:r>
              <w:rPr>
                <w:rFonts w:ascii="Arial" w:cs="Arial" w:eastAsia="Arial" w:hAnsi="Arial"/>
                <w:sz w:val="14"/>
                <w:szCs w:val="14"/>
                <w:color w:val="auto"/>
              </w:rPr>
              <w:t>December 31, 2008</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(115,297)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1540" w:type="dxa"/>
            <w:vAlign w:val="bottom"/>
            <w:shd w:val="clear" w:color="auto" w:fill="CCEEFF"/>
          </w:tcPr>
          <w:p>
            <w:pPr>
              <w:spacing w:after="0" w:line="123" w:lineRule="exact"/>
              <w:rPr>
                <w:sz w:val="20"/>
                <w:szCs w:val="20"/>
                <w:color w:val="auto"/>
              </w:rPr>
            </w:pPr>
            <w:r>
              <w:rPr>
                <w:rFonts w:ascii="Arial" w:cs="Arial" w:eastAsia="Arial" w:hAnsi="Arial"/>
                <w:sz w:val="14"/>
                <w:szCs w:val="14"/>
                <w:b w:val="1"/>
                <w:bCs w:val="1"/>
                <w:color w:val="auto"/>
                <w:w w:val="99"/>
              </w:rPr>
              <w:t>Balance, December 31,</w:t>
            </w: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2008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275,133,894</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1,272,952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(873,878)</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7,353</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2,296,910</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(267)</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406,435</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40" w:type="dxa"/>
            <w:vAlign w:val="bottom"/>
          </w:tcPr>
          <w:p>
            <w:pPr>
              <w:spacing w:after="0" w:line="138" w:lineRule="exact"/>
              <w:rPr>
                <w:sz w:val="20"/>
                <w:szCs w:val="20"/>
                <w:color w:val="auto"/>
              </w:rPr>
            </w:pPr>
            <w:r>
              <w:rPr>
                <w:rFonts w:ascii="Arial" w:cs="Arial" w:eastAsia="Arial" w:hAnsi="Arial"/>
                <w:sz w:val="14"/>
                <w:szCs w:val="14"/>
                <w:color w:val="auto"/>
              </w:rPr>
              <w:t>Issuance of common</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ind w:left="100"/>
              <w:spacing w:after="0" w:line="149" w:lineRule="exact"/>
              <w:rPr>
                <w:sz w:val="20"/>
                <w:szCs w:val="20"/>
                <w:color w:val="auto"/>
              </w:rPr>
            </w:pPr>
            <w:r>
              <w:rPr>
                <w:rFonts w:ascii="Arial" w:cs="Arial" w:eastAsia="Arial" w:hAnsi="Arial"/>
                <w:sz w:val="14"/>
                <w:szCs w:val="14"/>
                <w:color w:val="auto"/>
              </w:rPr>
              <w:t>stock in connection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ind w:left="100"/>
              <w:spacing w:after="0" w:line="149" w:lineRule="exact"/>
              <w:rPr>
                <w:sz w:val="20"/>
                <w:szCs w:val="20"/>
                <w:color w:val="auto"/>
              </w:rPr>
            </w:pPr>
            <w:r>
              <w:rPr>
                <w:rFonts w:ascii="Arial" w:cs="Arial" w:eastAsia="Arial" w:hAnsi="Arial"/>
                <w:sz w:val="14"/>
                <w:szCs w:val="14"/>
                <w:color w:val="auto"/>
              </w:rPr>
              <w:t>with employee stock</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tcPr>
          <w:p>
            <w:pPr>
              <w:ind w:left="100"/>
              <w:spacing w:after="0" w:line="159" w:lineRule="exact"/>
              <w:rPr>
                <w:sz w:val="20"/>
                <w:szCs w:val="20"/>
                <w:color w:val="auto"/>
              </w:rPr>
            </w:pPr>
            <w:r>
              <w:rPr>
                <w:rFonts w:ascii="Arial" w:cs="Arial" w:eastAsia="Arial" w:hAnsi="Arial"/>
                <w:sz w:val="14"/>
                <w:szCs w:val="14"/>
                <w:color w:val="auto"/>
              </w:rPr>
              <w:t>purchase plan</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830,940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1,315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1,316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Exercise of stock options</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96,304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40" w:type="dxa"/>
            <w:vAlign w:val="bottom"/>
          </w:tcPr>
          <w:p>
            <w:pPr>
              <w:spacing w:after="0" w:line="138" w:lineRule="exact"/>
              <w:rPr>
                <w:sz w:val="20"/>
                <w:szCs w:val="20"/>
                <w:color w:val="auto"/>
              </w:rPr>
            </w:pPr>
            <w:r>
              <w:rPr>
                <w:rFonts w:ascii="Arial" w:cs="Arial" w:eastAsia="Arial" w:hAnsi="Arial"/>
                <w:sz w:val="14"/>
                <w:szCs w:val="14"/>
                <w:color w:val="auto"/>
              </w:rPr>
              <w:t>Vesting of restricted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tcPr>
          <w:p>
            <w:pPr>
              <w:ind w:left="100"/>
              <w:spacing w:after="0" w:line="159" w:lineRule="exact"/>
              <w:rPr>
                <w:sz w:val="20"/>
                <w:szCs w:val="20"/>
                <w:color w:val="auto"/>
              </w:rPr>
            </w:pPr>
            <w:r>
              <w:rPr>
                <w:rFonts w:ascii="Arial" w:cs="Arial" w:eastAsia="Arial" w:hAnsi="Arial"/>
                <w:sz w:val="14"/>
                <w:szCs w:val="14"/>
                <w:color w:val="auto"/>
              </w:rPr>
              <w:t>stock</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1,098,798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Shares of restricted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returned to the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Company under net</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share settlements to</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satisfy tax withholding</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obligations</w:t>
            </w: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(367,039)</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(673)</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(673)</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40" w:type="dxa"/>
            <w:vAlign w:val="bottom"/>
          </w:tcPr>
          <w:p>
            <w:pPr>
              <w:spacing w:after="0" w:line="138" w:lineRule="exact"/>
              <w:rPr>
                <w:sz w:val="20"/>
                <w:szCs w:val="20"/>
                <w:color w:val="auto"/>
              </w:rPr>
            </w:pPr>
            <w:r>
              <w:rPr>
                <w:rFonts w:ascii="Arial" w:cs="Arial" w:eastAsia="Arial" w:hAnsi="Arial"/>
                <w:sz w:val="14"/>
                <w:szCs w:val="14"/>
                <w:color w:val="auto"/>
              </w:rPr>
              <w:t>Stock-based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tcPr>
          <w:p>
            <w:pPr>
              <w:ind w:left="100"/>
              <w:spacing w:after="0" w:line="159" w:lineRule="exact"/>
              <w:rPr>
                <w:sz w:val="20"/>
                <w:szCs w:val="20"/>
                <w:color w:val="auto"/>
              </w:rPr>
            </w:pPr>
            <w:r>
              <w:rPr>
                <w:rFonts w:ascii="Arial" w:cs="Arial" w:eastAsia="Arial" w:hAnsi="Arial"/>
                <w:sz w:val="14"/>
                <w:szCs w:val="14"/>
                <w:color w:val="auto"/>
                <w:w w:val="98"/>
              </w:rPr>
              <w:t>compensation expense</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12,681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12,681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Unrealized loss on</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available-for-sale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marketable securities,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net of tax</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(1,082)</w:t>
            </w: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(1,082)</w:t>
            </w:r>
          </w:p>
        </w:tc>
        <w:tc>
          <w:tcPr>
            <w:tcW w:w="3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(1,082)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40" w:type="dxa"/>
            <w:vAlign w:val="bottom"/>
          </w:tcPr>
          <w:p>
            <w:pPr>
              <w:spacing w:after="0" w:line="138" w:lineRule="exact"/>
              <w:rPr>
                <w:sz w:val="20"/>
                <w:szCs w:val="20"/>
                <w:color w:val="auto"/>
              </w:rPr>
            </w:pPr>
            <w:r>
              <w:rPr>
                <w:rFonts w:ascii="Arial" w:cs="Arial" w:eastAsia="Arial" w:hAnsi="Arial"/>
                <w:sz w:val="14"/>
                <w:szCs w:val="14"/>
                <w:color w:val="auto"/>
              </w:rPr>
              <w:t>Currency translation</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tcPr>
          <w:p>
            <w:pPr>
              <w:ind w:left="100"/>
              <w:spacing w:after="0" w:line="159" w:lineRule="exact"/>
              <w:rPr>
                <w:sz w:val="20"/>
                <w:szCs w:val="20"/>
                <w:color w:val="auto"/>
              </w:rPr>
            </w:pPr>
            <w:r>
              <w:rPr>
                <w:rFonts w:ascii="Arial" w:cs="Arial" w:eastAsia="Arial" w:hAnsi="Arial"/>
                <w:sz w:val="14"/>
                <w:szCs w:val="14"/>
                <w:color w:val="auto"/>
              </w:rPr>
              <w:t>adjustment</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441</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441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441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(4,932)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(4,932)</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(4,932)</w:t>
            </w:r>
          </w:p>
        </w:tc>
        <w:tc>
          <w:tcPr>
            <w:tcW w:w="0" w:type="dxa"/>
            <w:vAlign w:val="bottom"/>
          </w:tcPr>
          <w:p>
            <w:pPr>
              <w:spacing w:after="0"/>
              <w:rPr>
                <w:sz w:val="1"/>
                <w:szCs w:val="1"/>
                <w:color w:val="auto"/>
              </w:rPr>
            </w:pPr>
          </w:p>
        </w:tc>
      </w:tr>
      <w:tr>
        <w:trPr>
          <w:trHeight w:val="27"/>
        </w:trPr>
        <w:tc>
          <w:tcPr>
            <w:tcW w:w="1560" w:type="dxa"/>
            <w:vAlign w:val="bottom"/>
            <w:gridSpan w:val="2"/>
            <w:vMerge w:val="restart"/>
          </w:tcPr>
          <w:p>
            <w:pPr>
              <w:spacing w:after="0"/>
              <w:rPr>
                <w:sz w:val="20"/>
                <w:szCs w:val="20"/>
                <w:color w:val="auto"/>
              </w:rPr>
            </w:pPr>
            <w:r>
              <w:rPr>
                <w:rFonts w:ascii="Arial" w:cs="Arial" w:eastAsia="Arial" w:hAnsi="Arial"/>
                <w:sz w:val="14"/>
                <w:szCs w:val="14"/>
                <w:color w:val="auto"/>
              </w:rPr>
              <w:t>Comprehensive loss for</w:t>
            </w: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560" w:type="dxa"/>
            <w:vAlign w:val="bottom"/>
            <w:gridSpan w:val="2"/>
            <w:vMerge w:val="continue"/>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(5,573)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540" w:type="dxa"/>
            <w:vAlign w:val="bottom"/>
          </w:tcPr>
          <w:p>
            <w:pPr>
              <w:ind w:left="100"/>
              <w:spacing w:after="0"/>
              <w:rPr>
                <w:sz w:val="20"/>
                <w:szCs w:val="20"/>
                <w:color w:val="auto"/>
              </w:rPr>
            </w:pPr>
            <w:r>
              <w:rPr>
                <w:rFonts w:ascii="Arial" w:cs="Arial" w:eastAsia="Arial" w:hAnsi="Arial"/>
                <w:sz w:val="14"/>
                <w:szCs w:val="14"/>
                <w:color w:val="auto"/>
              </w:rPr>
              <w:t>the year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924" w:orient="portrait"/>
          <w:cols w:equalWidth="0" w:num="1">
            <w:col w:w="10400"/>
          </w:cols>
          <w:pgMar w:left="240" w:top="131" w:right="1259" w:bottom="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60" w:type="dxa"/>
            <w:vAlign w:val="bottom"/>
          </w:tcPr>
          <w:p>
            <w:pPr>
              <w:ind w:left="120"/>
              <w:spacing w:after="0"/>
              <w:rPr>
                <w:sz w:val="20"/>
                <w:szCs w:val="20"/>
                <w:color w:val="auto"/>
              </w:rPr>
            </w:pPr>
            <w:r>
              <w:rPr>
                <w:rFonts w:ascii="Arial" w:cs="Arial" w:eastAsia="Arial" w:hAnsi="Arial"/>
                <w:sz w:val="14"/>
                <w:szCs w:val="14"/>
                <w:color w:val="auto"/>
              </w:rPr>
              <w:t>December 31, 2009</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90"/>
        </w:trPr>
        <w:tc>
          <w:tcPr>
            <w:tcW w:w="1460" w:type="dxa"/>
            <w:vAlign w:val="bottom"/>
          </w:tcPr>
          <w:p>
            <w:pPr>
              <w:spacing w:after="0"/>
              <w:rPr>
                <w:sz w:val="20"/>
                <w:szCs w:val="20"/>
                <w:color w:val="auto"/>
              </w:rPr>
            </w:pPr>
            <w:r>
              <w:rPr>
                <w:rFonts w:ascii="Arial" w:cs="Arial" w:eastAsia="Arial" w:hAnsi="Arial"/>
                <w:sz w:val="14"/>
                <w:szCs w:val="14"/>
                <w:b w:val="1"/>
                <w:bCs w:val="1"/>
                <w:color w:val="auto"/>
                <w:w w:val="94"/>
              </w:rPr>
              <w:t>Balance, December 31,</w:t>
            </w: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74"/>
        </w:trPr>
        <w:tc>
          <w:tcPr>
            <w:tcW w:w="1460" w:type="dxa"/>
            <w:vAlign w:val="bottom"/>
          </w:tcPr>
          <w:p>
            <w:pPr>
              <w:ind w:left="120"/>
              <w:spacing w:after="0"/>
              <w:rPr>
                <w:sz w:val="20"/>
                <w:szCs w:val="20"/>
                <w:color w:val="auto"/>
              </w:rPr>
            </w:pPr>
            <w:r>
              <w:rPr>
                <w:rFonts w:ascii="Arial" w:cs="Arial" w:eastAsia="Arial" w:hAnsi="Arial"/>
                <w:sz w:val="14"/>
                <w:szCs w:val="14"/>
                <w:b w:val="1"/>
                <w:bCs w:val="1"/>
                <w:color w:val="auto"/>
              </w:rPr>
              <w:t>2009</w:t>
            </w:r>
          </w:p>
        </w:tc>
        <w:tc>
          <w:tcPr>
            <w:tcW w:w="900" w:type="dxa"/>
            <w:vAlign w:val="bottom"/>
          </w:tcPr>
          <w:p>
            <w:pPr>
              <w:jc w:val="right"/>
              <w:ind w:right="12"/>
              <w:spacing w:after="0"/>
              <w:rPr>
                <w:sz w:val="20"/>
                <w:szCs w:val="20"/>
                <w:color w:val="auto"/>
              </w:rPr>
            </w:pPr>
            <w:r>
              <w:rPr>
                <w:rFonts w:ascii="Arial" w:cs="Arial" w:eastAsia="Arial" w:hAnsi="Arial"/>
                <w:sz w:val="14"/>
                <w:szCs w:val="14"/>
                <w:b w:val="1"/>
                <w:bCs w:val="1"/>
                <w:color w:val="auto"/>
              </w:rPr>
              <w:t>276,792,897</w:t>
            </w:r>
          </w:p>
        </w:tc>
        <w:tc>
          <w:tcPr>
            <w:tcW w:w="28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12"/>
              <w:spacing w:after="0"/>
              <w:rPr>
                <w:sz w:val="20"/>
                <w:szCs w:val="20"/>
                <w:color w:val="auto"/>
              </w:rPr>
            </w:pPr>
            <w:r>
              <w:rPr>
                <w:rFonts w:ascii="Arial" w:cs="Arial" w:eastAsia="Arial" w:hAnsi="Arial"/>
                <w:sz w:val="14"/>
                <w:szCs w:val="14"/>
                <w:b w:val="1"/>
                <w:bCs w:val="1"/>
                <w:color w:val="auto"/>
              </w:rPr>
              <w:t>277</w:t>
            </w:r>
          </w:p>
        </w:tc>
        <w:tc>
          <w:tcPr>
            <w:tcW w:w="82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$1,286,326</w:t>
            </w:r>
          </w:p>
        </w:tc>
        <w:tc>
          <w:tcPr>
            <w:tcW w:w="960" w:type="dxa"/>
            <w:vAlign w:val="bottom"/>
          </w:tcPr>
          <w:p>
            <w:pPr>
              <w:jc w:val="right"/>
              <w:ind w:right="32"/>
              <w:spacing w:after="0"/>
              <w:rPr>
                <w:sz w:val="20"/>
                <w:szCs w:val="20"/>
                <w:color w:val="auto"/>
              </w:rPr>
            </w:pPr>
            <w:r>
              <w:rPr>
                <w:rFonts w:ascii="Arial" w:cs="Arial" w:eastAsia="Arial" w:hAnsi="Arial"/>
                <w:sz w:val="14"/>
                <w:szCs w:val="14"/>
                <w:b w:val="1"/>
                <w:bCs w:val="1"/>
                <w:color w:val="auto"/>
              </w:rPr>
              <w:t>$  (878,810)</w:t>
            </w:r>
          </w:p>
        </w:tc>
        <w:tc>
          <w:tcPr>
            <w:tcW w:w="40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32"/>
              <w:spacing w:after="0"/>
              <w:rPr>
                <w:sz w:val="20"/>
                <w:szCs w:val="20"/>
                <w:color w:val="auto"/>
              </w:rPr>
            </w:pPr>
            <w:r>
              <w:rPr>
                <w:rFonts w:ascii="Arial" w:cs="Arial" w:eastAsia="Arial" w:hAnsi="Arial"/>
                <w:sz w:val="14"/>
                <w:szCs w:val="14"/>
                <w:b w:val="1"/>
                <w:bCs w:val="1"/>
                <w:color w:val="auto"/>
              </w:rPr>
              <w:t>6,712</w:t>
            </w:r>
          </w:p>
        </w:tc>
        <w:tc>
          <w:tcPr>
            <w:tcW w:w="740" w:type="dxa"/>
            <w:vAlign w:val="bottom"/>
          </w:tcPr>
          <w:p>
            <w:pPr>
              <w:jc w:val="right"/>
              <w:ind w:right="12"/>
              <w:spacing w:after="0"/>
              <w:rPr>
                <w:sz w:val="20"/>
                <w:szCs w:val="20"/>
                <w:color w:val="auto"/>
              </w:rPr>
            </w:pPr>
            <w:r>
              <w:rPr>
                <w:rFonts w:ascii="Arial" w:cs="Arial" w:eastAsia="Arial" w:hAnsi="Arial"/>
                <w:sz w:val="14"/>
                <w:szCs w:val="14"/>
                <w:b w:val="1"/>
                <w:bCs w:val="1"/>
                <w:color w:val="auto"/>
              </w:rPr>
              <w:t>2,296,910</w:t>
            </w: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rPr>
              <w:t>$ (267)</w:t>
            </w:r>
          </w:p>
        </w:tc>
        <w:tc>
          <w:tcPr>
            <w:tcW w:w="260" w:type="dxa"/>
            <w:vAlign w:val="bottom"/>
          </w:tcPr>
          <w:p>
            <w:pPr>
              <w:jc w:val="right"/>
              <w:ind w:right="32"/>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414,238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-222250</wp:posOffset>
            </wp:positionV>
            <wp:extent cx="5866130" cy="2571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66130" cy="257175"/>
                    </a:xfrm>
                    <a:prstGeom prst="rect">
                      <a:avLst/>
                    </a:prstGeom>
                    <a:noFill/>
                  </pic:spPr>
                </pic:pic>
              </a:graphicData>
            </a:graphic>
          </wp:anchor>
        </w:drawing>
      </w:r>
    </w:p>
    <w:p>
      <w:pPr>
        <w:spacing w:after="0" w:line="24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See notes to the consolidated financial statements.</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79"/>
          </w:cols>
          <w:pgMar w:left="1380" w:top="129" w:right="1440"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100"/>
              <w:spacing w:after="0" w:line="149" w:lineRule="exact"/>
              <w:rPr>
                <w:sz w:val="20"/>
                <w:szCs w:val="20"/>
                <w:color w:val="auto"/>
              </w:rPr>
            </w:pPr>
            <w:r>
              <w:rPr>
                <w:rFonts w:ascii="Arial" w:cs="Arial" w:eastAsia="Arial" w:hAnsi="Arial"/>
                <w:sz w:val="14"/>
                <w:szCs w:val="14"/>
                <w:color w:val="auto"/>
              </w:rPr>
              <w:t>Net loss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(4,932)</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6"/>
              </w:rPr>
              <w:t>(121,382)</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Adjustments to reconcile net loss to cash flows provided by operating activities: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 of property and equipment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10,104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11,661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13,259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intangible assets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Arial" w:cs="Arial" w:eastAsia="Arial" w:hAnsi="Arial"/>
                <w:sz w:val="14"/>
                <w:szCs w:val="14"/>
                <w:color w:val="auto"/>
              </w:rPr>
              <w:t>Impairment of intangible assets and goodwill</w:t>
            </w: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6,357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Impairment of marketable equity securities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12,810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25,298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42,642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449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78,212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Decrease in fair value of modified stock options held by former employees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receivable</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27,790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(13,966)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320"/>
              <w:spacing w:after="0" w:line="149" w:lineRule="exact"/>
              <w:rPr>
                <w:sz w:val="20"/>
                <w:szCs w:val="20"/>
                <w:color w:val="auto"/>
              </w:rPr>
            </w:pPr>
            <w:r>
              <w:rPr>
                <w:rFonts w:ascii="Arial" w:cs="Arial" w:eastAsia="Arial" w:hAnsi="Arial"/>
                <w:sz w:val="14"/>
                <w:szCs w:val="14"/>
                <w:color w:val="auto"/>
              </w:rPr>
              <w:t>Inventory</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(2,456)</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19,333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Insurance receivable—litigation settlement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15,328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(15,328)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320"/>
              <w:spacing w:after="0" w:line="149" w:lineRule="exact"/>
              <w:rPr>
                <w:sz w:val="20"/>
                <w:szCs w:val="20"/>
                <w:color w:val="auto"/>
              </w:rPr>
            </w:pPr>
            <w:r>
              <w:rPr>
                <w:rFonts w:ascii="Arial" w:cs="Arial" w:eastAsia="Arial" w:hAnsi="Arial"/>
                <w:sz w:val="14"/>
                <w:szCs w:val="14"/>
                <w:color w:val="auto"/>
              </w:rPr>
              <w:t>Other operating assets</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(7,836)</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9,814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payable</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(4,229)</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(9,167)</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320"/>
              <w:spacing w:after="0" w:line="149" w:lineRule="exact"/>
              <w:rPr>
                <w:sz w:val="20"/>
                <w:szCs w:val="20"/>
                <w:color w:val="auto"/>
              </w:rPr>
            </w:pPr>
            <w:r>
              <w:rPr>
                <w:rFonts w:ascii="Arial" w:cs="Arial" w:eastAsia="Arial" w:hAnsi="Arial"/>
                <w:sz w:val="14"/>
                <w:szCs w:val="14"/>
                <w:color w:val="auto"/>
              </w:rPr>
              <w:t>Accrued expenses</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(9,803)</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(13,769)</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Accrued litigation settlements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(9,600)</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(30,400)</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40" w:type="dxa"/>
            <w:vAlign w:val="bottom"/>
          </w:tcPr>
          <w:p>
            <w:pPr>
              <w:ind w:left="320"/>
              <w:spacing w:after="0"/>
              <w:rPr>
                <w:sz w:val="20"/>
                <w:szCs w:val="20"/>
                <w:color w:val="auto"/>
              </w:rPr>
            </w:pPr>
            <w:r>
              <w:rPr>
                <w:rFonts w:ascii="Arial" w:cs="Arial" w:eastAsia="Arial" w:hAnsi="Arial"/>
                <w:sz w:val="14"/>
                <w:szCs w:val="14"/>
                <w:color w:val="auto"/>
              </w:rPr>
              <w:t>Deferred revenue</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20,987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(19,602)</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4,481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6540" w:type="dxa"/>
            <w:vAlign w:val="bottom"/>
            <w:shd w:val="clear" w:color="auto" w:fill="CCEEFF"/>
          </w:tcPr>
          <w:p>
            <w:pPr>
              <w:ind w:left="420"/>
              <w:spacing w:after="0" w:line="144" w:lineRule="exact"/>
              <w:rPr>
                <w:sz w:val="20"/>
                <w:szCs w:val="20"/>
                <w:color w:val="auto"/>
              </w:rPr>
            </w:pPr>
            <w:r>
              <w:rPr>
                <w:rFonts w:ascii="Arial" w:cs="Arial" w:eastAsia="Arial" w:hAnsi="Arial"/>
                <w:sz w:val="14"/>
                <w:szCs w:val="14"/>
                <w:color w:val="auto"/>
              </w:rPr>
              <w:t>Net cash provided by (used in) operating activities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33,757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(16,735)</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32,248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560" w:type="dxa"/>
            <w:vAlign w:val="bottom"/>
            <w:gridSpan w:val="2"/>
            <w:vMerge w:val="restart"/>
          </w:tcPr>
          <w:p>
            <w:pPr>
              <w:spacing w:after="0"/>
              <w:rPr>
                <w:sz w:val="20"/>
                <w:szCs w:val="20"/>
                <w:color w:val="auto"/>
              </w:rPr>
            </w:pPr>
            <w:r>
              <w:rPr>
                <w:rFonts w:ascii="Arial" w:cs="Arial" w:eastAsia="Arial" w:hAnsi="Arial"/>
                <w:sz w:val="14"/>
                <w:szCs w:val="14"/>
                <w:color w:val="auto"/>
              </w:rPr>
              <w:t>Cash flows from investing activities:</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5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Purchases of property and equipment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(6,612)</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(9,709)</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(11,669)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100"/>
              <w:spacing w:after="0" w:line="149" w:lineRule="exact"/>
              <w:rPr>
                <w:sz w:val="20"/>
                <w:szCs w:val="20"/>
                <w:color w:val="auto"/>
              </w:rPr>
            </w:pPr>
            <w:r>
              <w:rPr>
                <w:rFonts w:ascii="Arial" w:cs="Arial" w:eastAsia="Arial" w:hAnsi="Arial"/>
                <w:sz w:val="14"/>
                <w:szCs w:val="14"/>
                <w:color w:val="auto"/>
              </w:rPr>
              <w:t>Business acquisitions, net of cash acquired</w:t>
            </w: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(4,909)</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(8,846)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Purchases of marketable securities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(268,971)</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(370,102)</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(403,906)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100"/>
              <w:spacing w:after="0" w:line="149" w:lineRule="exact"/>
              <w:rPr>
                <w:sz w:val="20"/>
                <w:szCs w:val="20"/>
                <w:color w:val="auto"/>
              </w:rPr>
            </w:pPr>
            <w:r>
              <w:rPr>
                <w:rFonts w:ascii="Arial" w:cs="Arial" w:eastAsia="Arial" w:hAnsi="Arial"/>
                <w:sz w:val="14"/>
                <w:szCs w:val="14"/>
                <w:color w:val="auto"/>
              </w:rPr>
              <w:t>Sale/maturities of marketable securities</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243,984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378,267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446,923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Decrease (increase) in litigation settlement escrow</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40" w:type="dxa"/>
            <w:vAlign w:val="bottom"/>
          </w:tcPr>
          <w:p>
            <w:pPr>
              <w:ind w:left="100"/>
              <w:spacing w:after="0"/>
              <w:rPr>
                <w:sz w:val="20"/>
                <w:szCs w:val="20"/>
                <w:color w:val="auto"/>
              </w:rPr>
            </w:pPr>
            <w:r>
              <w:rPr>
                <w:rFonts w:ascii="Arial" w:cs="Arial" w:eastAsia="Arial" w:hAnsi="Arial"/>
                <w:sz w:val="14"/>
                <w:szCs w:val="14"/>
                <w:color w:val="auto"/>
              </w:rPr>
              <w:t>Decrease in restricted cash</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40" w:type="dxa"/>
            <w:vAlign w:val="bottom"/>
            <w:shd w:val="clear" w:color="auto" w:fill="CCEEFF"/>
          </w:tcPr>
          <w:p>
            <w:pPr>
              <w:ind w:left="420"/>
              <w:spacing w:after="0" w:line="144" w:lineRule="exact"/>
              <w:rPr>
                <w:sz w:val="20"/>
                <w:szCs w:val="20"/>
                <w:color w:val="auto"/>
              </w:rPr>
            </w:pPr>
            <w:r>
              <w:rPr>
                <w:rFonts w:ascii="Arial" w:cs="Arial" w:eastAsia="Arial" w:hAnsi="Arial"/>
                <w:sz w:val="14"/>
                <w:szCs w:val="14"/>
                <w:color w:val="auto"/>
              </w:rPr>
              <w:t>Net cash provided by (used in) investing activities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(31,599)</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18,547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(2,157)</w:t>
            </w:r>
          </w:p>
        </w:tc>
        <w:tc>
          <w:tcPr>
            <w:tcW w:w="0" w:type="dxa"/>
            <w:vAlign w:val="bottom"/>
          </w:tcPr>
          <w:p>
            <w:pPr>
              <w:spacing w:after="0"/>
              <w:rPr>
                <w:sz w:val="1"/>
                <w:szCs w:val="1"/>
                <w:color w:val="auto"/>
              </w:rPr>
            </w:pPr>
          </w:p>
        </w:tc>
      </w:tr>
      <w:tr>
        <w:trPr>
          <w:trHeight w:val="27"/>
        </w:trPr>
        <w:tc>
          <w:tcPr>
            <w:tcW w:w="6560" w:type="dxa"/>
            <w:vAlign w:val="bottom"/>
            <w:gridSpan w:val="2"/>
            <w:vMerge w:val="restart"/>
          </w:tcPr>
          <w:p>
            <w:pPr>
              <w:spacing w:after="0"/>
              <w:rPr>
                <w:sz w:val="20"/>
                <w:szCs w:val="20"/>
                <w:color w:val="auto"/>
              </w:rPr>
            </w:pPr>
            <w:r>
              <w:rPr>
                <w:rFonts w:ascii="Arial" w:cs="Arial" w:eastAsia="Arial" w:hAnsi="Arial"/>
                <w:sz w:val="14"/>
                <w:szCs w:val="14"/>
                <w:color w:val="auto"/>
              </w:rPr>
              <w:t>Cash flows from financing activities:</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5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Sale of common stock in connection with employee stock purchase plan</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100"/>
              <w:spacing w:after="0" w:line="149" w:lineRule="exact"/>
              <w:rPr>
                <w:sz w:val="20"/>
                <w:szCs w:val="20"/>
                <w:color w:val="auto"/>
              </w:rPr>
            </w:pPr>
            <w:r>
              <w:rPr>
                <w:rFonts w:ascii="Arial" w:cs="Arial" w:eastAsia="Arial" w:hAnsi="Arial"/>
                <w:sz w:val="14"/>
                <w:szCs w:val="14"/>
                <w:color w:val="auto"/>
              </w:rPr>
              <w:t>Proceeds from exercise of stock options</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437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39,548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Payment of tax withholding obligations related to net share settlements of restricted stock awards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(673)</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(1,510)</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100"/>
              <w:spacing w:after="0" w:line="149" w:lineRule="exact"/>
              <w:rPr>
                <w:sz w:val="20"/>
                <w:szCs w:val="20"/>
                <w:color w:val="auto"/>
              </w:rPr>
            </w:pPr>
            <w:r>
              <w:rPr>
                <w:rFonts w:ascii="Arial" w:cs="Arial" w:eastAsia="Arial" w:hAnsi="Arial"/>
                <w:sz w:val="14"/>
                <w:szCs w:val="14"/>
                <w:color w:val="auto"/>
              </w:rPr>
              <w:t>Principal payments of capital lease obligations</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(233)</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(175)</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Repayment of notes payable to former Zynetix Limited shareholders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vMerge w:val="restart"/>
          </w:tcPr>
          <w:p>
            <w:pPr>
              <w:ind w:left="420"/>
              <w:spacing w:after="0"/>
              <w:rPr>
                <w:sz w:val="20"/>
                <w:szCs w:val="20"/>
                <w:color w:val="auto"/>
              </w:rPr>
            </w:pPr>
            <w:r>
              <w:rPr>
                <w:rFonts w:ascii="Arial" w:cs="Arial" w:eastAsia="Arial" w:hAnsi="Arial"/>
                <w:sz w:val="14"/>
                <w:szCs w:val="14"/>
                <w:color w:val="auto"/>
              </w:rPr>
              <w:t>Net cash provided by financing activities</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4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2,507</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43,900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4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Effect of exchange rate changes on cash and cash equivalents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694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(1,045)</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736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560" w:type="dxa"/>
            <w:vAlign w:val="bottom"/>
            <w:gridSpan w:val="2"/>
            <w:vMerge w:val="restart"/>
          </w:tcPr>
          <w:p>
            <w:pPr>
              <w:spacing w:after="0"/>
              <w:rPr>
                <w:sz w:val="20"/>
                <w:szCs w:val="20"/>
                <w:color w:val="auto"/>
              </w:rPr>
            </w:pPr>
            <w:r>
              <w:rPr>
                <w:rFonts w:ascii="Arial" w:cs="Arial" w:eastAsia="Arial" w:hAnsi="Arial"/>
                <w:sz w:val="14"/>
                <w:szCs w:val="14"/>
                <w:color w:val="auto"/>
              </w:rPr>
              <w:t>Net increase in cash and cash equivalents</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5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3,116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3,274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74,727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year</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122,207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118,933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44,206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560" w:type="dxa"/>
            <w:vAlign w:val="bottom"/>
            <w:gridSpan w:val="2"/>
            <w:vMerge w:val="restart"/>
          </w:tcPr>
          <w:p>
            <w:pPr>
              <w:spacing w:after="0"/>
              <w:rPr>
                <w:sz w:val="20"/>
                <w:szCs w:val="20"/>
                <w:color w:val="auto"/>
              </w:rPr>
            </w:pPr>
            <w:r>
              <w:rPr>
                <w:rFonts w:ascii="Arial" w:cs="Arial" w:eastAsia="Arial" w:hAnsi="Arial"/>
                <w:sz w:val="14"/>
                <w:szCs w:val="14"/>
                <w:color w:val="auto"/>
              </w:rPr>
              <w:t>Cash and cash equivalents, end of year</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6560" w:type="dxa"/>
            <w:vAlign w:val="bottom"/>
            <w:gridSpan w:val="2"/>
            <w:vMerge w:val="continue"/>
          </w:tcPr>
          <w:p>
            <w:pPr>
              <w:spacing w:after="0"/>
              <w:rPr>
                <w:sz w:val="14"/>
                <w:szCs w:val="14"/>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125,323</w:t>
            </w:r>
          </w:p>
        </w:tc>
        <w:tc>
          <w:tcPr>
            <w:tcW w:w="16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122,207</w:t>
            </w:r>
          </w:p>
        </w:tc>
        <w:tc>
          <w:tcPr>
            <w:tcW w:w="16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118,933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65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Supplemental disclosure of cash flow information:</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100"/>
              <w:spacing w:after="0" w:line="149" w:lineRule="exact"/>
              <w:rPr>
                <w:sz w:val="20"/>
                <w:szCs w:val="20"/>
                <w:color w:val="auto"/>
              </w:rPr>
            </w:pPr>
            <w:r>
              <w:rPr>
                <w:rFonts w:ascii="Arial" w:cs="Arial" w:eastAsia="Arial" w:hAnsi="Arial"/>
                <w:sz w:val="14"/>
                <w:szCs w:val="14"/>
                <w:color w:val="auto"/>
              </w:rPr>
              <w:t>Interest paid</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147</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291</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167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Income taxes paid</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100"/>
              <w:spacing w:after="0" w:line="149" w:lineRule="exact"/>
              <w:rPr>
                <w:sz w:val="20"/>
                <w:szCs w:val="20"/>
                <w:color w:val="auto"/>
              </w:rPr>
            </w:pPr>
            <w:r>
              <w:rPr>
                <w:rFonts w:ascii="Arial" w:cs="Arial" w:eastAsia="Arial" w:hAnsi="Arial"/>
                <w:sz w:val="14"/>
                <w:szCs w:val="14"/>
                <w:color w:val="auto"/>
              </w:rPr>
              <w:t>Income tax refunds received</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1,759</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192</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 of non-cash investing activities: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100"/>
              <w:spacing w:after="0" w:line="149" w:lineRule="exact"/>
              <w:rPr>
                <w:sz w:val="20"/>
                <w:szCs w:val="20"/>
                <w:color w:val="auto"/>
              </w:rPr>
            </w:pPr>
            <w:r>
              <w:rPr>
                <w:rFonts w:ascii="Arial" w:cs="Arial" w:eastAsia="Arial" w:hAnsi="Arial"/>
                <w:sz w:val="14"/>
                <w:szCs w:val="14"/>
                <w:color w:val="auto"/>
              </w:rPr>
              <w:t>Capital expenditures incurred, but not yet paid</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896</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562</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561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Property and equipment acquired under capital lease</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23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Sonus Networks, Inc. ("Sonus" or the "Company") was incorporated in 1997 and is a leading provider of voice, video and data infrastructure solutions for wireline and wireless service providers. The Company's infrastructure solutions allow such wireline and wireless operators to build converged voice over Internet Protocol ("IP") networks. Sonus' products include carrier-class infrastructure equipment and software that enables voice services to be delivered over IP packet-based networks. The Company's target customers include both traditional and emerging communications service providers, including long distance carriers, local exchange carriers, Internet service providers, wireless operators, cable operators, international telephone companies and carriers that provide services to other carriers.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consolidated financial statements have been prepared in United States dollars, in accordance with accounting principles generally accepted in the United States ("GAAP").</w:t>
      </w:r>
    </w:p>
    <w:p>
      <w:pPr>
        <w:spacing w:after="0" w:line="186"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In the fourth quarter of 2008, the Company completed the sale of its Zynetix Ltd. ("Zynetix") subsidiary, as the Zynetix business was no longer considered part of the Company's core business. The Company recorded a loss of $0.7 million on the sale of Zynetix and a loss of $4.5 million on its operations in 2008. The results of operations of Zynetix have been classified as discontinued operations within these financial statements. The 2008 amounts reflect the results of operations of Zynetix for fiscal 2008 through November 26, 2008, the date of the sale of the subsidiary. The 2007 amounts reflect the results of operations for Zynetix for fiscal 2007 from April 13, 2007, the date of its acquisition by the Company. The loss from discontinued operations for the year ended December 31, 2008 includes $3.6 million related to the impairment of intangible assets and goodwill. Of this amount, $1.5 million relates to intangible assets and $2.1 million relates to goodwill.</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Subsequent events have been evaluated through the date of this filing.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31"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Sonus and its wholly owned subsidiaries. All intercompany transactions and balances have been eliminated in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Judgments</w:t>
      </w:r>
    </w:p>
    <w:p>
      <w:pPr>
        <w:spacing w:after="0" w:line="231"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Significant estimates and judgments relied upon in preparing these financial statements include revenue recognition for multiple element arrangements, allowances for doubtful accounts, inventory reserves, expected future cash flows used to evaluate the recoverability of long-lived assets, contingencies associated with revenue contracts, assumptions used to determine the fair value of stock-based compensation, assumptions used to determine the fair value of purchased intangible assets, contingent liabilities and recoverability of Sonus' net deferred tax assets and related valuation allowance. Sonus regularly assesses these estimates and records changes in estimates in the period in which they become known. Sonus bases its estimates on historical experience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and various other assumptions that it believes to be reasonable under the circumstances. Actual results could differ from those estimates.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Sonus' products are primarily marketed based on the software elements contained therein. In addition, hardware sold generally cannot be used apart from the software. Therefore, Sonus considers its principal products to be software-related. Sonus recognizes revenue from product sales when persuasive evidence of an arrangement exists, delivery has occurred, the sale price is fixed or determinable, and collectibility of the related receivable is probable under customary payment terms. When Sonus has future obligations, including a requirement to deliver additional elements which are essential to the functionality of the delivered elements or for which vendor-specific objective evidence of fair value ("VSOE") does not exist or when customer acceptance is required, Sonus defers revenue recognition and related costs until those obligations are satisfied. The ordering patterns and sales lead times associated with customer orders may vary significantly from period to period.</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Many of the Company's sales involve multiple-element arrangements. When a sale includes multiple elements, such as products, maintenance and/or professional services, Sonus recognizes revenue using the residual method. Revenue associated with elements for which VSOE has been established is recorded based on the VSOE value; revenue for any undelivered elements that are considered not essential to the functionality of the product and for which VSOE has been established is deferred based on the VSOE value, and any remaining arrangement fee is then allocated to, and recognized as, product revenue. VSOE is determined based upon the price charged when the same element is sold separately or established by management having the relevant pricing authority. If Sonus cannot establish VSOE for each undelivered element, including specified upgrades, it defers revenue on the entire arrangement until VSOE for all undelivered elements is known or all elements are delivered and all other revenue recognition criteria are met.</w:t>
      </w:r>
    </w:p>
    <w:p>
      <w:pPr>
        <w:spacing w:after="0" w:line="172"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Revenue from maintenance and support services is recognized ratably over the service period. Earned maintenance revenue is deferred until the associated product is accepted by the customer and all other revenue recognition criteria have been met. Maintenance and support services include telephone support, return and repair support and unspecified rights to product upgrades and enhancements.</w:t>
      </w:r>
    </w:p>
    <w:p>
      <w:pPr>
        <w:spacing w:after="0" w:line="194"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Revenue from installation services is generally recognized when the service is complete and all other revenue recognition criteria have been met. Revenue from other professional services for which VSOE has been established is typically recognized as the services are delivered if all other revenue recognition criteria have been met.</w:t>
      </w:r>
    </w:p>
    <w:p>
      <w:pPr>
        <w:spacing w:after="0" w:line="19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Revenue from consulting, custom development and other professional services-only engagements is recognized as services are rendered provided all other revenue recognition criteria have been met.</w:t>
      </w:r>
    </w:p>
    <w:p>
      <w:pPr>
        <w:spacing w:after="0" w:line="186" w:lineRule="exact"/>
        <w:rPr>
          <w:sz w:val="20"/>
          <w:szCs w:val="20"/>
          <w:color w:val="auto"/>
        </w:rPr>
      </w:pPr>
    </w:p>
    <w:p>
      <w:pPr>
        <w:jc w:val="both"/>
        <w:ind w:right="560" w:firstLine="351"/>
        <w:spacing w:after="0" w:line="259" w:lineRule="auto"/>
        <w:rPr>
          <w:sz w:val="20"/>
          <w:szCs w:val="20"/>
          <w:color w:val="auto"/>
        </w:rPr>
      </w:pPr>
      <w:r>
        <w:rPr>
          <w:rFonts w:ascii="Arial" w:cs="Arial" w:eastAsia="Arial" w:hAnsi="Arial"/>
          <w:sz w:val="18"/>
          <w:szCs w:val="18"/>
          <w:color w:val="auto"/>
        </w:rPr>
        <w:t>Sonus records deferred revenue for products delivered or services performed for which collection of the amount billed is either probable or has been collected but other revenue recognition criteria have not been met. Deferred revenue includes customer deposits and amounts associated with maintenance contracts. Deferred revenue expected to be recognized as revenue more than one year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subsequent to the balance sheet date is reported with long-term liabilities in the consolidated balance sheets.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Sonus defers recognition of incremental direct costs, such as cost of goods, third party installations and commissions until recognition of the related revenue. Such costs are classified as current assets if the deferred revenue is initially classified as current and noncurrent assets if the related deferred revenue is initially classified as long-term.</w:t>
      </w:r>
    </w:p>
    <w:p>
      <w:pPr>
        <w:spacing w:after="0" w:line="194"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Sonus sells the majority of its products directly to its service provider customers. For products sold to resellers and distributors with whom the Company has at least eight quarters of consistent history regarding the potential for product returns or refunds, or any form of concession, the Company recognizes revenue on a sell-in basis. For all other resellers and distributors the Company recognizes revenue on a sell-through basis.</w:t>
      </w:r>
    </w:p>
    <w:p>
      <w:pPr>
        <w:spacing w:after="0" w:line="16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Beginning in the fourth quarter of fiscal 2008, the Company concluded that it no longer had sufficient evidence of VSOE on maintenance services for one of its largest customers. Therefore, all revenue related to multiple element arrangements for this customer entered into beginning in the fourth quarter of fiscal 2008 is being recognized ratably over the maintenance period. Revenue recognition on multiple element arrangements with this customer will begin when the only undelivered element of the arrangement is maintenance. At December 31, 2009 and 2008, Other assets included $3.9 million and $0.4 million, respectively, of deferred product costs related to arrangements with this customer in which both the revenue and product costs are being recognized ratably.</w:t>
      </w:r>
    </w:p>
    <w:p>
      <w:pPr>
        <w:spacing w:after="0" w:line="170"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Company excludes any taxes assessed by a governmental authority that are directly imposed on a revenue-producing transaction (i.e., sales, use, value added) from its revenue and costs. Reimbursement received for out-of-pocket expenses is recorded as 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carrying amounts of Sonus' financial instruments, which include cash equivalents, marketable securities, investments, accounts receivable and accounts payable approximate their fair values.</w:t>
      </w:r>
    </w:p>
    <w:p>
      <w:pPr>
        <w:spacing w:after="0" w:line="186" w:lineRule="exact"/>
        <w:rPr>
          <w:sz w:val="20"/>
          <w:szCs w:val="20"/>
          <w:color w:val="auto"/>
        </w:rPr>
      </w:pPr>
    </w:p>
    <w:p>
      <w:pPr>
        <w:ind w:right="160" w:firstLine="341"/>
        <w:spacing w:after="0" w:line="294" w:lineRule="auto"/>
        <w:rPr>
          <w:sz w:val="20"/>
          <w:szCs w:val="20"/>
          <w:color w:val="auto"/>
        </w:rPr>
      </w:pPr>
      <w:r>
        <w:rPr>
          <w:rFonts w:ascii="Arial" w:cs="Arial" w:eastAsia="Arial" w:hAnsi="Arial"/>
          <w:sz w:val="16"/>
          <w:szCs w:val="16"/>
          <w:color w:val="auto"/>
        </w:rPr>
        <w:t>All investments in marketable securities are classified as available-for-sale and are reported at fair value, with unrealized gains and losses excluded from earnings and reported, net of tax, in Accumulated other comprehensive income (loss), which is a component of stockholders' equity. Unrealized losses that are determined to be other-than-temporary, based on current and expected market conditions, are recognized in earnings. Declines in fair value determined to be credit-related are charged to earnings. The fair value of marketable securities is determined based on quoted market prices at the balance sheet dates of the same or similar instruments. The cost of marketable securities sold is determined by the specific identification method.</w:t>
      </w:r>
    </w:p>
    <w:p>
      <w:pPr>
        <w:spacing w:after="0" w:line="170"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Financial instruments with remaining maturities or that are due within one year from the balance sheet date are classified as current. Financial instruments with remaining maturities or that are payable more than one year from the balance sheet date are classified as noncurrent.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right="2940" w:firstLine="8"/>
        <w:spacing w:after="0" w:line="504" w:lineRule="auto"/>
        <w:tabs>
          <w:tab w:leader="none" w:pos="249"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(Continued) Cash and Cash Equivalents</w:t>
      </w:r>
    </w:p>
    <w:p>
      <w:pPr>
        <w:spacing w:after="0" w:line="1" w:lineRule="exact"/>
        <w:rPr>
          <w:sz w:val="20"/>
          <w:szCs w:val="20"/>
          <w:color w:val="auto"/>
        </w:rPr>
      </w:pPr>
    </w:p>
    <w:p>
      <w:pPr>
        <w:ind w:right="920" w:firstLine="351"/>
        <w:spacing w:after="0" w:line="370" w:lineRule="auto"/>
        <w:rPr>
          <w:sz w:val="20"/>
          <w:szCs w:val="20"/>
          <w:color w:val="auto"/>
        </w:rPr>
      </w:pPr>
      <w:r>
        <w:rPr>
          <w:rFonts w:ascii="Arial" w:cs="Arial" w:eastAsia="Arial" w:hAnsi="Arial"/>
          <w:sz w:val="15"/>
          <w:szCs w:val="15"/>
          <w:color w:val="auto"/>
        </w:rPr>
        <w:t>Cash equivalents are stated at fair value, with unrealized gains and losses excluded from earnings and reported, net of tax, in Accumulated other comprehensive income (loss). Cash equivalents are liquid securities that have remaining maturities of three months or less at the date of purchase.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For foreign subsidiaries where the functional currency is the local currency, assets and liabilities are translated into U.S. dollars at the current exchange rate on the balance sheet date. Revenue and expenses are translated at average rates of exchange prevailing during each period. Translation adjustments for these subsidiaries are included in Accumulated other comprehensive income (loss).</w:t>
      </w:r>
    </w:p>
    <w:p>
      <w:pPr>
        <w:spacing w:after="0" w:line="194"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For foreign subsidiaries where the functional currency is the U.S. dollar, monetary assets and liabilities are translated into U.S. dollars at the current exchange rate on the balance sheet date. Nonmonetary assets and liabilities are remeasured into U.S. dollars at historical exchange rates. Revenue and expense items are translated at average rates of exchange prevailing during each period. Remeasurement adjustments are included in the consolidated statements of operations.</w:t>
      </w:r>
    </w:p>
    <w:p>
      <w:pPr>
        <w:spacing w:after="0" w:line="197"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Realized and unrealized foreign currency gains and losses arising from transactions denominated in currencies other than the subsidiary's functional currency are reflected in earnings with the exception of intercompany transactions considered to be of a long-term investment nature.</w:t>
      </w:r>
    </w:p>
    <w:p>
      <w:pPr>
        <w:spacing w:after="0" w:line="139"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The Company recorded losses on foreign currency remeasurement and transactions of $1.6 million, $7.2 million and $0.6 million for the years ended December 31, 2009, 2008 and 2007, respectively. These amounts include a gain of $0.8 million in the year ended December 31, 2009, a loss of $3.8 million in the year ended December 31, 2008 and a gain of $0.1 million in the year ended December 31, 2007 related to the Company's remeasurement of its U.S. dollar foreign subsidiaries. Foreign currency gains and losses are included as a component of General and administrative expenses in the consolidated statements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Unearned Accounts Receivable</w:t>
      </w:r>
    </w:p>
    <w:p>
      <w:pPr>
        <w:spacing w:after="0" w:line="231"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Accounts receivable, net, include unearned accounts receivable which represent products shipped to customers where Sonus has a contractual right to bill the customer and collectibility is probable under ordinary collection terms, but for which Sonus' revenue recognition criteria has not yet been satisfied.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Inventory is stated at the lower of cost (first-in, first-out basis) or market and consists of final assembly materials and finished goods.</w:t>
      </w:r>
    </w:p>
    <w:p>
      <w:pPr>
        <w:spacing w:after="0" w:line="225"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Deferred product costs represent deferred cost of revenue for product shipments to customers prior to satisfaction of Sonus' revenue recognition criteria. Such costs are classified as inventory if the deferred revenue is initially classified as current and in Other assets if the related deferred revenue is initially classified as long-term.</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 (Continued)</w:t>
      </w:r>
    </w:p>
    <w:p>
      <w:pPr>
        <w:spacing w:after="0" w:line="231"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color w:val="auto"/>
        </w:rPr>
        <w:t>Sonus provides inventory reserves based on excess and obsolete inventory determined primarily by future demand forecasts and estimated returns of defective product, and records charges to cost of revenues. Sonus assesses such demand forecasts and return history on at least a quarterly basis.</w:t>
      </w:r>
    </w:p>
    <w:p>
      <w:pPr>
        <w:spacing w:after="0" w:line="139"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Sonus records a full inventory reserve for evaluation equipment at the time of shipment to its customers, as it is probable that the inventory value will not be realizable.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31"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Property and equipment are stated at cost, net of accumulated depreciation. Expenditures for maintenance and repairs are charged to expense as incurred. Depreciation is computed using the straight-line method over the estimated useful lives of the related assets, which range from two to five years. Leasehold improvements are amortized over the lesser of the lease term or five years. When an asset is sold or retired, the cost and related accumulated depreciation or amortization is eliminated, and the resulting gain or loss, if any, is recognized in income (loss) from operations in the consolidated statement of operations. The Company reviews property and equipment for impairment in the same manner as intangible assets discussed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and Goodwill</w:t>
      </w:r>
    </w:p>
    <w:p>
      <w:pPr>
        <w:spacing w:after="0" w:line="231" w:lineRule="exact"/>
        <w:rPr>
          <w:sz w:val="20"/>
          <w:szCs w:val="20"/>
          <w:color w:val="auto"/>
        </w:rPr>
      </w:pPr>
    </w:p>
    <w:p>
      <w:pPr>
        <w:jc w:val="both"/>
        <w:ind w:right="600" w:firstLine="351"/>
        <w:spacing w:after="0" w:line="259" w:lineRule="auto"/>
        <w:rPr>
          <w:sz w:val="20"/>
          <w:szCs w:val="20"/>
          <w:color w:val="auto"/>
        </w:rPr>
      </w:pPr>
      <w:r>
        <w:rPr>
          <w:rFonts w:ascii="Arial" w:cs="Arial" w:eastAsia="Arial" w:hAnsi="Arial"/>
          <w:sz w:val="18"/>
          <w:szCs w:val="18"/>
          <w:color w:val="auto"/>
        </w:rPr>
        <w:t>Intangible assets are primarily comprised of intellectual property, which is amortized over its estimated useful life of five years. Intangible assets are reviewed for impairment when events or changes in circumstances indicate that their carrying amounts may not be recoverable based upon the estimated undiscounted cash flows.</w:t>
      </w:r>
    </w:p>
    <w:p>
      <w:pPr>
        <w:spacing w:after="0" w:line="19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Goodwill is recorded when the consideration for an acquisition exceeds the fair value of net tangible and identifiable intangible assets acquired. Goodwill is not amortized, but instead is tested for impairment at least annually, or if indicators of potential impairment exist by comparing the fair value of the Company's reporting unit to its carrying value. The Company estimates the fair value of its reporting unit using a discounted cash flow model or other valuation models, such as comparative transactions and market multiples. During the years ended December 31, 2009 and 2008, the Company completed its annual testing for impairment of goodwill and, based on those tests, concluded that no impairment of goodwill existed. The Company performs its annual testing on November 30 of each year.</w:t>
      </w:r>
    </w:p>
    <w:p>
      <w:pPr>
        <w:spacing w:after="0" w:line="198"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Intangible assets with estimated lives and other long-lived assets are reviewed for impairment when events or changes in circumstances indicate that the carrying amount of an asset may not be recoverable. Recoverability of intangible assets with estimated lives and other long-lived assets is measured by a comparison of the carrying amount of an asset or asset group to future net undiscounted cash flows expected to be generated by the asset or asset group. If these comparisons indicate that an asset is not recoverable, the Company will recognize an impairment loss for the amount by which the carrying value of the asset or asset group exceeds the related estimated fair value. Estimated fair value is based on either discounted future operating cash flows or appraised values, depending on the nature of the asset.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right="2940" w:firstLine="8"/>
        <w:spacing w:after="0" w:line="504" w:lineRule="auto"/>
        <w:tabs>
          <w:tab w:leader="none" w:pos="249"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(Continued) Other Assets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assets are primarily comprised of the long-term portion of deferred cost of goods sold, prepaid expenses and deposits.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Company's stock-based compensation cost is measured at the grant date based on the fair value of the award and is recognized as expense over the requisite service period, which generally represents the vesting period, and includes an estimate of the awards that will be forfeited. The Company uses the Black-Scholes valuation model for estimating the fair value on the date of grant of stock options. The fair value of stock option awards is affected by the Company's stock price as well as valuation assumptions, including the volatility of Sonus' stock price, expected term of the option, risk-free interest rate and expected dividends.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Research and development costs are expensed as incurred.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costs for the development of new software and substantial enhancements to existing software are expensed as incurred until technological feasibility has been established, at which time any additional costs would be capitalized until the product is available for general release. The Company has determined that technological feasibility is established at the time a working model of the software is completed. The Company's process for developing software is essentially completed concurrently with the establishment of technological feasibility. Accordingly, no costs have been capitalized to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and Off-Balance Sheet Risk and Single Source Suppliers</w:t>
      </w:r>
    </w:p>
    <w:p>
      <w:pPr>
        <w:spacing w:after="0" w:line="231"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financial instruments that potentially subject Sonus to concentrations of credit risk are cash, cash equivalents, marketable debt securities and accounts receivable. The Company's cash and cash equivalents were managed by two financial institutions at both December 31, 2009 and 2008.</w:t>
      </w:r>
    </w:p>
    <w:p>
      <w:pPr>
        <w:spacing w:after="0" w:line="139"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Certain components and software licenses from third parties used in Sonus' products are procured from single sources of supply. The failure of a supplier, including a subcontractor, to deliver on schedule could delay or interrupt Sonus' delivery of products and thereby materially adversely affect Sonus' revenues and operating results.</w:t>
      </w:r>
    </w:p>
    <w:p>
      <w:pPr>
        <w:spacing w:after="0" w:line="19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Sonus has a single contract manufacturer. Failure to manage the activities of the manufacturer could result in the disruption in the supply of its products and in delays in the fulfillment of the Company's customer orders.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31"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Advertising costs are expensed as incurred. Advertising expenses were $0.2 million, $0.4 million and $0.2 million for the years ended December 31, 2009, 2008 and 2007, respectively.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right="2940" w:firstLine="8"/>
        <w:spacing w:after="0" w:line="504" w:lineRule="auto"/>
        <w:tabs>
          <w:tab w:leader="none" w:pos="249"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(Continued) Comprehensive Income (Loss)</w:t>
      </w:r>
    </w:p>
    <w:p>
      <w:pPr>
        <w:spacing w:after="0" w:line="1"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Comprehensive income (loss) is comprised of net income (loss), unrealized gains and losses on available-for-sale marketable securities and foreign currency translation adjustments for all periods presented. The components of accumulated other comprehensive income (loss) are as follows (in thousands):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Unrealized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gain (loss)</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Tax impact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1"/>
              </w:rPr>
              <w:t>on</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of gain (loss)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Foreign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available-</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on available-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currency</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for-sale</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for-sale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translation</w:t>
            </w:r>
          </w:p>
        </w:tc>
        <w:tc>
          <w:tcPr>
            <w:tcW w:w="4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marketable</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marketable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adjustment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2"/>
              </w:rPr>
              <w:t>securities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2"/>
              </w:rPr>
              <w:t>securities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1,350</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5,157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(574)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6,085</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7,353</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(641)</w:t>
            </w:r>
          </w:p>
        </w:tc>
      </w:tr>
      <w:tr>
        <w:trPr>
          <w:trHeight w:val="21"/>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6,712</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the chief operating decision maker has made such decisions and assessed performance at the company level, as one segment. The Company's chief operating decision maker is its President and Chief Executive Officer.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Contingencies and Reserves</w:t>
      </w:r>
    </w:p>
    <w:p>
      <w:pPr>
        <w:spacing w:after="0" w:line="23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b w:val="1"/>
          <w:bCs w:val="1"/>
          <w:i w:val="1"/>
          <w:iCs w:val="1"/>
          <w:color w:val="auto"/>
        </w:rPr>
        <w:t xml:space="preserve">Loss Contingencies. </w:t>
      </w:r>
      <w:r>
        <w:rPr>
          <w:rFonts w:ascii="Arial" w:cs="Arial" w:eastAsia="Arial" w:hAnsi="Arial"/>
          <w:sz w:val="16"/>
          <w:szCs w:val="16"/>
          <w:color w:val="auto"/>
        </w:rPr>
        <w:t>Sonus is subject to ongoing business risks arising in the ordinary course of business that affect the estimation process of the carrying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of assets, the recording of liabilities and the possibility of various loss contingencies. An estimated loss contingency is accrued when it is probable that a liability has been incurred or an asset has been impaired and the amount of loss can be reasonably estimated. Sonus regularly evaluates current information available to determine whether such amounts should be adjusted and records changes in estimates in the period they become known.</w:t>
      </w:r>
    </w:p>
    <w:p>
      <w:pPr>
        <w:spacing w:after="0" w:line="167" w:lineRule="exact"/>
        <w:rPr>
          <w:sz w:val="20"/>
          <w:szCs w:val="20"/>
          <w:color w:val="auto"/>
        </w:rPr>
      </w:pPr>
    </w:p>
    <w:p>
      <w:pPr>
        <w:ind w:right="200" w:firstLine="345"/>
        <w:spacing w:after="0" w:line="259" w:lineRule="auto"/>
        <w:rPr>
          <w:sz w:val="20"/>
          <w:szCs w:val="20"/>
          <w:color w:val="auto"/>
        </w:rPr>
      </w:pPr>
      <w:r>
        <w:rPr>
          <w:rFonts w:ascii="Arial" w:cs="Arial" w:eastAsia="Arial" w:hAnsi="Arial"/>
          <w:sz w:val="18"/>
          <w:szCs w:val="18"/>
          <w:b w:val="1"/>
          <w:bCs w:val="1"/>
          <w:i w:val="1"/>
          <w:iCs w:val="1"/>
          <w:color w:val="auto"/>
        </w:rPr>
        <w:t xml:space="preserve">Allowance for Doubtful Accounts. </w:t>
      </w:r>
      <w:r>
        <w:rPr>
          <w:rFonts w:ascii="Arial" w:cs="Arial" w:eastAsia="Arial" w:hAnsi="Arial"/>
          <w:sz w:val="18"/>
          <w:szCs w:val="18"/>
          <w:color w:val="auto"/>
        </w:rPr>
        <w:t>Sonus establishes billing terms at the time it negotiates purchase agreements with its customers. Sonus monitors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receivables for timely payments and potential collection issues. An allowance for doubtful accounts is estimated based on Sonus' assessment of the collectibility of specific customer accounts.</w:t>
      </w:r>
    </w:p>
    <w:p>
      <w:pPr>
        <w:spacing w:after="0" w:line="194"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Royalty Accrual. </w:t>
      </w:r>
      <w:r>
        <w:rPr>
          <w:rFonts w:ascii="Arial" w:cs="Arial" w:eastAsia="Arial" w:hAnsi="Arial"/>
          <w:sz w:val="18"/>
          <w:szCs w:val="18"/>
          <w:color w:val="auto"/>
        </w:rPr>
        <w:t>Sonus accrues for royalties for technology it licenses from vendors based on established royalty rates and usage. In certain cases, Sonus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been contacted by third parties who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claim that Sonus' products infringe on certain intellectual property of the third party. Sonus evaluates these claims and accrues for royalties when it is probable that the obligation has been incurred and the amounts are reasonably estimable.</w:t>
      </w:r>
    </w:p>
    <w:p>
      <w:pPr>
        <w:spacing w:after="0" w:line="186" w:lineRule="exact"/>
        <w:rPr>
          <w:sz w:val="20"/>
          <w:szCs w:val="20"/>
          <w:color w:val="auto"/>
        </w:rPr>
      </w:pPr>
    </w:p>
    <w:p>
      <w:pPr>
        <w:ind w:right="120" w:firstLine="351"/>
        <w:spacing w:after="0" w:line="323" w:lineRule="auto"/>
        <w:rPr>
          <w:sz w:val="20"/>
          <w:szCs w:val="20"/>
          <w:color w:val="auto"/>
        </w:rPr>
      </w:pPr>
      <w:r>
        <w:rPr>
          <w:rFonts w:ascii="Arial" w:cs="Arial" w:eastAsia="Arial" w:hAnsi="Arial"/>
          <w:sz w:val="15"/>
          <w:szCs w:val="15"/>
          <w:b w:val="1"/>
          <w:bCs w:val="1"/>
          <w:i w:val="1"/>
          <w:iCs w:val="1"/>
          <w:color w:val="auto"/>
        </w:rPr>
        <w:t xml:space="preserve">Reserve for Litigation and Legal Fees. </w:t>
      </w:r>
      <w:r>
        <w:rPr>
          <w:rFonts w:ascii="Arial" w:cs="Arial" w:eastAsia="Arial" w:hAnsi="Arial"/>
          <w:sz w:val="15"/>
          <w:szCs w:val="15"/>
          <w:color w:val="auto"/>
        </w:rPr>
        <w:t>Sonus is subject to various legal claims, including securities litigation. Sonus reserves for legal contingencies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legal fees when it is probable that a loss has been incurred and the amounts are reasonably estimable. Sonus' director and officer liability insurance policies provide only limited liability protection relating to the securities class action and derivative lawsuits against Sonus and certain of its officers and directors. The ultimate outcome of these items is uncertain and the potential loss, if any, may be significantly different than the amounts Sonus has previously accrued.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Deferred tax assets and liabilities are recognized for the expected future consequences of events that have been reflected in the financial statements. Deferred tax assets and liabilities are determined based on the differences between the book and tax bases of assets and liabilities and operating loss carryforwards, using tax rates expected to be in effect for the years in which the differences are expected to reverse. Such differences arise primarily from stock-based compensation, depreciation, accruals and reserves, deferred revenue, tax credits, net operating loss carryforwards and allowances for accounts receivable. Sonus records valuation allowances to reduce deferred income tax assets to the amount that is more likely than not to be realized. Sonus has not provided for U.S. income taxes on the undistributed earnings of non-U.S. subsidiaries, as the Company plans to permanently reinvest these amounts. Cumulative undistributed foreign earnings were $15.5 million and $10.1 million at December 31, 2009 and 2008, respectively.</w:t>
      </w:r>
    </w:p>
    <w:p>
      <w:pPr>
        <w:spacing w:after="0" w:line="172"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Company determines whether it is more likely than not that a tax position will be sustained upon examination. If it is not more likely than not that a position will be sustained, no amount of the benefit attributable to the position is recognized. The tax benefit to be recognized of any tax position that meets the more likely than not recognition threshold is calculated as the largest amount that is more than 50% likely of being realized upon resolution of the contingency. The Company accounts for interest and penalties related to uncertain tax positions as part of its provision for income taxes.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Immaterial Restatement</w:t>
      </w:r>
    </w:p>
    <w:p>
      <w:pPr>
        <w:spacing w:after="0" w:line="231" w:lineRule="exact"/>
        <w:rPr>
          <w:sz w:val="20"/>
          <w:szCs w:val="20"/>
          <w:color w:val="auto"/>
        </w:rPr>
      </w:pPr>
    </w:p>
    <w:p>
      <w:pPr>
        <w:ind w:right="40" w:firstLine="351"/>
        <w:spacing w:after="0" w:line="312" w:lineRule="auto"/>
        <w:rPr>
          <w:sz w:val="20"/>
          <w:szCs w:val="20"/>
          <w:color w:val="auto"/>
        </w:rPr>
      </w:pPr>
      <w:r>
        <w:rPr>
          <w:rFonts w:ascii="Arial" w:cs="Arial" w:eastAsia="Arial" w:hAnsi="Arial"/>
          <w:sz w:val="15"/>
          <w:szCs w:val="15"/>
          <w:color w:val="auto"/>
        </w:rPr>
        <w:t>During the second quarter of 2009, the Company identified an error in the calculation of stock-based compensation expense for prior periods. The Company's third party equity accounting software calculated stock-based compensation expense after consideration of the impact of estimated forfeitures. However, the amount of stock-based compensation expense recognized at any date did not equal at least the grant date fair value of the vested portion of each award as of that date. Because the Company's stock option awards generally vest on a monthly basis after the first anniversary date of the award, the Company under-recognized stock-based compensation expense in certain periods. This error changes the timing of stock-based compensation expense recognition, but does not change the total stock-based compensation expense. As stock-based compensation expense is a non-cash item, this error did not impact net cash provided by (used in) operations in any period. This error resulted in the understatement of stock-based compensation expense, with a corresponding understatement of</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additional paid-in capital, in the amounts of $2.5 million and $0.7 million for the years ended December 31, 2008 and 2007, respectively. The stock-based compensation related to deductible awards would also impact the tax provision prior to recognition of a valuation allowance on deferred tax assets in the fourth quarter of 2008.</w:t>
      </w:r>
    </w:p>
    <w:p>
      <w:pPr>
        <w:spacing w:after="0" w:line="194"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Company believes the correction of this error is not material to its previously issued historical consolidated financial statements; therefore, the Company has restated its 2007 and 2008 consolidated financial statements in this Annual Report on Form 10-K.</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effects of this restatement on the Company's Consolidated Balance Sheet as of December 31, 2008 and Consolidated Statements of Operations and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Cash Flows for the years ended December 31, 2008 and 2007 are as follows (in thousands, except per share data):</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effects of this immaterial restatement on the Consolidated Balance Sheet as of December 31, 2008 are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1"/>
              </w:rPr>
              <w:t>As previously</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reported</w:t>
            </w: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Adjustment</w:t>
            </w:r>
          </w:p>
        </w:tc>
        <w:tc>
          <w:tcPr>
            <w:tcW w:w="120" w:type="dxa"/>
            <w:vAlign w:val="bottom"/>
          </w:tcPr>
          <w:p>
            <w:pPr>
              <w:spacing w:after="0"/>
              <w:rPr>
                <w:sz w:val="14"/>
                <w:szCs w:val="14"/>
                <w:color w:val="auto"/>
              </w:rPr>
            </w:pPr>
          </w:p>
        </w:tc>
        <w:tc>
          <w:tcPr>
            <w:tcW w:w="3240" w:type="dxa"/>
            <w:vAlign w:val="bottom"/>
            <w:gridSpan w:val="3"/>
          </w:tcPr>
          <w:p>
            <w:pPr>
              <w:ind w:left="2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40" w:type="dxa"/>
            <w:vAlign w:val="bottom"/>
          </w:tcPr>
          <w:p>
            <w:pPr>
              <w:ind w:left="120"/>
              <w:spacing w:after="0"/>
              <w:rPr>
                <w:sz w:val="20"/>
                <w:szCs w:val="20"/>
                <w:color w:val="auto"/>
              </w:rPr>
            </w:pPr>
            <w:r>
              <w:rPr>
                <w:rFonts w:ascii="Arial" w:cs="Arial" w:eastAsia="Arial" w:hAnsi="Arial"/>
                <w:sz w:val="18"/>
                <w:szCs w:val="18"/>
                <w:color w:val="auto"/>
              </w:rPr>
              <w:t>Preferred stock</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4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1,269,790</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1,272,952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(870,716)</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(873,878)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40" w:type="dxa"/>
            <w:vAlign w:val="bottom"/>
          </w:tcPr>
          <w:p>
            <w:pPr>
              <w:ind w:left="120"/>
              <w:spacing w:after="0"/>
              <w:rPr>
                <w:sz w:val="20"/>
                <w:szCs w:val="20"/>
                <w:color w:val="auto"/>
              </w:rPr>
            </w:pPr>
            <w:r>
              <w:rPr>
                <w:rFonts w:ascii="Arial" w:cs="Arial" w:eastAsia="Arial" w:hAnsi="Arial"/>
                <w:sz w:val="18"/>
                <w:szCs w:val="18"/>
                <w:color w:val="auto"/>
                <w:w w:val="91"/>
              </w:rPr>
              <w:t>Accumulated other comprehensive income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7,353</w:t>
            </w:r>
          </w:p>
        </w:tc>
        <w:tc>
          <w:tcPr>
            <w:tcW w:w="2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7,353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Treasury stock</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3240" w:type="dxa"/>
            <w:vAlign w:val="bottom"/>
            <w:vMerge w:val="restart"/>
          </w:tcPr>
          <w:p>
            <w:pPr>
              <w:ind w:left="260"/>
              <w:spacing w:after="0"/>
              <w:rPr>
                <w:sz w:val="20"/>
                <w:szCs w:val="20"/>
                <w:color w:val="auto"/>
              </w:rPr>
            </w:pPr>
            <w:r>
              <w:rPr>
                <w:rFonts w:ascii="Arial" w:cs="Arial" w:eastAsia="Arial" w:hAnsi="Arial"/>
                <w:sz w:val="18"/>
                <w:szCs w:val="18"/>
                <w:color w:val="auto"/>
              </w:rPr>
              <w:t>Total stockholders' equity</w:t>
            </w:r>
          </w:p>
        </w:tc>
        <w:tc>
          <w:tcPr>
            <w:tcW w:w="560" w:type="dxa"/>
            <w:vAlign w:val="bottom"/>
            <w:gridSpan w:val="2"/>
          </w:tcPr>
          <w:p>
            <w:pPr>
              <w:spacing w:after="0"/>
              <w:rPr>
                <w:sz w:val="2"/>
                <w:szCs w:val="2"/>
                <w:color w:val="auto"/>
              </w:rPr>
            </w:pPr>
          </w:p>
        </w:tc>
        <w:tc>
          <w:tcPr>
            <w:tcW w:w="9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406,435</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406,435</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20" w:type="dxa"/>
            <w:vAlign w:val="bottom"/>
            <w:vMerge w:val="restart"/>
          </w:tcPr>
          <w:p>
            <w:pPr>
              <w:jc w:val="right"/>
              <w:ind w:right="72"/>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 (Continued)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effects of this immaterial restatement on the Consolidated Statements of Operations for the years ended December 31, 2008 and 2007 are as follows (in thousands, except per share data):</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740" w:type="dxa"/>
            <w:vAlign w:val="bottom"/>
            <w:tcBorders>
              <w:top w:val="single" w:sz="8" w:color="auto"/>
              <w:bottom w:val="single" w:sz="8" w:color="auto"/>
            </w:tcBorders>
            <w:gridSpan w:val="7"/>
          </w:tcPr>
          <w:p>
            <w:pPr>
              <w:jc w:val="right"/>
              <w:ind w:right="492"/>
              <w:spacing w:after="0"/>
              <w:rPr>
                <w:sz w:val="20"/>
                <w:szCs w:val="20"/>
                <w:color w:val="auto"/>
              </w:rPr>
            </w:pPr>
            <w:r>
              <w:rPr>
                <w:rFonts w:ascii="Arial" w:cs="Arial" w:eastAsia="Arial" w:hAnsi="Arial"/>
                <w:sz w:val="14"/>
                <w:szCs w:val="14"/>
                <w:b w:val="1"/>
                <w:bCs w:val="1"/>
                <w:color w:val="auto"/>
              </w:rPr>
              <w:t>Year ended December 31, 2008</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2760" w:type="dxa"/>
            <w:vAlign w:val="bottom"/>
            <w:tcBorders>
              <w:top w:val="single" w:sz="8" w:color="auto"/>
              <w:bottom w:val="single" w:sz="8" w:color="auto"/>
            </w:tcBorders>
            <w:gridSpan w:val="7"/>
          </w:tcPr>
          <w:p>
            <w:pPr>
              <w:jc w:val="right"/>
              <w:ind w:right="512"/>
              <w:spacing w:after="0"/>
              <w:rPr>
                <w:sz w:val="20"/>
                <w:szCs w:val="20"/>
                <w:color w:val="auto"/>
              </w:rPr>
            </w:pPr>
            <w:r>
              <w:rPr>
                <w:rFonts w:ascii="Arial" w:cs="Arial" w:eastAsia="Arial" w:hAnsi="Arial"/>
                <w:sz w:val="14"/>
                <w:szCs w:val="14"/>
                <w:b w:val="1"/>
                <w:bCs w:val="1"/>
                <w:color w:val="auto"/>
              </w:rPr>
              <w:t>Year ended December 31, 2007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10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1"/>
              </w:rPr>
              <w:t>As previously</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1"/>
              </w:rPr>
              <w:t>As previously</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reported</w:t>
            </w:r>
          </w:p>
        </w:tc>
        <w:tc>
          <w:tcPr>
            <w:tcW w:w="9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Adjustment</w:t>
            </w:r>
          </w:p>
        </w:tc>
        <w:tc>
          <w:tcPr>
            <w:tcW w:w="8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As restated</w:t>
            </w:r>
          </w:p>
        </w:tc>
        <w:tc>
          <w:tcPr>
            <w:tcW w:w="1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reported</w:t>
            </w:r>
          </w:p>
        </w:tc>
        <w:tc>
          <w:tcPr>
            <w:tcW w:w="9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Adjustment</w:t>
            </w:r>
          </w:p>
        </w:tc>
        <w:tc>
          <w:tcPr>
            <w:tcW w:w="8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As restated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ind w:left="100"/>
              <w:spacing w:after="0" w:line="149" w:lineRule="exact"/>
              <w:rPr>
                <w:sz w:val="20"/>
                <w:szCs w:val="20"/>
                <w:color w:val="auto"/>
              </w:rPr>
            </w:pPr>
            <w:r>
              <w:rPr>
                <w:rFonts w:ascii="Arial" w:cs="Arial" w:eastAsia="Arial" w:hAnsi="Arial"/>
                <w:sz w:val="14"/>
                <w:szCs w:val="14"/>
                <w:color w:val="auto"/>
              </w:rPr>
              <w:t>Product</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203,387</w:t>
            </w:r>
          </w:p>
        </w:tc>
        <w:tc>
          <w:tcPr>
            <w:tcW w:w="160" w:type="dxa"/>
            <w:vAlign w:val="bottom"/>
          </w:tcPr>
          <w:p>
            <w:pPr>
              <w:spacing w:after="0"/>
              <w:rPr>
                <w:sz w:val="12"/>
                <w:szCs w:val="12"/>
                <w:color w:val="auto"/>
              </w:rPr>
            </w:pPr>
          </w:p>
        </w:tc>
        <w:tc>
          <w:tcPr>
            <w:tcW w:w="28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203,387</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225,644</w:t>
            </w:r>
          </w:p>
        </w:tc>
        <w:tc>
          <w:tcPr>
            <w:tcW w:w="160" w:type="dxa"/>
            <w:vAlign w:val="bottom"/>
          </w:tcPr>
          <w:p>
            <w:pPr>
              <w:spacing w:after="0"/>
              <w:rPr>
                <w:sz w:val="12"/>
                <w:szCs w:val="12"/>
                <w:color w:val="auto"/>
              </w:rPr>
            </w:pPr>
          </w:p>
        </w:tc>
        <w:tc>
          <w:tcPr>
            <w:tcW w:w="320" w:type="dxa"/>
            <w:vAlign w:val="bottom"/>
          </w:tcPr>
          <w:p>
            <w:pPr>
              <w:jc w:val="right"/>
              <w:ind w:right="207"/>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225,644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Service</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109,758</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109,758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93,771</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93,771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20" w:type="dxa"/>
            <w:vAlign w:val="bottom"/>
            <w:vMerge w:val="restart"/>
          </w:tcPr>
          <w:p>
            <w:pPr>
              <w:ind w:left="200"/>
              <w:spacing w:after="0"/>
              <w:rPr>
                <w:sz w:val="20"/>
                <w:szCs w:val="20"/>
                <w:color w:val="auto"/>
              </w:rPr>
            </w:pPr>
            <w:r>
              <w:rPr>
                <w:rFonts w:ascii="Arial" w:cs="Arial" w:eastAsia="Arial" w:hAnsi="Arial"/>
                <w:sz w:val="14"/>
                <w:szCs w:val="14"/>
                <w:color w:val="auto"/>
              </w:rPr>
              <w:t>Total revenue</w:t>
            </w: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2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313,145</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313,145</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319,415</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319,415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Cost of revenue:</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ind w:left="100"/>
              <w:spacing w:after="0" w:line="149" w:lineRule="exact"/>
              <w:rPr>
                <w:sz w:val="20"/>
                <w:szCs w:val="20"/>
                <w:color w:val="auto"/>
              </w:rPr>
            </w:pPr>
            <w:r>
              <w:rPr>
                <w:rFonts w:ascii="Arial" w:cs="Arial" w:eastAsia="Arial" w:hAnsi="Arial"/>
                <w:sz w:val="14"/>
                <w:szCs w:val="14"/>
                <w:color w:val="auto"/>
              </w:rPr>
              <w:t>Product</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74,168</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74,274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90,947</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90,976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Service</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55,704</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56,020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37,424</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37,513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20" w:type="dxa"/>
            <w:vAlign w:val="bottom"/>
            <w:vMerge w:val="restart"/>
          </w:tcPr>
          <w:p>
            <w:pPr>
              <w:ind w:left="200"/>
              <w:spacing w:after="0"/>
              <w:rPr>
                <w:sz w:val="20"/>
                <w:szCs w:val="20"/>
                <w:color w:val="auto"/>
              </w:rPr>
            </w:pPr>
            <w:r>
              <w:rPr>
                <w:rFonts w:ascii="Arial" w:cs="Arial" w:eastAsia="Arial" w:hAnsi="Arial"/>
                <w:sz w:val="14"/>
                <w:szCs w:val="14"/>
                <w:color w:val="auto"/>
              </w:rPr>
              <w:t>Total cost of revenue</w:t>
            </w: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2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129,872</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130,294</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128,371</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128,489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Gross profit</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183,273</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(422)</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182,851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191,044</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(118)</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190,926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140" w:type="dxa"/>
            <w:vAlign w:val="bottom"/>
            <w:gridSpan w:val="2"/>
            <w:vMerge w:val="restart"/>
          </w:tcPr>
          <w:p>
            <w:pPr>
              <w:spacing w:after="0"/>
              <w:rPr>
                <w:sz w:val="20"/>
                <w:szCs w:val="20"/>
                <w:color w:val="auto"/>
              </w:rPr>
            </w:pPr>
            <w:r>
              <w:rPr>
                <w:rFonts w:ascii="Arial" w:cs="Arial" w:eastAsia="Arial" w:hAnsi="Arial"/>
                <w:sz w:val="14"/>
                <w:szCs w:val="14"/>
                <w:color w:val="auto"/>
              </w:rPr>
              <w:t>Operating expenses:</w:t>
            </w: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Research and development</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72,223</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73,098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78,652</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78,898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ind w:left="100"/>
              <w:spacing w:after="0" w:line="149" w:lineRule="exact"/>
              <w:rPr>
                <w:sz w:val="20"/>
                <w:szCs w:val="20"/>
                <w:color w:val="auto"/>
              </w:rPr>
            </w:pPr>
            <w:r>
              <w:rPr>
                <w:rFonts w:ascii="Arial" w:cs="Arial" w:eastAsia="Arial" w:hAnsi="Arial"/>
                <w:sz w:val="14"/>
                <w:szCs w:val="14"/>
                <w:color w:val="auto"/>
              </w:rPr>
              <w:t>Sales and marketing</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73,499</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865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74,364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81,358</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244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81,602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General and administrative</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61,739</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62,045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56,566</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56,652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ind w:left="100"/>
              <w:spacing w:after="0" w:line="149" w:lineRule="exact"/>
              <w:rPr>
                <w:sz w:val="20"/>
                <w:szCs w:val="20"/>
                <w:color w:val="auto"/>
              </w:rPr>
            </w:pPr>
            <w:r>
              <w:rPr>
                <w:rFonts w:ascii="Arial" w:cs="Arial" w:eastAsia="Arial" w:hAnsi="Arial"/>
                <w:sz w:val="14"/>
                <w:szCs w:val="14"/>
                <w:color w:val="auto"/>
              </w:rPr>
              <w:t>Litigation settlements</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19,100</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19,100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24,672</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24,672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Impairment of intangible assets</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2,727</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20" w:type="dxa"/>
            <w:vAlign w:val="bottom"/>
          </w:tcPr>
          <w:p>
            <w:pPr>
              <w:ind w:left="100"/>
              <w:spacing w:after="0"/>
              <w:rPr>
                <w:sz w:val="20"/>
                <w:szCs w:val="20"/>
                <w:color w:val="auto"/>
              </w:rPr>
            </w:pPr>
            <w:r>
              <w:rPr>
                <w:rFonts w:ascii="Arial" w:cs="Arial" w:eastAsia="Arial" w:hAnsi="Arial"/>
                <w:sz w:val="14"/>
                <w:szCs w:val="14"/>
                <w:color w:val="auto"/>
              </w:rPr>
              <w:t>Restructuring</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702</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20" w:type="dxa"/>
            <w:vAlign w:val="bottom"/>
            <w:shd w:val="clear" w:color="auto" w:fill="CCEEFF"/>
          </w:tcPr>
          <w:p>
            <w:pPr>
              <w:ind w:left="200"/>
              <w:spacing w:after="0" w:line="144" w:lineRule="exact"/>
              <w:rPr>
                <w:sz w:val="20"/>
                <w:szCs w:val="20"/>
                <w:color w:val="auto"/>
              </w:rPr>
            </w:pPr>
            <w:r>
              <w:rPr>
                <w:rFonts w:ascii="Arial" w:cs="Arial" w:eastAsia="Arial" w:hAnsi="Arial"/>
                <w:sz w:val="14"/>
                <w:szCs w:val="14"/>
                <w:color w:val="auto"/>
              </w:rPr>
              <w:t>Total operating expenses</w:t>
            </w: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229,990</w:t>
            </w:r>
          </w:p>
        </w:tc>
        <w:tc>
          <w:tcPr>
            <w:tcW w:w="16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2,046</w:t>
            </w: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232,036</w:t>
            </w: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241,248</w:t>
            </w:r>
          </w:p>
        </w:tc>
        <w:tc>
          <w:tcPr>
            <w:tcW w:w="16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576</w:t>
            </w: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241,824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140" w:type="dxa"/>
            <w:vAlign w:val="bottom"/>
            <w:gridSpan w:val="2"/>
            <w:vMerge w:val="restart"/>
          </w:tcPr>
          <w:p>
            <w:pPr>
              <w:spacing w:after="0"/>
              <w:rPr>
                <w:sz w:val="20"/>
                <w:szCs w:val="20"/>
                <w:color w:val="auto"/>
              </w:rPr>
            </w:pPr>
            <w:r>
              <w:rPr>
                <w:rFonts w:ascii="Arial" w:cs="Arial" w:eastAsia="Arial" w:hAnsi="Arial"/>
                <w:sz w:val="14"/>
                <w:szCs w:val="14"/>
                <w:color w:val="auto"/>
              </w:rPr>
              <w:t>Loss from operations</w:t>
            </w: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14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(46,717)</w:t>
            </w:r>
          </w:p>
        </w:tc>
        <w:tc>
          <w:tcPr>
            <w:tcW w:w="1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(2,468)</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(49,185)</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(50,204)</w:t>
            </w:r>
          </w:p>
        </w:tc>
        <w:tc>
          <w:tcPr>
            <w:tcW w:w="1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(694)</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(50,898)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(291)</w:t>
            </w: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(291)</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(164)</w:t>
            </w: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12,643</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12,643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18,393</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18,393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net</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1,068</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140" w:type="dxa"/>
            <w:vAlign w:val="bottom"/>
            <w:gridSpan w:val="2"/>
            <w:vMerge w:val="restart"/>
          </w:tcPr>
          <w:p>
            <w:pPr>
              <w:spacing w:after="0"/>
              <w:rPr>
                <w:sz w:val="20"/>
                <w:szCs w:val="20"/>
                <w:color w:val="auto"/>
              </w:rPr>
            </w:pPr>
            <w:r>
              <w:rPr>
                <w:rFonts w:ascii="Arial" w:cs="Arial" w:eastAsia="Arial" w:hAnsi="Arial"/>
                <w:sz w:val="14"/>
                <w:szCs w:val="14"/>
                <w:color w:val="auto"/>
                <w:w w:val="95"/>
              </w:rPr>
              <w:t>Loss from continuing operations before income taxes</w:t>
            </w: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14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(34,007)</w:t>
            </w:r>
          </w:p>
        </w:tc>
        <w:tc>
          <w:tcPr>
            <w:tcW w:w="1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(2,468)</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(36,475)</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(30,907)</w:t>
            </w:r>
          </w:p>
        </w:tc>
        <w:tc>
          <w:tcPr>
            <w:tcW w:w="1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(694)</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(31,601)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(provision) benefit</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(79,557)</w:t>
            </w: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(118)</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(79,675)</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8,356</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8,474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140" w:type="dxa"/>
            <w:vAlign w:val="bottom"/>
            <w:gridSpan w:val="2"/>
            <w:vMerge w:val="restart"/>
          </w:tcPr>
          <w:p>
            <w:pPr>
              <w:spacing w:after="0"/>
              <w:rPr>
                <w:sz w:val="20"/>
                <w:szCs w:val="20"/>
                <w:color w:val="auto"/>
              </w:rPr>
            </w:pPr>
            <w:r>
              <w:rPr>
                <w:rFonts w:ascii="Arial" w:cs="Arial" w:eastAsia="Arial" w:hAnsi="Arial"/>
                <w:sz w:val="14"/>
                <w:szCs w:val="14"/>
                <w:color w:val="auto"/>
              </w:rPr>
              <w:t>Loss from continuing operations</w:t>
            </w: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14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(113,564)</w:t>
            </w:r>
          </w:p>
        </w:tc>
        <w:tc>
          <w:tcPr>
            <w:tcW w:w="1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(2,586)</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(116,150)</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(22,551)</w:t>
            </w:r>
          </w:p>
        </w:tc>
        <w:tc>
          <w:tcPr>
            <w:tcW w:w="1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(576)</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(23,127)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discontinued operations, net of tax</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(4,491)</w:t>
            </w: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(4,491)</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(1,086)</w:t>
            </w: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(1,086)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tcPr>
          <w:p>
            <w:pPr>
              <w:spacing w:after="0" w:line="138" w:lineRule="exact"/>
              <w:rPr>
                <w:sz w:val="20"/>
                <w:szCs w:val="20"/>
                <w:color w:val="auto"/>
              </w:rPr>
            </w:pPr>
            <w:r>
              <w:rPr>
                <w:rFonts w:ascii="Arial" w:cs="Arial" w:eastAsia="Arial" w:hAnsi="Arial"/>
                <w:sz w:val="14"/>
                <w:szCs w:val="14"/>
                <w:color w:val="auto"/>
                <w:w w:val="94"/>
              </w:rPr>
              <w:t>Loss from disposal of discontinued operations, net of</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20" w:type="dxa"/>
            <w:vAlign w:val="bottom"/>
          </w:tcPr>
          <w:p>
            <w:pPr>
              <w:ind w:left="140"/>
              <w:spacing w:after="0"/>
              <w:rPr>
                <w:sz w:val="20"/>
                <w:szCs w:val="20"/>
                <w:color w:val="auto"/>
              </w:rPr>
            </w:pPr>
            <w:r>
              <w:rPr>
                <w:rFonts w:ascii="Arial" w:cs="Arial" w:eastAsia="Arial" w:hAnsi="Arial"/>
                <w:sz w:val="14"/>
                <w:szCs w:val="14"/>
                <w:color w:val="auto"/>
              </w:rPr>
              <w:t>tax</w:t>
            </w:r>
          </w:p>
        </w:tc>
        <w:tc>
          <w:tcPr>
            <w:tcW w:w="1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(741)</w:t>
            </w:r>
          </w:p>
        </w:tc>
        <w:tc>
          <w:tcPr>
            <w:tcW w:w="2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(741)</w:t>
            </w:r>
          </w:p>
        </w:tc>
        <w:tc>
          <w:tcPr>
            <w:tcW w:w="14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(118,796)</w:t>
            </w:r>
          </w:p>
        </w:tc>
        <w:tc>
          <w:tcPr>
            <w:tcW w:w="2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(2,586)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(121,382)</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(23,637)</w:t>
            </w:r>
          </w:p>
        </w:tc>
        <w:tc>
          <w:tcPr>
            <w:tcW w:w="320" w:type="dxa"/>
            <w:vAlign w:val="bottom"/>
            <w:shd w:val="clear" w:color="auto" w:fill="CCEEFF"/>
          </w:tcPr>
          <w:p>
            <w:pPr>
              <w:jc w:val="right"/>
              <w:ind w:right="207"/>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(24,213)</w:t>
            </w:r>
          </w:p>
        </w:tc>
        <w:tc>
          <w:tcPr>
            <w:tcW w:w="0" w:type="dxa"/>
            <w:vAlign w:val="bottom"/>
          </w:tcPr>
          <w:p>
            <w:pPr>
              <w:spacing w:after="0"/>
              <w:rPr>
                <w:sz w:val="1"/>
                <w:szCs w:val="1"/>
                <w:color w:val="auto"/>
              </w:rPr>
            </w:pPr>
          </w:p>
        </w:tc>
      </w:tr>
      <w:tr>
        <w:trPr>
          <w:trHeight w:val="27"/>
        </w:trPr>
        <w:tc>
          <w:tcPr>
            <w:tcW w:w="3140" w:type="dxa"/>
            <w:vAlign w:val="bottom"/>
            <w:gridSpan w:val="2"/>
            <w:vMerge w:val="restart"/>
          </w:tcPr>
          <w:p>
            <w:pPr>
              <w:spacing w:after="0"/>
              <w:rPr>
                <w:sz w:val="20"/>
                <w:szCs w:val="20"/>
                <w:color w:val="auto"/>
              </w:rPr>
            </w:pPr>
            <w:r>
              <w:rPr>
                <w:rFonts w:ascii="Arial" w:cs="Arial" w:eastAsia="Arial" w:hAnsi="Arial"/>
                <w:sz w:val="14"/>
                <w:szCs w:val="14"/>
                <w:color w:val="auto"/>
              </w:rPr>
              <w:t>Loss per share:</w:t>
            </w: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4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Basic:</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ind w:left="200"/>
              <w:spacing w:after="0" w:line="149" w:lineRule="exact"/>
              <w:rPr>
                <w:sz w:val="20"/>
                <w:szCs w:val="20"/>
                <w:color w:val="auto"/>
              </w:rPr>
            </w:pPr>
            <w:r>
              <w:rPr>
                <w:rFonts w:ascii="Arial" w:cs="Arial" w:eastAsia="Arial" w:hAnsi="Arial"/>
                <w:sz w:val="14"/>
                <w:szCs w:val="14"/>
                <w:color w:val="auto"/>
              </w:rPr>
              <w:t>Continuing operations</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(0.42)</w:t>
            </w:r>
          </w:p>
        </w:tc>
        <w:tc>
          <w:tcPr>
            <w:tcW w:w="28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(0.43)</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(0.09)</w:t>
            </w:r>
          </w:p>
        </w:tc>
        <w:tc>
          <w:tcPr>
            <w:tcW w:w="320" w:type="dxa"/>
            <w:vAlign w:val="bottom"/>
          </w:tcPr>
          <w:p>
            <w:pPr>
              <w:jc w:val="right"/>
              <w:ind w:right="207"/>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Discontinued operations</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(0.02)</w:t>
            </w: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(0.02)</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(0.44)</w:t>
            </w: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(0.01)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(0.45)</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(0.09)</w:t>
            </w:r>
          </w:p>
        </w:tc>
        <w:tc>
          <w:tcPr>
            <w:tcW w:w="320" w:type="dxa"/>
            <w:vAlign w:val="bottom"/>
          </w:tcPr>
          <w:p>
            <w:pPr>
              <w:jc w:val="right"/>
              <w:ind w:right="207"/>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3120" w:type="dxa"/>
            <w:vAlign w:val="bottom"/>
            <w:shd w:val="clear" w:color="auto" w:fill="CCEEFF"/>
          </w:tcPr>
          <w:p>
            <w:pPr>
              <w:ind w:left="100"/>
              <w:spacing w:after="0" w:line="136" w:lineRule="exact"/>
              <w:rPr>
                <w:sz w:val="20"/>
                <w:szCs w:val="20"/>
                <w:color w:val="auto"/>
              </w:rPr>
            </w:pPr>
            <w:r>
              <w:rPr>
                <w:rFonts w:ascii="Arial" w:cs="Arial" w:eastAsia="Arial" w:hAnsi="Arial"/>
                <w:sz w:val="14"/>
                <w:szCs w:val="14"/>
                <w:color w:val="auto"/>
              </w:rPr>
              <w:t>Diluted:</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ind w:left="200"/>
              <w:spacing w:after="0" w:line="149" w:lineRule="exact"/>
              <w:rPr>
                <w:sz w:val="20"/>
                <w:szCs w:val="20"/>
                <w:color w:val="auto"/>
              </w:rPr>
            </w:pPr>
            <w:r>
              <w:rPr>
                <w:rFonts w:ascii="Arial" w:cs="Arial" w:eastAsia="Arial" w:hAnsi="Arial"/>
                <w:sz w:val="14"/>
                <w:szCs w:val="14"/>
                <w:color w:val="auto"/>
              </w:rPr>
              <w:t>Continuing operations</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(0.42)</w:t>
            </w:r>
          </w:p>
        </w:tc>
        <w:tc>
          <w:tcPr>
            <w:tcW w:w="28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(0.43)</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(0.09)</w:t>
            </w:r>
          </w:p>
        </w:tc>
        <w:tc>
          <w:tcPr>
            <w:tcW w:w="320" w:type="dxa"/>
            <w:vAlign w:val="bottom"/>
          </w:tcPr>
          <w:p>
            <w:pPr>
              <w:jc w:val="right"/>
              <w:ind w:right="207"/>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Discontinued operations</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(0.02)</w:t>
            </w: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(0.02)</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(0.44)</w:t>
            </w: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(0.01)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(0.45)</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(0.09)</w:t>
            </w:r>
          </w:p>
        </w:tc>
        <w:tc>
          <w:tcPr>
            <w:tcW w:w="320" w:type="dxa"/>
            <w:vAlign w:val="bottom"/>
          </w:tcPr>
          <w:p>
            <w:pPr>
              <w:jc w:val="right"/>
              <w:ind w:right="207"/>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 (Continued)</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effects of this immaterial restatement on the Consolidated Statements of Cash Flows for the years ended December 31, 2008 and 2007 are as follows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December 31, 2008</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December 31, 2007</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10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1"/>
              </w:rPr>
              <w:t>As previously</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1"/>
              </w:rPr>
              <w:t>As previously</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reported</w:t>
            </w:r>
          </w:p>
        </w:tc>
        <w:tc>
          <w:tcPr>
            <w:tcW w:w="9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Adjustment</w:t>
            </w:r>
          </w:p>
        </w:tc>
        <w:tc>
          <w:tcPr>
            <w:tcW w:w="8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As restated</w:t>
            </w:r>
          </w:p>
        </w:tc>
        <w:tc>
          <w:tcPr>
            <w:tcW w:w="1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reported</w:t>
            </w: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Adjustment</w:t>
            </w:r>
          </w:p>
        </w:tc>
        <w:tc>
          <w:tcPr>
            <w:tcW w:w="8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As restated</w:t>
            </w:r>
          </w:p>
        </w:tc>
      </w:tr>
      <w:tr>
        <w:trPr>
          <w:trHeight w:val="142"/>
        </w:trPr>
        <w:tc>
          <w:tcPr>
            <w:tcW w:w="20" w:type="dxa"/>
            <w:vAlign w:val="bottom"/>
          </w:tcPr>
          <w:p>
            <w:pPr>
              <w:spacing w:after="0"/>
              <w:rPr>
                <w:sz w:val="12"/>
                <w:szCs w:val="12"/>
                <w:color w:val="auto"/>
              </w:rPr>
            </w:pPr>
          </w:p>
        </w:tc>
        <w:tc>
          <w:tcPr>
            <w:tcW w:w="3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20" w:type="dxa"/>
            <w:vAlign w:val="bottom"/>
          </w:tcPr>
          <w:p>
            <w:pPr>
              <w:ind w:left="100"/>
              <w:spacing w:after="0" w:line="149" w:lineRule="exact"/>
              <w:rPr>
                <w:sz w:val="20"/>
                <w:szCs w:val="20"/>
                <w:color w:val="auto"/>
              </w:rPr>
            </w:pPr>
            <w:r>
              <w:rPr>
                <w:rFonts w:ascii="Arial" w:cs="Arial" w:eastAsia="Arial" w:hAnsi="Arial"/>
                <w:sz w:val="14"/>
                <w:szCs w:val="14"/>
                <w:color w:val="auto"/>
              </w:rPr>
              <w:t>Net loss</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(118,796)</w:t>
            </w:r>
          </w:p>
        </w:tc>
        <w:tc>
          <w:tcPr>
            <w:tcW w:w="2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(2,586)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(121,382)</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(23,637)</w:t>
            </w:r>
          </w:p>
        </w:tc>
        <w:tc>
          <w:tcPr>
            <w:tcW w:w="3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(24,213)</w:t>
            </w:r>
          </w:p>
        </w:tc>
      </w:tr>
      <w:tr>
        <w:trPr>
          <w:trHeight w:val="138"/>
        </w:trPr>
        <w:tc>
          <w:tcPr>
            <w:tcW w:w="20" w:type="dxa"/>
            <w:vAlign w:val="bottom"/>
          </w:tcPr>
          <w:p>
            <w:pPr>
              <w:spacing w:after="0"/>
              <w:rPr>
                <w:sz w:val="11"/>
                <w:szCs w:val="11"/>
                <w:color w:val="auto"/>
              </w:rPr>
            </w:pPr>
          </w:p>
        </w:tc>
        <w:tc>
          <w:tcPr>
            <w:tcW w:w="312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Adjustments to reconcile net loss to cash flows</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12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w w:val="94"/>
              </w:rPr>
              <w:t>provided by (used in) used in operating activities:</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3120" w:type="dxa"/>
            <w:vAlign w:val="bottom"/>
          </w:tcPr>
          <w:p>
            <w:pPr>
              <w:ind w:left="200"/>
              <w:spacing w:after="0" w:line="138" w:lineRule="exact"/>
              <w:rPr>
                <w:sz w:val="20"/>
                <w:szCs w:val="20"/>
                <w:color w:val="auto"/>
              </w:rPr>
            </w:pPr>
            <w:r>
              <w:rPr>
                <w:rFonts w:ascii="Arial" w:cs="Arial" w:eastAsia="Arial" w:hAnsi="Arial"/>
                <w:sz w:val="14"/>
                <w:szCs w:val="14"/>
                <w:color w:val="auto"/>
              </w:rPr>
              <w:t>Depreciation and amortization of property and</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120" w:type="dxa"/>
            <w:vAlign w:val="bottom"/>
          </w:tcPr>
          <w:p>
            <w:pPr>
              <w:ind w:left="340"/>
              <w:spacing w:after="0" w:line="159" w:lineRule="exact"/>
              <w:rPr>
                <w:sz w:val="20"/>
                <w:szCs w:val="20"/>
                <w:color w:val="auto"/>
              </w:rPr>
            </w:pPr>
            <w:r>
              <w:rPr>
                <w:rFonts w:ascii="Arial" w:cs="Arial" w:eastAsia="Arial" w:hAnsi="Arial"/>
                <w:sz w:val="14"/>
                <w:szCs w:val="14"/>
                <w:color w:val="auto"/>
              </w:rPr>
              <w:t>equipment</w:t>
            </w:r>
          </w:p>
        </w:tc>
        <w:tc>
          <w:tcPr>
            <w:tcW w:w="16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11,661</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11,661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13,259</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13,259</w:t>
            </w:r>
          </w:p>
        </w:tc>
        <w:tc>
          <w:tcPr>
            <w:tcW w:w="1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intangible assets</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1,155</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20" w:type="dxa"/>
            <w:vAlign w:val="bottom"/>
          </w:tcPr>
          <w:p>
            <w:pPr>
              <w:ind w:left="200"/>
              <w:spacing w:after="0" w:line="149" w:lineRule="exact"/>
              <w:rPr>
                <w:sz w:val="20"/>
                <w:szCs w:val="20"/>
                <w:color w:val="auto"/>
              </w:rPr>
            </w:pPr>
            <w:r>
              <w:rPr>
                <w:rFonts w:ascii="Arial" w:cs="Arial" w:eastAsia="Arial" w:hAnsi="Arial"/>
                <w:sz w:val="14"/>
                <w:szCs w:val="14"/>
                <w:color w:val="auto"/>
              </w:rPr>
              <w:t>Impairment of intangible assets and goodwill</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6,357</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6,357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Impairment of marketable equity securities</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120" w:type="dxa"/>
            <w:vAlign w:val="bottom"/>
          </w:tcPr>
          <w:p>
            <w:pPr>
              <w:ind w:left="200"/>
              <w:spacing w:after="0" w:line="149" w:lineRule="exact"/>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22,830</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2,468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25,298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41,948</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694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42,642</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20" w:type="dxa"/>
            <w:vAlign w:val="bottom"/>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78,094</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78,212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(4,798)</w:t>
            </w:r>
          </w:p>
        </w:tc>
        <w:tc>
          <w:tcPr>
            <w:tcW w:w="3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(118)</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(4,916)</w:t>
            </w:r>
          </w:p>
        </w:tc>
      </w:tr>
      <w:tr>
        <w:trPr>
          <w:trHeight w:val="138"/>
        </w:trPr>
        <w:tc>
          <w:tcPr>
            <w:tcW w:w="20" w:type="dxa"/>
            <w:vAlign w:val="bottom"/>
          </w:tcPr>
          <w:p>
            <w:pPr>
              <w:spacing w:after="0"/>
              <w:rPr>
                <w:sz w:val="11"/>
                <w:szCs w:val="11"/>
                <w:color w:val="auto"/>
              </w:rPr>
            </w:pPr>
          </w:p>
        </w:tc>
        <w:tc>
          <w:tcPr>
            <w:tcW w:w="31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8"/>
              </w:rPr>
              <w:t>Decrease in fair value of modified stock options</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12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held by former employees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(1,068)</w:t>
            </w:r>
          </w:p>
        </w:tc>
        <w:tc>
          <w:tcPr>
            <w:tcW w:w="3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(1,068)</w:t>
            </w:r>
          </w:p>
        </w:tc>
      </w:tr>
      <w:tr>
        <w:trPr>
          <w:trHeight w:val="149"/>
        </w:trPr>
        <w:tc>
          <w:tcPr>
            <w:tcW w:w="20" w:type="dxa"/>
            <w:vAlign w:val="bottom"/>
          </w:tcPr>
          <w:p>
            <w:pPr>
              <w:spacing w:after="0"/>
              <w:rPr>
                <w:sz w:val="12"/>
                <w:szCs w:val="12"/>
                <w:color w:val="auto"/>
              </w:rPr>
            </w:pPr>
          </w:p>
        </w:tc>
        <w:tc>
          <w:tcPr>
            <w:tcW w:w="3120" w:type="dxa"/>
            <w:vAlign w:val="bottom"/>
          </w:tcPr>
          <w:p>
            <w:pPr>
              <w:ind w:left="20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receivable</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10,010</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(13,966)</w:t>
            </w: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(13,966)</w:t>
            </w:r>
          </w:p>
        </w:tc>
      </w:tr>
      <w:tr>
        <w:trPr>
          <w:trHeight w:val="149"/>
        </w:trPr>
        <w:tc>
          <w:tcPr>
            <w:tcW w:w="20" w:type="dxa"/>
            <w:vAlign w:val="bottom"/>
          </w:tcPr>
          <w:p>
            <w:pPr>
              <w:spacing w:after="0"/>
              <w:rPr>
                <w:sz w:val="12"/>
                <w:szCs w:val="12"/>
                <w:color w:val="auto"/>
              </w:rPr>
            </w:pPr>
          </w:p>
        </w:tc>
        <w:tc>
          <w:tcPr>
            <w:tcW w:w="3120" w:type="dxa"/>
            <w:vAlign w:val="bottom"/>
          </w:tcPr>
          <w:p>
            <w:pPr>
              <w:ind w:left="320"/>
              <w:spacing w:after="0" w:line="149" w:lineRule="exact"/>
              <w:rPr>
                <w:sz w:val="20"/>
                <w:szCs w:val="20"/>
                <w:color w:val="auto"/>
              </w:rPr>
            </w:pPr>
            <w:r>
              <w:rPr>
                <w:rFonts w:ascii="Arial" w:cs="Arial" w:eastAsia="Arial" w:hAnsi="Arial"/>
                <w:sz w:val="14"/>
                <w:szCs w:val="14"/>
                <w:color w:val="auto"/>
              </w:rPr>
              <w:t>Inventory</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19,333</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19,333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(2,829)</w:t>
            </w:r>
          </w:p>
        </w:tc>
        <w:tc>
          <w:tcPr>
            <w:tcW w:w="3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(2,829)</w:t>
            </w: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Insurance receivable—litigation settlement</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15,328</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15,328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(15,328)</w:t>
            </w: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(15,328)</w:t>
            </w:r>
          </w:p>
        </w:tc>
      </w:tr>
      <w:tr>
        <w:trPr>
          <w:trHeight w:val="149"/>
        </w:trPr>
        <w:tc>
          <w:tcPr>
            <w:tcW w:w="20" w:type="dxa"/>
            <w:vAlign w:val="bottom"/>
          </w:tcPr>
          <w:p>
            <w:pPr>
              <w:spacing w:after="0"/>
              <w:rPr>
                <w:sz w:val="12"/>
                <w:szCs w:val="12"/>
                <w:color w:val="auto"/>
              </w:rPr>
            </w:pPr>
          </w:p>
        </w:tc>
        <w:tc>
          <w:tcPr>
            <w:tcW w:w="3120" w:type="dxa"/>
            <w:vAlign w:val="bottom"/>
          </w:tcPr>
          <w:p>
            <w:pPr>
              <w:ind w:left="320"/>
              <w:spacing w:after="0" w:line="149" w:lineRule="exact"/>
              <w:rPr>
                <w:sz w:val="20"/>
                <w:szCs w:val="20"/>
                <w:color w:val="auto"/>
              </w:rPr>
            </w:pPr>
            <w:r>
              <w:rPr>
                <w:rFonts w:ascii="Arial" w:cs="Arial" w:eastAsia="Arial" w:hAnsi="Arial"/>
                <w:sz w:val="14"/>
                <w:szCs w:val="14"/>
                <w:color w:val="auto"/>
              </w:rPr>
              <w:t>Other operating assets</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9,814</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9,814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(3,819)</w:t>
            </w:r>
          </w:p>
        </w:tc>
        <w:tc>
          <w:tcPr>
            <w:tcW w:w="3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(3,819)</w:t>
            </w: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(9,167)</w:t>
            </w: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(9,167)</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(1,427)</w:t>
            </w: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(1,427)</w:t>
            </w:r>
          </w:p>
        </w:tc>
      </w:tr>
      <w:tr>
        <w:trPr>
          <w:trHeight w:val="149"/>
        </w:trPr>
        <w:tc>
          <w:tcPr>
            <w:tcW w:w="20" w:type="dxa"/>
            <w:vAlign w:val="bottom"/>
          </w:tcPr>
          <w:p>
            <w:pPr>
              <w:spacing w:after="0"/>
              <w:rPr>
                <w:sz w:val="12"/>
                <w:szCs w:val="12"/>
                <w:color w:val="auto"/>
              </w:rPr>
            </w:pPr>
          </w:p>
        </w:tc>
        <w:tc>
          <w:tcPr>
            <w:tcW w:w="3120" w:type="dxa"/>
            <w:vAlign w:val="bottom"/>
          </w:tcPr>
          <w:p>
            <w:pPr>
              <w:ind w:left="320"/>
              <w:spacing w:after="0" w:line="149" w:lineRule="exact"/>
              <w:rPr>
                <w:sz w:val="20"/>
                <w:szCs w:val="20"/>
                <w:color w:val="auto"/>
              </w:rPr>
            </w:pPr>
            <w:r>
              <w:rPr>
                <w:rFonts w:ascii="Arial" w:cs="Arial" w:eastAsia="Arial" w:hAnsi="Arial"/>
                <w:sz w:val="14"/>
                <w:szCs w:val="14"/>
                <w:color w:val="auto"/>
              </w:rPr>
              <w:t>Accrued expenses</w:t>
            </w:r>
          </w:p>
        </w:tc>
        <w:tc>
          <w:tcPr>
            <w:tcW w:w="16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(13,769)</w:t>
            </w:r>
          </w:p>
        </w:tc>
        <w:tc>
          <w:tcPr>
            <w:tcW w:w="2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(13,769)</w:t>
            </w:r>
          </w:p>
        </w:tc>
        <w:tc>
          <w:tcPr>
            <w:tcW w:w="14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(1,131)</w:t>
            </w:r>
          </w:p>
        </w:tc>
        <w:tc>
          <w:tcPr>
            <w:tcW w:w="3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(1,131)</w:t>
            </w: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Accrued litigation settlements</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(30,400)</w:t>
            </w: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(30,400)</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60" w:type="dxa"/>
            <w:vAlign w:val="bottom"/>
            <w:shd w:val="clear" w:color="auto" w:fill="CCEEFF"/>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3120" w:type="dxa"/>
            <w:vAlign w:val="bottom"/>
          </w:tcPr>
          <w:p>
            <w:pPr>
              <w:ind w:left="320"/>
              <w:spacing w:after="0"/>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(19,602)</w:t>
            </w:r>
          </w:p>
        </w:tc>
        <w:tc>
          <w:tcPr>
            <w:tcW w:w="2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(19,602)</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4,481</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4,481</w:t>
            </w:r>
          </w:p>
        </w:tc>
        <w:tc>
          <w:tcPr>
            <w:tcW w:w="16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3120" w:type="dxa"/>
            <w:vAlign w:val="bottom"/>
            <w:shd w:val="clear" w:color="auto" w:fill="CCEEFF"/>
          </w:tcPr>
          <w:p>
            <w:pPr>
              <w:ind w:left="420"/>
              <w:spacing w:after="0" w:line="133" w:lineRule="exact"/>
              <w:rPr>
                <w:sz w:val="20"/>
                <w:szCs w:val="20"/>
                <w:color w:val="auto"/>
              </w:rPr>
            </w:pPr>
            <w:r>
              <w:rPr>
                <w:rFonts w:ascii="Arial" w:cs="Arial" w:eastAsia="Arial" w:hAnsi="Arial"/>
                <w:sz w:val="14"/>
                <w:szCs w:val="14"/>
                <w:color w:val="auto"/>
              </w:rPr>
              <w:t>Net cash provided by (used in) operating</w:t>
            </w: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120" w:type="dxa"/>
            <w:vAlign w:val="bottom"/>
            <w:shd w:val="clear" w:color="auto" w:fill="CCEEFF"/>
          </w:tcPr>
          <w:p>
            <w:pPr>
              <w:ind w:left="560"/>
              <w:spacing w:after="0" w:line="159" w:lineRule="exact"/>
              <w:rPr>
                <w:sz w:val="20"/>
                <w:szCs w:val="20"/>
                <w:color w:val="auto"/>
              </w:rPr>
            </w:pPr>
            <w:r>
              <w:rPr>
                <w:rFonts w:ascii="Arial" w:cs="Arial" w:eastAsia="Arial" w:hAnsi="Arial"/>
                <w:sz w:val="14"/>
                <w:szCs w:val="14"/>
                <w:color w:val="auto"/>
              </w:rPr>
              <w:t>activities</w:t>
            </w:r>
          </w:p>
        </w:tc>
        <w:tc>
          <w:tcPr>
            <w:tcW w:w="1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(16,735)</w:t>
            </w:r>
          </w:p>
        </w:tc>
        <w:tc>
          <w:tcPr>
            <w:tcW w:w="2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(16,735)</w:t>
            </w:r>
          </w:p>
        </w:tc>
        <w:tc>
          <w:tcPr>
            <w:tcW w:w="1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32,248</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32,248</w:t>
            </w:r>
          </w:p>
        </w:tc>
        <w:tc>
          <w:tcPr>
            <w:tcW w:w="160" w:type="dxa"/>
            <w:vAlign w:val="bottom"/>
            <w:shd w:val="clear" w:color="auto" w:fill="CCEEFF"/>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In October 2009, an update was issued to </w:t>
      </w:r>
      <w:r>
        <w:rPr>
          <w:rFonts w:ascii="Arial" w:cs="Arial" w:eastAsia="Arial" w:hAnsi="Arial"/>
          <w:sz w:val="16"/>
          <w:szCs w:val="16"/>
          <w:i w:val="1"/>
          <w:iCs w:val="1"/>
          <w:color w:val="auto"/>
        </w:rPr>
        <w:t>Certain Arrangements that Include Software Elements</w:t>
      </w:r>
      <w:r>
        <w:rPr>
          <w:rFonts w:ascii="Arial" w:cs="Arial" w:eastAsia="Arial" w:hAnsi="Arial"/>
          <w:sz w:val="16"/>
          <w:szCs w:val="16"/>
          <w:color w:val="auto"/>
        </w:rPr>
        <w:t>. This update removes tangible products from the scope of software revenue guidance and provides guidance on determining whether software deliverables in an arrangement that includes a tangible product are covered by the scope of the software revenue guidance. This update will require the Company to account for many of its multiple element arrangements as non-software transactions and could impact the timing and amounts of revenue recognized. This update is effective for the Company beginning January 1, 2011, although early adoption is permitted, and adoption can be applied prospectively or retrospectively. The Company is currently evaluating the effect that implementation of this update will have on its consolidated financial position and results of operations upon adoption.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 (Continued)</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In October 2009, an update was issued to the accounting guidance related to the separation criteria used to determine the unit of accounting for multiple element arrangements. This update removes the objective-and-reliable-evidence-of-fair-value criterion from the separation criteria used to determine whether an arrangement involving multiple deliverables contains more than one unit of accounting, replaces references to "fair value" with "selling price" to distinguish from the fair value measurements required under the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guidance, provides a hierarchy that entities must use to estimate the selling price, eliminates the use of the residual method for allocation and expands the ongoing disclosure requirements. This guidance is effective for the Company beginning January 1, 2011, although early adoption is permitted, and adoption can be applied prospectively or retrospectively. The Company is currently evaluating the effect that implementation of this update will have, if any, on its consolidated financial position and results of operations upon adoption.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SHARE</w:t>
      </w:r>
    </w:p>
    <w:p>
      <w:pPr>
        <w:spacing w:after="0" w:line="231"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Basic earnings (loss) per share is computed by dividing net income (loss) by the weighted average number of shares outstanding during the period. For periods in which the Company reports net income, diluted net income per share is determined by using the weighted average number of common and dilutive common equivalent shares outstanding during the period unless the effect is antidilutive.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calculation of shares used to compute basic and diluted earnings (loss) per share is as follows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580" w:type="dxa"/>
            <w:vAlign w:val="bottom"/>
            <w:gridSpan w:val="6"/>
          </w:tcPr>
          <w:p>
            <w:pPr>
              <w:ind w:left="4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outstanding—basic</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273,730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271,477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262,924</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Potential dilutive common shares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outstanding—diluted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273,730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271,477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262,924</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Options to purchase the Company's common stock, unvested shares of restricted stock and performance-based stock awards aggregating approximately 28.1 million shares, 40.9 million shares and 42.1 million shares have not been included in the computation of diluted loss per share for the years ended December 31, 2009, 2008 and 2007, respectively, because their effect would have been antidilutive.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EQUIVALENTS, MARKETABLE SECURITIES AND INVESTMENTS</w:t>
      </w:r>
    </w:p>
    <w:p>
      <w:pPr>
        <w:spacing w:after="0" w:line="231"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Cash equivalents and marketable securities are invested in debt and equity instruments, primarily U.S. government-backed, municipal and corporate obligations, which management believes to be high quality (investment grade) credit instruments.</w:t>
      </w:r>
    </w:p>
    <w:p>
      <w:pPr>
        <w:spacing w:after="0" w:line="18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During the year ended December 31, 2009, the Company sold $6.0 million of available-for-sale securities and realized approximately $17,000 of gross gains and no gross losses as a result of these sales on a specific identification basis. These amounts are included in the Company's consolidated statement of operations for the year ended December 31, 2009.</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EQUIVALENTS, MARKETABLE SECURITIES AND INVESTMENTS (Continued)</w:t>
      </w:r>
    </w:p>
    <w:p>
      <w:pPr>
        <w:spacing w:after="0" w:line="231"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On June 12, 2008, the Company transferred its held-to-maturity portfolio of debt securities, aggregating $373.1 million, to the available-for-sale category. The Company recorded, at the time of the transfer, approximately $33,000 of net unrealized losses on available-for-sale securities in Accumulated other comprehensive income, net of tax. As a result of the transfer, there were no investments classified as held-to-maturity securities at December 31, 2008.</w:t>
      </w:r>
    </w:p>
    <w:p>
      <w:pPr>
        <w:spacing w:after="0" w:line="161"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Subsequent to the transfer of its held-to-maturity portfolio to the available-for-sale category, the Company sold $90.6 million of available-for-sale securities. The Company realized approximately $82,000 of gross gains and $10,000 of gross losses in the period from June 12, 2008 through December 31, 2008 as a result of these sales. These amounts are included in the Company's consolidated statement of operations for the year ended December 31, 2008.</w:t>
      </w:r>
    </w:p>
    <w:p>
      <w:pPr>
        <w:spacing w:after="0" w:line="161"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Company had no marketable securities or investments with continuous unrealized losses for one year or greater at either December 31, 2009 or 2008. The Company does not intend to sell these securities and does not believe it will be required to sell any securities before they recover in value; accordingly, it does not believe these declines are other-than-temporary.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amortized cost, gross unrealized gains and losses and fair value of the Company's marketable debt and equity securities and investments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 and 2008 were comprised of the following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w w:val="96"/>
              </w:rPr>
              <w:t>December 31, 2009</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9"/>
              </w:rPr>
              <w:t>Amortized</w:t>
            </w:r>
          </w:p>
        </w:tc>
        <w:tc>
          <w:tcPr>
            <w:tcW w:w="160" w:type="dxa"/>
            <w:vAlign w:val="bottom"/>
          </w:tcPr>
          <w:p>
            <w:pPr>
              <w:spacing w:after="0"/>
              <w:rPr>
                <w:sz w:val="11"/>
                <w:szCs w:val="11"/>
                <w:color w:val="auto"/>
              </w:rPr>
            </w:pPr>
          </w:p>
        </w:tc>
        <w:tc>
          <w:tcPr>
            <w:tcW w:w="800" w:type="dxa"/>
            <w:vAlign w:val="bottom"/>
            <w:gridSpan w:val="2"/>
          </w:tcPr>
          <w:p>
            <w:pPr>
              <w:jc w:val="right"/>
              <w:ind w:right="16"/>
              <w:spacing w:after="0" w:line="12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1"/>
                <w:szCs w:val="11"/>
                <w:color w:val="auto"/>
              </w:rPr>
            </w:pPr>
          </w:p>
        </w:tc>
        <w:tc>
          <w:tcPr>
            <w:tcW w:w="9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640" w:type="dxa"/>
            <w:vAlign w:val="bottom"/>
          </w:tcPr>
          <w:p>
            <w:pPr>
              <w:jc w:val="right"/>
              <w:ind w:right="196"/>
              <w:spacing w:after="0" w:line="129" w:lineRule="exact"/>
              <w:rPr>
                <w:sz w:val="20"/>
                <w:szCs w:val="20"/>
                <w:color w:val="auto"/>
              </w:rPr>
            </w:pPr>
            <w:r>
              <w:rPr>
                <w:rFonts w:ascii="Arial" w:cs="Arial" w:eastAsia="Arial" w:hAnsi="Arial"/>
                <w:sz w:val="14"/>
                <w:szCs w:val="14"/>
                <w:b w:val="1"/>
                <w:bCs w:val="1"/>
                <w:color w:val="auto"/>
              </w:rPr>
              <w:t>Fair</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value</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equivalents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95,845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95,843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40" w:type="dxa"/>
            <w:vAlign w:val="bottom"/>
            <w:gridSpan w:val="2"/>
            <w:vMerge w:val="restart"/>
          </w:tcPr>
          <w:p>
            <w:pPr>
              <w:ind w:left="1140"/>
              <w:spacing w:after="0"/>
              <w:rPr>
                <w:sz w:val="20"/>
                <w:szCs w:val="20"/>
                <w:color w:val="auto"/>
              </w:rPr>
            </w:pPr>
            <w:r>
              <w:rPr>
                <w:rFonts w:ascii="Arial" w:cs="Arial" w:eastAsia="Arial" w:hAnsi="Arial"/>
                <w:sz w:val="18"/>
                <w:szCs w:val="18"/>
                <w:i w:val="1"/>
                <w:iCs w:val="1"/>
                <w:color w:val="auto"/>
              </w:rPr>
              <w:t>Marketable securities</w:t>
            </w:r>
          </w:p>
        </w:tc>
        <w:tc>
          <w:tcPr>
            <w:tcW w:w="1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continu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gridSpan w:val="2"/>
            <w:vMerge w:val="continue"/>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Municipal obligations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86,534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86,754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78,070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44,567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44,577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Certificates of deposit</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1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238,744</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239,223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38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Investments</w:t>
            </w:r>
          </w:p>
        </w:tc>
        <w:tc>
          <w:tcPr>
            <w:tcW w:w="1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6,444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6,455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1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49,653</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49,598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960" w:type="dxa"/>
            <w:vAlign w:val="bottom"/>
            <w:vMerge w:val="restart"/>
          </w:tcPr>
          <w:p>
            <w:pPr>
              <w:jc w:val="right"/>
              <w:ind w:right="612"/>
              <w:spacing w:after="0"/>
              <w:rPr>
                <w:sz w:val="20"/>
                <w:szCs w:val="20"/>
                <w:color w:val="auto"/>
              </w:rPr>
            </w:pPr>
            <w:r>
              <w:rPr>
                <w:rFonts w:ascii="Arial" w:cs="Arial" w:eastAsia="Arial" w:hAnsi="Arial"/>
                <w:sz w:val="18"/>
                <w:szCs w:val="18"/>
                <w:color w:val="auto"/>
              </w:rPr>
              <w:t>69</w:t>
            </w: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96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EQUIVALENTS, MARKETABLE SECURITIES AND INVESTMENTS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w w:val="96"/>
              </w:rPr>
              <w:t>December 31, 2008</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1"/>
                <w:szCs w:val="11"/>
                <w:color w:val="auto"/>
              </w:rPr>
            </w:pPr>
          </w:p>
        </w:tc>
        <w:tc>
          <w:tcPr>
            <w:tcW w:w="800" w:type="dxa"/>
            <w:vAlign w:val="bottom"/>
            <w:gridSpan w:val="2"/>
          </w:tcPr>
          <w:p>
            <w:pPr>
              <w:jc w:val="right"/>
              <w:ind w:right="16"/>
              <w:spacing w:after="0" w:line="12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1"/>
                <w:szCs w:val="11"/>
                <w:color w:val="auto"/>
              </w:rPr>
            </w:pPr>
          </w:p>
        </w:tc>
        <w:tc>
          <w:tcPr>
            <w:tcW w:w="9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640" w:type="dxa"/>
            <w:vAlign w:val="bottom"/>
          </w:tcPr>
          <w:p>
            <w:pPr>
              <w:jc w:val="right"/>
              <w:ind w:right="196"/>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104,953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104,955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Marketable securities</w:t>
            </w: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Municipal obligations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agency notes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24,293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24,416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179,829</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180,786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Investments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54,775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585</w:t>
            </w:r>
          </w:p>
        </w:tc>
        <w:tc>
          <w:tcPr>
            <w:tcW w:w="3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55,360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84,422</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Company's available-for-sale debt securities that are classified as Investments in the consolidated balance sheet mature after one year but within two years or less from the balance sheet date.</w:t>
      </w:r>
    </w:p>
    <w:p>
      <w:pPr>
        <w:spacing w:after="0" w:line="186"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 three-tier fair value hierarchy is established as a basis for considering such assumptions and for inputs used in the valuation methodologies in measuring fair value:</w:t>
      </w:r>
    </w:p>
    <w:p>
      <w:pPr>
        <w:spacing w:after="0" w:line="19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Level 2—Include other inputs that are directly or indirectly observable in the marketplace.</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Level 3—Unobservable inputs which are supported by little or no market activities.</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86"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Company's cash equivalents and marketable securities are classified within Level 1 or Level 2. This is because the cash equivalents and marketable securities are valued using quoted market prices or alternative pricing sources and models utilizing market observable inputs.</w:t>
      </w:r>
    </w:p>
    <w:p>
      <w:pPr>
        <w:spacing w:after="0" w:line="139"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shows the fair value of the Company's financial assets that are measured at fair value at December 31, 2009 and 2008, comprised of the Company's available-for-sale debt and</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EQUIVALENTS, MARKETABLE SECURITIES AND INVESTMENTS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equity securities, and reported under the captions Cash and cash equivalents, Marketable securities and Investments in the consolidated balance sheet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6"/>
          </w:tcPr>
          <w:p>
            <w:pPr>
              <w:jc w:val="center"/>
              <w:ind w:left="559"/>
              <w:spacing w:after="0"/>
              <w:rPr>
                <w:sz w:val="20"/>
                <w:szCs w:val="20"/>
                <w:color w:val="auto"/>
              </w:rPr>
            </w:pPr>
            <w:r>
              <w:rPr>
                <w:rFonts w:ascii="Arial" w:cs="Arial" w:eastAsia="Arial" w:hAnsi="Arial"/>
                <w:sz w:val="14"/>
                <w:szCs w:val="14"/>
                <w:b w:val="1"/>
                <w:bCs w:val="1"/>
                <w:color w:val="auto"/>
                <w:w w:val="86"/>
              </w:rPr>
              <w:t>Fair value measurements at</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Total carrying</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center"/>
              <w:ind w:left="679"/>
              <w:spacing w:after="0"/>
              <w:rPr>
                <w:sz w:val="20"/>
                <w:szCs w:val="20"/>
                <w:color w:val="auto"/>
              </w:rPr>
            </w:pPr>
            <w:r>
              <w:rPr>
                <w:rFonts w:ascii="Arial" w:cs="Arial" w:eastAsia="Arial" w:hAnsi="Arial"/>
                <w:sz w:val="14"/>
                <w:szCs w:val="14"/>
                <w:b w:val="1"/>
                <w:bCs w:val="1"/>
                <w:color w:val="auto"/>
                <w:w w:val="86"/>
              </w:rPr>
              <w:t>December 31, 2009 using:</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160" w:type="dxa"/>
            <w:vAlign w:val="bottom"/>
          </w:tcPr>
          <w:p>
            <w:pPr>
              <w:spacing w:after="0"/>
              <w:rPr>
                <w:sz w:val="11"/>
                <w:szCs w:val="11"/>
                <w:color w:val="auto"/>
              </w:rPr>
            </w:pPr>
          </w:p>
        </w:tc>
        <w:tc>
          <w:tcPr>
            <w:tcW w:w="13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Significant other</w:t>
            </w:r>
          </w:p>
        </w:tc>
        <w:tc>
          <w:tcPr>
            <w:tcW w:w="120" w:type="dxa"/>
            <w:vAlign w:val="bottom"/>
          </w:tcPr>
          <w:p>
            <w:pPr>
              <w:spacing w:after="0"/>
              <w:rPr>
                <w:sz w:val="11"/>
                <w:szCs w:val="11"/>
                <w:color w:val="auto"/>
              </w:rPr>
            </w:pPr>
          </w:p>
        </w:tc>
        <w:tc>
          <w:tcPr>
            <w:tcW w:w="800" w:type="dxa"/>
            <w:vAlign w:val="bottom"/>
          </w:tcPr>
          <w:p>
            <w:pPr>
              <w:jc w:val="center"/>
              <w:ind w:right="57"/>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8"/>
              </w:rPr>
              <w:t>value at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observable</w:t>
            </w:r>
          </w:p>
        </w:tc>
        <w:tc>
          <w:tcPr>
            <w:tcW w:w="2220" w:type="dxa"/>
            <w:vAlign w:val="bottom"/>
            <w:gridSpan w:val="4"/>
          </w:tcPr>
          <w:p>
            <w:pPr>
              <w:jc w:val="center"/>
              <w:ind w:right="130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9"/>
              </w:rPr>
              <w:t>markets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inputs</w:t>
            </w:r>
          </w:p>
        </w:tc>
        <w:tc>
          <w:tcPr>
            <w:tcW w:w="120" w:type="dxa"/>
            <w:vAlign w:val="bottom"/>
          </w:tcPr>
          <w:p>
            <w:pPr>
              <w:spacing w:after="0"/>
              <w:rPr>
                <w:sz w:val="12"/>
                <w:szCs w:val="12"/>
                <w:color w:val="auto"/>
              </w:rPr>
            </w:pPr>
          </w:p>
        </w:tc>
        <w:tc>
          <w:tcPr>
            <w:tcW w:w="210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(Level 3)</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equivalents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95,843</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88,645</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20" w:type="dxa"/>
            <w:vAlign w:val="bottom"/>
            <w:gridSpan w:val="2"/>
            <w:vMerge w:val="restart"/>
          </w:tcPr>
          <w:p>
            <w:pPr>
              <w:ind w:left="1140"/>
              <w:spacing w:after="0"/>
              <w:rPr>
                <w:sz w:val="20"/>
                <w:szCs w:val="20"/>
                <w:color w:val="auto"/>
              </w:rPr>
            </w:pPr>
            <w:r>
              <w:rPr>
                <w:rFonts w:ascii="Arial" w:cs="Arial" w:eastAsia="Arial" w:hAnsi="Arial"/>
                <w:sz w:val="18"/>
                <w:szCs w:val="18"/>
                <w:i w:val="1"/>
                <w:iCs w:val="1"/>
                <w:color w:val="auto"/>
              </w:rPr>
              <w:t>Marketable securities</w:t>
            </w:r>
          </w:p>
        </w:tc>
        <w:tc>
          <w:tcPr>
            <w:tcW w:w="10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520" w:type="dxa"/>
            <w:vAlign w:val="bottom"/>
            <w:gridSpan w:val="2"/>
            <w:vMerge w:val="continue"/>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Municipal obligations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86,754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86,754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44,577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44,577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Certificates of deposit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239,223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54,297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184,926</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Investments</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6,455</w:t>
            </w:r>
          </w:p>
        </w:tc>
        <w:tc>
          <w:tcPr>
            <w:tcW w:w="3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6,455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49,598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21,328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28,270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1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6"/>
          </w:tcPr>
          <w:p>
            <w:pPr>
              <w:jc w:val="center"/>
              <w:ind w:left="559"/>
              <w:spacing w:after="0"/>
              <w:rPr>
                <w:sz w:val="20"/>
                <w:szCs w:val="20"/>
                <w:color w:val="auto"/>
              </w:rPr>
            </w:pPr>
            <w:r>
              <w:rPr>
                <w:rFonts w:ascii="Arial" w:cs="Arial" w:eastAsia="Arial" w:hAnsi="Arial"/>
                <w:sz w:val="14"/>
                <w:szCs w:val="14"/>
                <w:b w:val="1"/>
                <w:bCs w:val="1"/>
                <w:color w:val="auto"/>
                <w:w w:val="86"/>
              </w:rPr>
              <w:t>Fair value measurements at</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Total carrying</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center"/>
              <w:ind w:left="679"/>
              <w:spacing w:after="0"/>
              <w:rPr>
                <w:sz w:val="20"/>
                <w:szCs w:val="20"/>
                <w:color w:val="auto"/>
              </w:rPr>
            </w:pPr>
            <w:r>
              <w:rPr>
                <w:rFonts w:ascii="Arial" w:cs="Arial" w:eastAsia="Arial" w:hAnsi="Arial"/>
                <w:sz w:val="14"/>
                <w:szCs w:val="14"/>
                <w:b w:val="1"/>
                <w:bCs w:val="1"/>
                <w:color w:val="auto"/>
                <w:w w:val="86"/>
              </w:rPr>
              <w:t>December 31, 2008 using:</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160" w:type="dxa"/>
            <w:vAlign w:val="bottom"/>
          </w:tcPr>
          <w:p>
            <w:pPr>
              <w:spacing w:after="0"/>
              <w:rPr>
                <w:sz w:val="11"/>
                <w:szCs w:val="11"/>
                <w:color w:val="auto"/>
              </w:rPr>
            </w:pPr>
          </w:p>
        </w:tc>
        <w:tc>
          <w:tcPr>
            <w:tcW w:w="13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Significant other</w:t>
            </w:r>
          </w:p>
        </w:tc>
        <w:tc>
          <w:tcPr>
            <w:tcW w:w="120" w:type="dxa"/>
            <w:vAlign w:val="bottom"/>
          </w:tcPr>
          <w:p>
            <w:pPr>
              <w:spacing w:after="0"/>
              <w:rPr>
                <w:sz w:val="11"/>
                <w:szCs w:val="11"/>
                <w:color w:val="auto"/>
              </w:rPr>
            </w:pPr>
          </w:p>
        </w:tc>
        <w:tc>
          <w:tcPr>
            <w:tcW w:w="800" w:type="dxa"/>
            <w:vAlign w:val="bottom"/>
          </w:tcPr>
          <w:p>
            <w:pPr>
              <w:jc w:val="center"/>
              <w:ind w:right="57"/>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8"/>
              </w:rPr>
              <w:t>value at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observable</w:t>
            </w:r>
          </w:p>
        </w:tc>
        <w:tc>
          <w:tcPr>
            <w:tcW w:w="2220" w:type="dxa"/>
            <w:vAlign w:val="bottom"/>
            <w:gridSpan w:val="4"/>
          </w:tcPr>
          <w:p>
            <w:pPr>
              <w:jc w:val="center"/>
              <w:ind w:right="130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9"/>
              </w:rPr>
              <w:t>markets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inputs</w:t>
            </w:r>
          </w:p>
        </w:tc>
        <w:tc>
          <w:tcPr>
            <w:tcW w:w="120" w:type="dxa"/>
            <w:vAlign w:val="bottom"/>
          </w:tcPr>
          <w:p>
            <w:pPr>
              <w:spacing w:after="0"/>
              <w:rPr>
                <w:sz w:val="12"/>
                <w:szCs w:val="12"/>
                <w:color w:val="auto"/>
              </w:rPr>
            </w:pPr>
          </w:p>
        </w:tc>
        <w:tc>
          <w:tcPr>
            <w:tcW w:w="210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(Level 3)</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equivalents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104,955</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90,965</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20" w:type="dxa"/>
            <w:vAlign w:val="bottom"/>
            <w:gridSpan w:val="2"/>
            <w:vMerge w:val="restart"/>
          </w:tcPr>
          <w:p>
            <w:pPr>
              <w:ind w:left="1140"/>
              <w:spacing w:after="0"/>
              <w:rPr>
                <w:sz w:val="20"/>
                <w:szCs w:val="20"/>
                <w:color w:val="auto"/>
              </w:rPr>
            </w:pPr>
            <w:r>
              <w:rPr>
                <w:rFonts w:ascii="Arial" w:cs="Arial" w:eastAsia="Arial" w:hAnsi="Arial"/>
                <w:sz w:val="18"/>
                <w:szCs w:val="18"/>
                <w:i w:val="1"/>
                <w:iCs w:val="1"/>
                <w:color w:val="auto"/>
              </w:rPr>
              <w:t>Marketable securities</w:t>
            </w:r>
          </w:p>
        </w:tc>
        <w:tc>
          <w:tcPr>
            <w:tcW w:w="10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520" w:type="dxa"/>
            <w:vAlign w:val="bottom"/>
            <w:gridSpan w:val="2"/>
            <w:vMerge w:val="continue"/>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Municipal obligations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agency notes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24,416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180,786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24,461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156,325</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Investments</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55,360</w:t>
            </w:r>
          </w:p>
        </w:tc>
        <w:tc>
          <w:tcPr>
            <w:tcW w:w="3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55,360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84,965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29,605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55,360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80" w:type="dxa"/>
            <w:vAlign w:val="bottom"/>
            <w:gridSpan w:val="3"/>
          </w:tcPr>
          <w:p>
            <w:pPr>
              <w:jc w:val="right"/>
              <w:ind w:right="717"/>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ACCOUNTS RECEIVABLE</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consist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11"/>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Earned accounts receivable</w:t>
            </w:r>
          </w:p>
        </w:tc>
        <w:tc>
          <w:tcPr>
            <w:tcW w:w="1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20,759</w:t>
            </w: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32,957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Unearned accounts receivable</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27,905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w w:val="98"/>
              </w:rPr>
              <w:t>43,859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9"/>
              </w:rPr>
              <w:t>Accounts receivable, gross</w:t>
            </w:r>
          </w:p>
        </w:tc>
        <w:tc>
          <w:tcPr>
            <w:tcW w:w="1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48,664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76,816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Allowance for doubtful accounts</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(666)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(1,028)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0"/>
              </w:rPr>
              <w:t>Accounts receivable, net</w:t>
            </w:r>
          </w:p>
        </w:tc>
        <w:tc>
          <w:tcPr>
            <w:tcW w:w="1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47,998</w:t>
            </w: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75,788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(6) INVENTORY, NET</w:t>
            </w:r>
          </w:p>
        </w:tc>
        <w:tc>
          <w:tcPr>
            <w:tcW w:w="1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gridSpan w:val="4"/>
            <w:vMerge w:val="continu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360" w:type="dxa"/>
            <w:vAlign w:val="bottom"/>
            <w:gridSpan w:val="4"/>
            <w:vMerge w:val="continue"/>
          </w:tcPr>
          <w:p>
            <w:pPr>
              <w:spacing w:after="0"/>
              <w:rPr>
                <w:sz w:val="24"/>
                <w:szCs w:val="24"/>
                <w:color w:val="auto"/>
              </w:rPr>
            </w:pPr>
          </w:p>
        </w:tc>
        <w:tc>
          <w:tcPr>
            <w:tcW w:w="1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60" w:type="dxa"/>
            <w:vAlign w:val="bottom"/>
            <w:gridSpan w:val="4"/>
          </w:tcPr>
          <w:p>
            <w:pPr>
              <w:ind w:left="360"/>
              <w:spacing w:after="0"/>
              <w:rPr>
                <w:sz w:val="20"/>
                <w:szCs w:val="20"/>
                <w:color w:val="auto"/>
              </w:rPr>
            </w:pPr>
            <w:r>
              <w:rPr>
                <w:rFonts w:ascii="Arial" w:cs="Arial" w:eastAsia="Arial" w:hAnsi="Arial"/>
                <w:sz w:val="18"/>
                <w:szCs w:val="18"/>
                <w:color w:val="auto"/>
              </w:rPr>
              <w:t>Inventory consists of the following (in thousands):</w:t>
            </w:r>
          </w:p>
        </w:tc>
        <w:tc>
          <w:tcPr>
            <w:tcW w:w="1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w w:val="89"/>
              </w:rPr>
              <w:t>2009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176"/>
              <w:spacing w:after="0" w:line="142" w:lineRule="exact"/>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On-hand final assemblies and finished goods inventories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10,223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w w:val="92"/>
              </w:rPr>
              <w:t>Deferred cost of goods sold</w:t>
            </w:r>
          </w:p>
        </w:tc>
        <w:tc>
          <w:tcPr>
            <w:tcW w:w="1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20,132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w w:val="98"/>
              </w:rPr>
              <w:t>18,617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31,168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28,840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(21,925)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(22,553)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Noncurrent portion (included in Other assets)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6,287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(7) PROPERTY AND EQUIPMENT</w:t>
            </w:r>
          </w:p>
        </w:tc>
        <w:tc>
          <w:tcPr>
            <w:tcW w:w="1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gridSpan w:val="4"/>
            <w:vMerge w:val="continu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360" w:type="dxa"/>
            <w:vAlign w:val="bottom"/>
            <w:gridSpan w:val="4"/>
            <w:vMerge w:val="continue"/>
          </w:tcPr>
          <w:p>
            <w:pPr>
              <w:spacing w:after="0"/>
              <w:rPr>
                <w:sz w:val="24"/>
                <w:szCs w:val="24"/>
                <w:color w:val="auto"/>
              </w:rPr>
            </w:pPr>
          </w:p>
        </w:tc>
        <w:tc>
          <w:tcPr>
            <w:tcW w:w="1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80" w:type="dxa"/>
            <w:vAlign w:val="bottom"/>
            <w:gridSpan w:val="5"/>
          </w:tcPr>
          <w:p>
            <w:pPr>
              <w:ind w:left="360"/>
              <w:spacing w:after="0"/>
              <w:rPr>
                <w:sz w:val="20"/>
                <w:szCs w:val="20"/>
                <w:color w:val="auto"/>
              </w:rPr>
            </w:pPr>
            <w:r>
              <w:rPr>
                <w:rFonts w:ascii="Arial" w:cs="Arial" w:eastAsia="Arial" w:hAnsi="Arial"/>
                <w:sz w:val="18"/>
                <w:szCs w:val="18"/>
                <w:color w:val="auto"/>
              </w:rPr>
              <w:t>Property and equipment consists of the following (in thousands):</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0" w:type="dxa"/>
            <w:vAlign w:val="bottom"/>
            <w:vMerge w:val="restart"/>
          </w:tcPr>
          <w:p>
            <w:pPr>
              <w:jc w:val="center"/>
              <w:ind w:right="356"/>
              <w:spacing w:after="0"/>
              <w:rPr>
                <w:sz w:val="20"/>
                <w:szCs w:val="20"/>
                <w:color w:val="auto"/>
              </w:rPr>
            </w:pPr>
            <w:r>
              <w:rPr>
                <w:rFonts w:ascii="Arial" w:cs="Arial" w:eastAsia="Arial" w:hAnsi="Arial"/>
                <w:sz w:val="14"/>
                <w:szCs w:val="14"/>
                <w:b w:val="1"/>
                <w:bCs w:val="1"/>
                <w:color w:val="auto"/>
                <w:w w:val="89"/>
              </w:rPr>
              <w:t>Useful Life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Equipment</w:t>
            </w:r>
          </w:p>
        </w:tc>
        <w:tc>
          <w:tcPr>
            <w:tcW w:w="13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ind w:right="356"/>
              <w:spacing w:after="0"/>
              <w:rPr>
                <w:sz w:val="20"/>
                <w:szCs w:val="20"/>
                <w:color w:val="auto"/>
              </w:rPr>
            </w:pPr>
            <w:r>
              <w:rPr>
                <w:rFonts w:ascii="Arial" w:cs="Arial" w:eastAsia="Arial" w:hAnsi="Arial"/>
                <w:sz w:val="18"/>
                <w:szCs w:val="18"/>
                <w:color w:val="auto"/>
                <w:w w:val="88"/>
              </w:rPr>
              <w:t>3 years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61,504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00" w:type="dxa"/>
            <w:vAlign w:val="bottom"/>
            <w:gridSpan w:val="3"/>
          </w:tcPr>
          <w:p>
            <w:pPr>
              <w:spacing w:after="0"/>
              <w:rPr>
                <w:sz w:val="20"/>
                <w:szCs w:val="20"/>
                <w:color w:val="auto"/>
              </w:rPr>
            </w:pPr>
            <w:r>
              <w:rPr>
                <w:rFonts w:ascii="Arial" w:cs="Arial" w:eastAsia="Arial" w:hAnsi="Arial"/>
                <w:sz w:val="18"/>
                <w:szCs w:val="18"/>
                <w:color w:val="auto"/>
              </w:rPr>
              <w:t>Software</w:t>
            </w:r>
          </w:p>
        </w:tc>
        <w:tc>
          <w:tcPr>
            <w:tcW w:w="1320" w:type="dxa"/>
            <w:vAlign w:val="bottom"/>
          </w:tcPr>
          <w:p>
            <w:pPr>
              <w:spacing w:after="0"/>
              <w:rPr>
                <w:sz w:val="18"/>
                <w:szCs w:val="18"/>
                <w:color w:val="auto"/>
              </w:rPr>
            </w:pPr>
          </w:p>
        </w:tc>
        <w:tc>
          <w:tcPr>
            <w:tcW w:w="1600" w:type="dxa"/>
            <w:vAlign w:val="bottom"/>
          </w:tcPr>
          <w:p>
            <w:pPr>
              <w:jc w:val="center"/>
              <w:ind w:right="356"/>
              <w:spacing w:after="0"/>
              <w:rPr>
                <w:sz w:val="20"/>
                <w:szCs w:val="20"/>
                <w:color w:val="auto"/>
              </w:rPr>
            </w:pPr>
            <w:r>
              <w:rPr>
                <w:rFonts w:ascii="Arial" w:cs="Arial" w:eastAsia="Arial" w:hAnsi="Arial"/>
                <w:sz w:val="18"/>
                <w:szCs w:val="18"/>
                <w:color w:val="auto"/>
                <w:w w:val="88"/>
              </w:rPr>
              <w:t>2 years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11,404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3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ind w:right="356"/>
              <w:spacing w:after="0"/>
              <w:rPr>
                <w:sz w:val="20"/>
                <w:szCs w:val="20"/>
                <w:color w:val="auto"/>
              </w:rPr>
            </w:pPr>
            <w:r>
              <w:rPr>
                <w:rFonts w:ascii="Arial" w:cs="Arial" w:eastAsia="Arial" w:hAnsi="Arial"/>
                <w:sz w:val="18"/>
                <w:szCs w:val="18"/>
                <w:color w:val="auto"/>
                <w:w w:val="85"/>
              </w:rPr>
              <w:t>3-5 years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200" w:type="dxa"/>
            <w:vAlign w:val="bottom"/>
            <w:gridSpan w:val="3"/>
          </w:tcPr>
          <w:p>
            <w:pPr>
              <w:spacing w:after="0"/>
              <w:rPr>
                <w:sz w:val="20"/>
                <w:szCs w:val="20"/>
                <w:color w:val="auto"/>
              </w:rPr>
            </w:pPr>
            <w:r>
              <w:rPr>
                <w:rFonts w:ascii="Arial" w:cs="Arial" w:eastAsia="Arial" w:hAnsi="Arial"/>
                <w:sz w:val="18"/>
                <w:szCs w:val="18"/>
                <w:color w:val="auto"/>
              </w:rPr>
              <w:t>Leasehold improvements</w:t>
            </w:r>
          </w:p>
        </w:tc>
        <w:tc>
          <w:tcPr>
            <w:tcW w:w="3840" w:type="dxa"/>
            <w:vAlign w:val="bottom"/>
            <w:gridSpan w:val="7"/>
          </w:tcPr>
          <w:p>
            <w:pPr>
              <w:jc w:val="center"/>
              <w:ind w:right="40"/>
              <w:spacing w:after="0"/>
              <w:rPr>
                <w:sz w:val="20"/>
                <w:szCs w:val="20"/>
                <w:color w:val="auto"/>
              </w:rPr>
            </w:pPr>
            <w:r>
              <w:rPr>
                <w:rFonts w:ascii="Arial" w:cs="Arial" w:eastAsia="Arial" w:hAnsi="Arial"/>
                <w:sz w:val="18"/>
                <w:szCs w:val="18"/>
                <w:color w:val="auto"/>
                <w:w w:val="89"/>
              </w:rPr>
              <w:t>Shorter of the life of the lease or estimated useful life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0" w:type="dxa"/>
            <w:vAlign w:val="bottom"/>
          </w:tcPr>
          <w:p>
            <w:pPr>
              <w:jc w:val="center"/>
              <w:ind w:right="356"/>
              <w:spacing w:after="0"/>
              <w:rPr>
                <w:sz w:val="20"/>
                <w:szCs w:val="20"/>
                <w:color w:val="auto"/>
              </w:rPr>
            </w:pPr>
            <w:r>
              <w:rPr>
                <w:rFonts w:ascii="Arial" w:cs="Arial" w:eastAsia="Arial" w:hAnsi="Arial"/>
                <w:sz w:val="18"/>
                <w:szCs w:val="18"/>
                <w:color w:val="auto"/>
                <w:w w:val="87"/>
              </w:rPr>
              <w:t>(1-5 years)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8,094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7,274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81,868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200" w:type="dxa"/>
            <w:vAlign w:val="bottom"/>
            <w:gridSpan w:val="3"/>
          </w:tcPr>
          <w:p>
            <w:pPr>
              <w:spacing w:after="0"/>
              <w:rPr>
                <w:sz w:val="20"/>
                <w:szCs w:val="20"/>
                <w:color w:val="auto"/>
              </w:rPr>
            </w:pPr>
            <w:r>
              <w:rPr>
                <w:rFonts w:ascii="Arial" w:cs="Arial" w:eastAsia="Arial" w:hAnsi="Arial"/>
                <w:sz w:val="18"/>
                <w:szCs w:val="18"/>
                <w:color w:val="auto"/>
              </w:rPr>
              <w:t>Less accumulated depreciation and</w:t>
            </w:r>
          </w:p>
        </w:tc>
        <w:tc>
          <w:tcPr>
            <w:tcW w:w="1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200" w:type="dxa"/>
            <w:vAlign w:val="bottom"/>
            <w:gridSpan w:val="3"/>
          </w:tcPr>
          <w:p>
            <w:pPr>
              <w:ind w:left="160"/>
              <w:spacing w:after="0"/>
              <w:rPr>
                <w:sz w:val="20"/>
                <w:szCs w:val="20"/>
                <w:color w:val="auto"/>
              </w:rPr>
            </w:pPr>
            <w:r>
              <w:rPr>
                <w:rFonts w:ascii="Arial" w:cs="Arial" w:eastAsia="Arial" w:hAnsi="Arial"/>
                <w:sz w:val="18"/>
                <w:szCs w:val="18"/>
                <w:color w:val="auto"/>
              </w:rPr>
              <w:t>amortization</w:t>
            </w:r>
          </w:p>
        </w:tc>
        <w:tc>
          <w:tcPr>
            <w:tcW w:w="1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(67,222)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(59,953)</w:t>
            </w: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31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14,646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recorded $10.1 million, $11.7 million and $13.3 million of depreciation and amortization expense for the years ended December 31, 2009, 2008 and 2007, respectively, related to property and equipment.</w:t>
      </w:r>
    </w:p>
    <w:p>
      <w:pPr>
        <w:spacing w:after="0" w:line="18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under capital leases included in the amounts above are as follows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3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1,383</w:t>
            </w:r>
          </w:p>
        </w:tc>
      </w:tr>
      <w:tr>
        <w:trPr>
          <w:trHeight w:val="222"/>
        </w:trPr>
        <w:tc>
          <w:tcPr>
            <w:tcW w:w="53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(996)</w:t>
            </w:r>
          </w:p>
        </w:tc>
      </w:tr>
      <w:tr>
        <w:trPr>
          <w:trHeight w:val="21"/>
        </w:trPr>
        <w:tc>
          <w:tcPr>
            <w:tcW w:w="5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under capital leases,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387</w:t>
            </w:r>
          </w:p>
        </w:tc>
      </w:tr>
      <w:tr>
        <w:trPr>
          <w:trHeight w:val="27"/>
        </w:trPr>
        <w:tc>
          <w:tcPr>
            <w:tcW w:w="5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2009 and 2008, the Company removed certain depreciable assets that were no longer in service. The gross amount of such assets totaled $3.3 million and $7.3 million in 2009 and 2008, respectively. The Company recorded losses on the disposal of these assets of $0.2 million and $0.3 million in the years ended December 31, 2009 and 2008, respectively.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net book value of the Company's property and equipment by geographic area is as follows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6"/>
          </w:tcPr>
          <w:p>
            <w:pPr>
              <w:ind w:left="2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11,094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14,976</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Asia/Pacific</w:t>
            </w: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2,404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1,216</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1,545</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Canada</w:t>
            </w: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27"/>
        </w:trPr>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r>
      <w:tr>
        <w:trPr>
          <w:trHeight w:val="216"/>
        </w:trPr>
        <w:tc>
          <w:tcPr>
            <w:tcW w:w="5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14,646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17,852</w:t>
            </w:r>
          </w:p>
        </w:tc>
        <w:tc>
          <w:tcPr>
            <w:tcW w:w="160" w:type="dxa"/>
            <w:vAlign w:val="bottom"/>
          </w:tcPr>
          <w:p>
            <w:pPr>
              <w:spacing w:after="0"/>
              <w:rPr>
                <w:sz w:val="18"/>
                <w:szCs w:val="18"/>
                <w:color w:val="auto"/>
              </w:rPr>
            </w:pPr>
          </w:p>
        </w:tc>
      </w:tr>
      <w:tr>
        <w:trPr>
          <w:trHeight w:val="21"/>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 AND GOODWILL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intangible assets at December 31, 2009 and 2008 consist of the following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1"/>
        </w:trPr>
        <w:tc>
          <w:tcPr>
            <w:tcW w:w="3380" w:type="dxa"/>
            <w:vAlign w:val="bottom"/>
            <w:gridSpan w:val="3"/>
          </w:tcPr>
          <w:p>
            <w:pPr>
              <w:spacing w:after="0"/>
              <w:rPr>
                <w:sz w:val="20"/>
                <w:szCs w:val="20"/>
                <w:color w:val="auto"/>
              </w:rPr>
            </w:pPr>
            <w:r>
              <w:rPr>
                <w:rFonts w:ascii="Arial" w:cs="Arial" w:eastAsia="Arial" w:hAnsi="Arial"/>
                <w:sz w:val="14"/>
                <w:szCs w:val="14"/>
                <w:b w:val="1"/>
                <w:bCs w:val="1"/>
                <w:color w:val="auto"/>
              </w:rPr>
              <w:t>December 31, 2009</w:t>
            </w:r>
          </w:p>
        </w:tc>
        <w:tc>
          <w:tcPr>
            <w:tcW w:w="194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w w:val="92"/>
              </w:rPr>
              <w:t>Useful life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17"/>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amortization</w:t>
            </w:r>
          </w:p>
        </w:tc>
        <w:tc>
          <w:tcPr>
            <w:tcW w:w="16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carrying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260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5 years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5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Order backlog</w:t>
            </w:r>
          </w:p>
        </w:tc>
        <w:tc>
          <w:tcPr>
            <w:tcW w:w="2600" w:type="dxa"/>
            <w:vAlign w:val="bottom"/>
            <w:gridSpan w:val="2"/>
          </w:tcPr>
          <w:p>
            <w:pPr>
              <w:ind w:left="1920"/>
              <w:spacing w:after="0"/>
              <w:rPr>
                <w:sz w:val="20"/>
                <w:szCs w:val="20"/>
                <w:color w:val="auto"/>
              </w:rPr>
            </w:pPr>
            <w:r>
              <w:rPr>
                <w:rFonts w:ascii="Arial" w:cs="Arial" w:eastAsia="Arial" w:hAnsi="Arial"/>
                <w:sz w:val="18"/>
                <w:szCs w:val="18"/>
                <w:color w:val="auto"/>
              </w:rPr>
              <w:t>1 year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5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1"/>
        </w:trPr>
        <w:tc>
          <w:tcPr>
            <w:tcW w:w="3380" w:type="dxa"/>
            <w:vAlign w:val="bottom"/>
            <w:gridSpan w:val="3"/>
          </w:tcPr>
          <w:p>
            <w:pPr>
              <w:spacing w:after="0"/>
              <w:rPr>
                <w:sz w:val="20"/>
                <w:szCs w:val="20"/>
                <w:color w:val="auto"/>
              </w:rPr>
            </w:pPr>
            <w:r>
              <w:rPr>
                <w:rFonts w:ascii="Arial" w:cs="Arial" w:eastAsia="Arial" w:hAnsi="Arial"/>
                <w:sz w:val="14"/>
                <w:szCs w:val="14"/>
                <w:b w:val="1"/>
                <w:bCs w:val="1"/>
                <w:color w:val="auto"/>
              </w:rPr>
              <w:t>December 31, 2008</w:t>
            </w:r>
          </w:p>
        </w:tc>
        <w:tc>
          <w:tcPr>
            <w:tcW w:w="194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w w:val="92"/>
              </w:rPr>
              <w:t>Useful life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17"/>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amortization</w:t>
            </w:r>
          </w:p>
        </w:tc>
        <w:tc>
          <w:tcPr>
            <w:tcW w:w="16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carrying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260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5 years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5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Order backlog</w:t>
            </w:r>
          </w:p>
        </w:tc>
        <w:tc>
          <w:tcPr>
            <w:tcW w:w="2600" w:type="dxa"/>
            <w:vAlign w:val="bottom"/>
            <w:gridSpan w:val="2"/>
          </w:tcPr>
          <w:p>
            <w:pPr>
              <w:ind w:left="1920"/>
              <w:spacing w:after="0"/>
              <w:rPr>
                <w:sz w:val="20"/>
                <w:szCs w:val="20"/>
                <w:color w:val="auto"/>
              </w:rPr>
            </w:pPr>
            <w:r>
              <w:rPr>
                <w:rFonts w:ascii="Arial" w:cs="Arial" w:eastAsia="Arial" w:hAnsi="Arial"/>
                <w:sz w:val="18"/>
                <w:szCs w:val="18"/>
                <w:color w:val="auto"/>
              </w:rPr>
              <w:t>1 year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5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Company amortizes its intangible assets over the estimated useful lives of the respective assets. Amortization expense related to intangible assets was $0.2 million, $1.2 million and $0.4 million</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 AND GOODWILL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20"/>
        <w:spacing w:after="0" w:line="370" w:lineRule="auto"/>
        <w:rPr>
          <w:sz w:val="20"/>
          <w:szCs w:val="20"/>
          <w:color w:val="auto"/>
        </w:rPr>
      </w:pPr>
      <w:r>
        <w:rPr>
          <w:rFonts w:ascii="Arial" w:cs="Arial" w:eastAsia="Arial" w:hAnsi="Arial"/>
          <w:sz w:val="15"/>
          <w:szCs w:val="15"/>
          <w:color w:val="auto"/>
        </w:rPr>
        <w:t>in the years ended December 31, 2009, 2008 and 2007, respectively. These amounts include $0.1 million of amortization expense for both years ended December 31, 2008 and 2007, that is included as a component of Loss from discontinued operations, net of tax, in the consolidated statements of operations.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Estimated future amortization expense for intangible assets recorded by the Company at December 31, 2009 is as follows (in thousands):</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1660" w:type="dxa"/>
            <w:vAlign w:val="bottom"/>
            <w:gridSpan w:val="2"/>
          </w:tcPr>
          <w:p>
            <w:pPr>
              <w:spacing w:after="0"/>
              <w:rPr>
                <w:sz w:val="20"/>
                <w:szCs w:val="20"/>
                <w:color w:val="auto"/>
              </w:rPr>
            </w:pPr>
            <w:r>
              <w:rPr>
                <w:rFonts w:ascii="Arial" w:cs="Arial" w:eastAsia="Arial" w:hAnsi="Arial"/>
                <w:sz w:val="14"/>
                <w:szCs w:val="14"/>
                <w:b w:val="1"/>
                <w:bCs w:val="1"/>
                <w:color w:val="auto"/>
                <w:w w:val="89"/>
              </w:rPr>
              <w:t>Years ending December 31,</w:t>
            </w:r>
          </w:p>
        </w:tc>
        <w:tc>
          <w:tcPr>
            <w:tcW w:w="4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2011</w:t>
            </w:r>
          </w:p>
        </w:tc>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680" w:type="dxa"/>
            <w:vAlign w:val="bottom"/>
            <w:gridSpan w:val="2"/>
          </w:tcPr>
          <w:p>
            <w:pPr>
              <w:spacing w:after="0"/>
              <w:rPr>
                <w:sz w:val="2"/>
                <w:szCs w:val="2"/>
                <w:color w:val="auto"/>
              </w:rPr>
            </w:pPr>
          </w:p>
        </w:tc>
        <w:tc>
          <w:tcPr>
            <w:tcW w:w="3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In connection with the preparation of the Company's financial statements for the fourth quarter of fiscal 2008, the Company conducted its quarterly review for impairment indicators, during which it determined that there were several impairment indicators related to the intangible assets, including significant underperformance relative to plan or long-term projections, strategic changes in business strategy, significant negative industry and economic trends, a significant change in circumstances relative to a large customer and a significant decline in the Company's stock price for a sustained period. In response, the Company performed an assessment of the carrying value of its intangible assets. This analysis concluded that the customer relationship and intellectual property intangible assets acquired in the April 18, 2008 acquisition of Atreus Systems, Inc., a privately held company with its principal office located in Ottawa, Canada (collectively with its subsidiaries, "Atreus") were impaired. Accordingly, the Company recognized an impairment loss for the amount by which the carrying value of the intangible assets exceeded the related estimated fair value. As a result, the Company recorded a charge of $2.7 million for the write-down of intangible assets in the fourth quarter of fiscal 2008. This amount is reported under the caption Impairment of intangible assets in the Company's consolidated statement of operations for the year ended December 31, 2008.</w:t>
      </w:r>
    </w:p>
    <w:p>
      <w:pPr>
        <w:spacing w:after="0" w:line="17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Goodwill is recorded when the consideration for an acquisition exceeds the fair value of net tangible and identifiable intangible assets acquired. The changes in the carrying amount of goodwill during the years ended December 31, 2009 and 2008 are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60" w:type="dxa"/>
            <w:vAlign w:val="bottom"/>
          </w:tcPr>
          <w:p>
            <w:pPr>
              <w:ind w:left="120"/>
              <w:spacing w:after="0"/>
              <w:rPr>
                <w:sz w:val="20"/>
                <w:szCs w:val="20"/>
                <w:color w:val="auto"/>
              </w:rPr>
            </w:pPr>
            <w:r>
              <w:rPr>
                <w:rFonts w:ascii="Arial" w:cs="Arial" w:eastAsia="Arial" w:hAnsi="Arial"/>
                <w:sz w:val="18"/>
                <w:szCs w:val="18"/>
                <w:color w:val="auto"/>
              </w:rPr>
              <w:t>Goodwill</w:t>
            </w:r>
          </w:p>
        </w:tc>
        <w:tc>
          <w:tcPr>
            <w:tcW w:w="2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8,131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11,503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impairment losses</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(3,106)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5,025</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8,397</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Goodwill acquired during the year</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Goodwill related to sale of business</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(2,068)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6"/>
              </w:rPr>
              <w:t>Foreign currency translation adjustment</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60" w:type="dxa"/>
            <w:vAlign w:val="bottom"/>
            <w:gridSpan w:val="2"/>
            <w:vMerge w:val="restart"/>
          </w:tcPr>
          <w:p>
            <w:pPr>
              <w:ind w:left="2300"/>
              <w:spacing w:after="0"/>
              <w:rPr>
                <w:sz w:val="20"/>
                <w:szCs w:val="20"/>
                <w:color w:val="auto"/>
              </w:rPr>
            </w:pPr>
            <w:r>
              <w:rPr>
                <w:rFonts w:ascii="Arial" w:cs="Arial" w:eastAsia="Arial" w:hAnsi="Arial"/>
                <w:sz w:val="18"/>
                <w:szCs w:val="18"/>
                <w:color w:val="auto"/>
              </w:rPr>
              <w:t>Balance at December 31</w:t>
            </w:r>
          </w:p>
        </w:tc>
        <w:tc>
          <w:tcPr>
            <w:tcW w:w="2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60" w:type="dxa"/>
            <w:vAlign w:val="bottom"/>
            <w:gridSpan w:val="2"/>
            <w:vMerge w:val="continue"/>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8,159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8,131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3060" w:type="dxa"/>
            <w:vAlign w:val="bottom"/>
          </w:tcPr>
          <w:p>
            <w:pPr>
              <w:ind w:left="120"/>
              <w:spacing w:after="0"/>
              <w:rPr>
                <w:sz w:val="20"/>
                <w:szCs w:val="20"/>
                <w:color w:val="auto"/>
              </w:rPr>
            </w:pPr>
            <w:r>
              <w:rPr>
                <w:rFonts w:ascii="Arial" w:cs="Arial" w:eastAsia="Arial" w:hAnsi="Arial"/>
                <w:sz w:val="18"/>
                <w:szCs w:val="18"/>
                <w:color w:val="auto"/>
              </w:rPr>
              <w:t>Accumulated impairment losses</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(3,106)</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(3,106)</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5,053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120" w:type="dxa"/>
            <w:vAlign w:val="bottom"/>
            <w:vMerge w:val="restart"/>
          </w:tcPr>
          <w:p>
            <w:pPr>
              <w:jc w:val="right"/>
              <w:ind w:right="1592"/>
              <w:spacing w:after="0"/>
              <w:rPr>
                <w:sz w:val="20"/>
                <w:szCs w:val="20"/>
                <w:color w:val="auto"/>
              </w:rPr>
            </w:pPr>
            <w:r>
              <w:rPr>
                <w:rFonts w:ascii="Arial" w:cs="Arial" w:eastAsia="Arial" w:hAnsi="Arial"/>
                <w:sz w:val="18"/>
                <w:szCs w:val="18"/>
                <w:color w:val="auto"/>
              </w:rPr>
              <w:t>74</w:t>
            </w: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12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 AND GOODWILL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performed its annual test for impairment of goodwill at November 30, 2009, and concluded that there was no impairment.</w:t>
      </w:r>
    </w:p>
    <w:p>
      <w:pPr>
        <w:spacing w:after="0" w:line="242" w:lineRule="exact"/>
        <w:rPr>
          <w:sz w:val="20"/>
          <w:szCs w:val="20"/>
          <w:color w:val="auto"/>
        </w:rPr>
      </w:pPr>
    </w:p>
    <w:p>
      <w:pPr>
        <w:ind w:right="6920" w:firstLine="8"/>
        <w:spacing w:after="0" w:line="504" w:lineRule="auto"/>
        <w:tabs>
          <w:tab w:leader="none" w:pos="249"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VALUATION AND QUALIFYING ACCOUNTS Allowance for Doubtful Accounts</w:t>
      </w: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activity in Sonus' allowance for doubtful accounts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Balance at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beginning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9"/>
              </w:rPr>
              <w:t>Charges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61"/>
        </w:trPr>
        <w:tc>
          <w:tcPr>
            <w:tcW w:w="5820" w:type="dxa"/>
            <w:vAlign w:val="bottom"/>
            <w:gridSpan w:val="4"/>
          </w:tcPr>
          <w:p>
            <w:pPr>
              <w:ind w:left="114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of year</w:t>
            </w:r>
          </w:p>
        </w:tc>
        <w:tc>
          <w:tcPr>
            <w:tcW w:w="16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to expense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7"/>
              </w:rPr>
              <w:t>Write-offs</w:t>
            </w: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end of year</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1,028</w:t>
            </w:r>
          </w:p>
        </w:tc>
        <w:tc>
          <w:tcPr>
            <w:tcW w:w="260" w:type="dxa"/>
            <w:vAlign w:val="bottom"/>
            <w:tcBorders>
              <w:lef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2008</w:t>
            </w:r>
          </w:p>
        </w:tc>
        <w:tc>
          <w:tcPr>
            <w:tcW w:w="4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474</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(259)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592</w:t>
            </w:r>
          </w:p>
        </w:tc>
        <w:tc>
          <w:tcPr>
            <w:tcW w:w="260" w:type="dxa"/>
            <w:vAlign w:val="bottom"/>
            <w:tcBorders>
              <w:lef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820" w:type="dxa"/>
            <w:vAlign w:val="bottom"/>
            <w:gridSpan w:val="4"/>
          </w:tcPr>
          <w:p>
            <w:pPr>
              <w:spacing w:after="0"/>
              <w:rPr>
                <w:sz w:val="20"/>
                <w:szCs w:val="20"/>
                <w:color w:val="auto"/>
              </w:rPr>
            </w:pPr>
            <w:r>
              <w:rPr>
                <w:rFonts w:ascii="Arial" w:cs="Arial" w:eastAsia="Arial" w:hAnsi="Arial"/>
                <w:sz w:val="18"/>
                <w:szCs w:val="18"/>
                <w:b w:val="1"/>
                <w:bCs w:val="1"/>
                <w:color w:val="auto"/>
              </w:rPr>
              <w:t>Inventory Reserves</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20" w:type="dxa"/>
            <w:vAlign w:val="bottom"/>
            <w:gridSpan w:val="4"/>
          </w:tcPr>
          <w:p>
            <w:pPr>
              <w:ind w:left="360"/>
              <w:spacing w:after="0"/>
              <w:rPr>
                <w:sz w:val="20"/>
                <w:szCs w:val="20"/>
                <w:color w:val="auto"/>
              </w:rPr>
            </w:pPr>
            <w:r>
              <w:rPr>
                <w:rFonts w:ascii="Arial" w:cs="Arial" w:eastAsia="Arial" w:hAnsi="Arial"/>
                <w:sz w:val="18"/>
                <w:szCs w:val="18"/>
                <w:color w:val="auto"/>
                <w:w w:val="99"/>
              </w:rPr>
              <w:t>The activity in Sonus' inventory reserves is as follows (in thousands):</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8"/>
              </w:rPr>
              <w:t>Balance at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beginning</w:t>
            </w:r>
          </w:p>
        </w:tc>
        <w:tc>
          <w:tcPr>
            <w:tcW w:w="940" w:type="dxa"/>
            <w:vAlign w:val="bottom"/>
            <w:gridSpan w:val="4"/>
          </w:tcPr>
          <w:p>
            <w:pPr>
              <w:ind w:left="140"/>
              <w:spacing w:after="0" w:line="149" w:lineRule="exact"/>
              <w:rPr>
                <w:sz w:val="20"/>
                <w:szCs w:val="20"/>
                <w:color w:val="auto"/>
              </w:rPr>
            </w:pPr>
            <w:r>
              <w:rPr>
                <w:rFonts w:ascii="Arial" w:cs="Arial" w:eastAsia="Arial" w:hAnsi="Arial"/>
                <w:sz w:val="14"/>
                <w:szCs w:val="14"/>
                <w:b w:val="1"/>
                <w:bCs w:val="1"/>
                <w:color w:val="auto"/>
              </w:rPr>
              <w:t>Charges</w:t>
            </w:r>
          </w:p>
        </w:tc>
        <w:tc>
          <w:tcPr>
            <w:tcW w:w="1040" w:type="dxa"/>
            <w:vAlign w:val="bottom"/>
            <w:gridSpan w:val="6"/>
          </w:tcPr>
          <w:p>
            <w:pPr>
              <w:jc w:val="right"/>
              <w:ind w:right="260"/>
              <w:spacing w:after="0" w:line="149" w:lineRule="exact"/>
              <w:rPr>
                <w:sz w:val="20"/>
                <w:szCs w:val="20"/>
                <w:color w:val="auto"/>
              </w:rPr>
            </w:pPr>
            <w:r>
              <w:rPr>
                <w:rFonts w:ascii="Arial" w:cs="Arial" w:eastAsia="Arial" w:hAnsi="Arial"/>
                <w:sz w:val="14"/>
                <w:szCs w:val="14"/>
                <w:b w:val="1"/>
                <w:bCs w:val="1"/>
                <w:color w:val="auto"/>
                <w:w w:val="90"/>
              </w:rPr>
              <w:t>Dispositions</w:t>
            </w:r>
          </w:p>
        </w:tc>
        <w:tc>
          <w:tcPr>
            <w:tcW w:w="14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end of</w:t>
            </w:r>
          </w:p>
        </w:tc>
        <w:tc>
          <w:tcPr>
            <w:tcW w:w="0" w:type="dxa"/>
            <w:vAlign w:val="bottom"/>
          </w:tcPr>
          <w:p>
            <w:pPr>
              <w:spacing w:after="0"/>
              <w:rPr>
                <w:sz w:val="1"/>
                <w:szCs w:val="1"/>
                <w:color w:val="auto"/>
              </w:rPr>
            </w:pPr>
          </w:p>
        </w:tc>
      </w:tr>
      <w:tr>
        <w:trPr>
          <w:trHeight w:val="161"/>
        </w:trPr>
        <w:tc>
          <w:tcPr>
            <w:tcW w:w="5820" w:type="dxa"/>
            <w:vAlign w:val="bottom"/>
            <w:gridSpan w:val="4"/>
          </w:tcPr>
          <w:p>
            <w:pPr>
              <w:ind w:left="114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of year</w:t>
            </w:r>
          </w:p>
        </w:tc>
        <w:tc>
          <w:tcPr>
            <w:tcW w:w="940" w:type="dxa"/>
            <w:vAlign w:val="bottom"/>
            <w:gridSpan w:val="4"/>
          </w:tcPr>
          <w:p>
            <w:pPr>
              <w:ind w:left="80"/>
              <w:spacing w:after="0"/>
              <w:rPr>
                <w:sz w:val="20"/>
                <w:szCs w:val="20"/>
                <w:color w:val="auto"/>
              </w:rPr>
            </w:pPr>
            <w:r>
              <w:rPr>
                <w:rFonts w:ascii="Arial" w:cs="Arial" w:eastAsia="Arial" w:hAnsi="Arial"/>
                <w:sz w:val="14"/>
                <w:szCs w:val="14"/>
                <w:b w:val="1"/>
                <w:bCs w:val="1"/>
                <w:color w:val="auto"/>
              </w:rPr>
              <w:t>to expense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84"/>
              </w:rPr>
              <w:t>and sales</w:t>
            </w:r>
          </w:p>
        </w:tc>
        <w:tc>
          <w:tcPr>
            <w:tcW w:w="14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year</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8,560</w:t>
            </w:r>
          </w:p>
        </w:tc>
        <w:tc>
          <w:tcPr>
            <w:tcW w:w="1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3,787</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(3,281)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2008</w:t>
            </w:r>
          </w:p>
        </w:tc>
        <w:tc>
          <w:tcPr>
            <w:tcW w:w="4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9,845</w:t>
            </w: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5,594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(6,879)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8,560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1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5,839</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(1,963)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820" w:type="dxa"/>
            <w:vAlign w:val="bottom"/>
            <w:gridSpan w:val="4"/>
          </w:tcPr>
          <w:p>
            <w:pPr>
              <w:spacing w:after="0"/>
              <w:rPr>
                <w:sz w:val="20"/>
                <w:szCs w:val="20"/>
                <w:color w:val="auto"/>
              </w:rPr>
            </w:pPr>
            <w:r>
              <w:rPr>
                <w:rFonts w:ascii="Arial" w:cs="Arial" w:eastAsia="Arial" w:hAnsi="Arial"/>
                <w:sz w:val="18"/>
                <w:szCs w:val="18"/>
                <w:b w:val="1"/>
                <w:bCs w:val="1"/>
                <w:color w:val="auto"/>
              </w:rPr>
              <w:t>(10) ACCRUED EXPENSES</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20" w:type="dxa"/>
            <w:vAlign w:val="bottom"/>
            <w:gridSpan w:val="4"/>
          </w:tcPr>
          <w:p>
            <w:pPr>
              <w:ind w:left="340"/>
              <w:spacing w:after="0"/>
              <w:rPr>
                <w:sz w:val="20"/>
                <w:szCs w:val="20"/>
                <w:color w:val="auto"/>
              </w:rPr>
            </w:pPr>
            <w:r>
              <w:rPr>
                <w:rFonts w:ascii="Arial" w:cs="Arial" w:eastAsia="Arial" w:hAnsi="Arial"/>
                <w:sz w:val="18"/>
                <w:szCs w:val="18"/>
                <w:color w:val="auto"/>
              </w:rPr>
              <w:t>Accrued expenses consist of the following (in thousands):</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8"/>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3"/>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compensation and related costs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11,892</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8"/>
              </w:rPr>
              <w:t>13,190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Employee stock purchase plan</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1,229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2,422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Royalties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1,809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1,563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Sales taxes payable</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2,715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taxes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567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3,834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4"/>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19,292</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8"/>
              </w:rPr>
              <w:t>28,231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 ACCRUAL</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the year ended December 31, 2009, the Company recorded restructuring expenses aggregating $3.5 million related to three restructuring initiatives implemented as part of the Company's efforts to</w:t>
      </w:r>
    </w:p>
    <w:p>
      <w:pPr>
        <w:spacing w:after="0" w:line="1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131" w:right="7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 ACCRUAL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right-size the business to align with market needs and opportunities while managing costs to position Sonus for profitable growth. These restructuring initiatives occurred on January 9, 2009, March 9, 2009 and August 12, 2009. As a result of these restructuring initiatives, the Company reduced its workforce by approximately 190 employees worldwide. The Company believes that the actions related to these restructuring initiatives are complete as of December 31, 2009 and that the payments related to these initiatives will be completed in the first quarter of fiscal 2010.</w:t>
      </w:r>
    </w:p>
    <w:p>
      <w:pPr>
        <w:spacing w:after="0" w:line="167"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In fiscal 2008, the Company recorded $0.7 million of restructuring expense related to a restructuring initiative implemented as part of the Company's efforts to right-size the business to align with market opportunities while managing costs to position Sonus for profitable growth. Approximately 50 employees, or 5% of the then-current workforce, were affected by such restructuring initiative.</w:t>
      </w:r>
    </w:p>
    <w:p>
      <w:pPr>
        <w:spacing w:after="0" w:line="194" w:lineRule="exact"/>
        <w:rPr>
          <w:sz w:val="20"/>
          <w:szCs w:val="20"/>
          <w:color w:val="auto"/>
        </w:rPr>
      </w:pPr>
    </w:p>
    <w:p>
      <w:pPr>
        <w:ind w:right="360" w:firstLine="348"/>
        <w:spacing w:after="0" w:line="370" w:lineRule="auto"/>
        <w:rPr>
          <w:sz w:val="20"/>
          <w:szCs w:val="20"/>
          <w:color w:val="auto"/>
        </w:rPr>
      </w:pPr>
      <w:r>
        <w:rPr>
          <w:rFonts w:ascii="Arial" w:cs="Arial" w:eastAsia="Arial" w:hAnsi="Arial"/>
          <w:sz w:val="15"/>
          <w:szCs w:val="15"/>
          <w:color w:val="auto"/>
        </w:rPr>
        <w:t>The Company reports expense for its restructuring initiatives as separately in the consolidated statements of operations. The table below summarizes the severance and related costs activity related to the Company's restructuring initiatives during the years ended December 31, 2009 and 2008 (in thousands):</w:t>
      </w:r>
    </w:p>
    <w:p>
      <w:pPr>
        <w:spacing w:after="0" w:line="10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Charges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Balance at</w:t>
            </w:r>
          </w:p>
        </w:tc>
        <w:tc>
          <w:tcPr>
            <w:tcW w:w="18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New initiatives</w:t>
            </w:r>
          </w:p>
        </w:tc>
        <w:tc>
          <w:tcPr>
            <w:tcW w:w="16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(reversals) for</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beginning of</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3"/>
              </w:rPr>
              <w:t>charged to</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changes in</w:t>
            </w:r>
          </w:p>
        </w:tc>
        <w:tc>
          <w:tcPr>
            <w:tcW w:w="14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3"/>
              </w:rPr>
              <w:t>Cash</w:t>
            </w:r>
          </w:p>
        </w:tc>
        <w:tc>
          <w:tcPr>
            <w:tcW w:w="100" w:type="dxa"/>
            <w:vAlign w:val="bottom"/>
          </w:tcPr>
          <w:p>
            <w:pPr>
              <w:spacing w:after="0"/>
              <w:rPr>
                <w:sz w:val="12"/>
                <w:szCs w:val="12"/>
                <w:color w:val="auto"/>
              </w:rPr>
            </w:pPr>
          </w:p>
        </w:tc>
        <w:tc>
          <w:tcPr>
            <w:tcW w:w="600" w:type="dxa"/>
            <w:vAlign w:val="bottom"/>
          </w:tcPr>
          <w:p>
            <w:pPr>
              <w:jc w:val="right"/>
              <w:ind w:right="59"/>
              <w:spacing w:after="0" w:line="149" w:lineRule="exact"/>
              <w:rPr>
                <w:sz w:val="20"/>
                <w:szCs w:val="20"/>
                <w:color w:val="auto"/>
              </w:rPr>
            </w:pPr>
            <w:r>
              <w:rPr>
                <w:rFonts w:ascii="Arial" w:cs="Arial" w:eastAsia="Arial" w:hAnsi="Arial"/>
                <w:sz w:val="14"/>
                <w:szCs w:val="14"/>
                <w:b w:val="1"/>
                <w:bCs w:val="1"/>
                <w:color w:val="auto"/>
                <w:w w:val="85"/>
              </w:rPr>
              <w:t>Foreign</w:t>
            </w:r>
          </w:p>
        </w:tc>
        <w:tc>
          <w:tcPr>
            <w:tcW w:w="160" w:type="dxa"/>
            <w:vAlign w:val="bottom"/>
          </w:tcPr>
          <w:p>
            <w:pPr>
              <w:spacing w:after="0"/>
              <w:rPr>
                <w:sz w:val="12"/>
                <w:szCs w:val="12"/>
                <w:color w:val="auto"/>
              </w:rPr>
            </w:pPr>
          </w:p>
        </w:tc>
        <w:tc>
          <w:tcPr>
            <w:tcW w:w="9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61"/>
        </w:trPr>
        <w:tc>
          <w:tcPr>
            <w:tcW w:w="1560" w:type="dxa"/>
            <w:vAlign w:val="bottom"/>
            <w:gridSpan w:val="2"/>
          </w:tcPr>
          <w:p>
            <w:pPr>
              <w:spacing w:after="0"/>
              <w:rPr>
                <w:sz w:val="20"/>
                <w:szCs w:val="20"/>
                <w:color w:val="auto"/>
              </w:rPr>
            </w:pPr>
            <w:r>
              <w:rPr>
                <w:rFonts w:ascii="Arial" w:cs="Arial" w:eastAsia="Arial" w:hAnsi="Arial"/>
                <w:sz w:val="14"/>
                <w:szCs w:val="14"/>
                <w:b w:val="1"/>
                <w:bCs w:val="1"/>
                <w:color w:val="auto"/>
                <w:w w:val="90"/>
              </w:rPr>
              <w:t>Year ended December 31,</w:t>
            </w: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center"/>
              <w:ind w:right="99"/>
              <w:spacing w:after="0"/>
              <w:rPr>
                <w:sz w:val="20"/>
                <w:szCs w:val="20"/>
                <w:color w:val="auto"/>
              </w:rPr>
            </w:pPr>
            <w:r>
              <w:rPr>
                <w:rFonts w:ascii="Arial" w:cs="Arial" w:eastAsia="Arial" w:hAnsi="Arial"/>
                <w:sz w:val="14"/>
                <w:szCs w:val="14"/>
                <w:b w:val="1"/>
                <w:bCs w:val="1"/>
                <w:color w:val="auto"/>
                <w:w w:val="90"/>
              </w:rPr>
              <w:t>year</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82"/>
              <w:spacing w:after="0"/>
              <w:rPr>
                <w:sz w:val="20"/>
                <w:szCs w:val="20"/>
                <w:color w:val="auto"/>
              </w:rPr>
            </w:pPr>
            <w:r>
              <w:rPr>
                <w:rFonts w:ascii="Arial" w:cs="Arial" w:eastAsia="Arial" w:hAnsi="Arial"/>
                <w:sz w:val="14"/>
                <w:szCs w:val="14"/>
                <w:b w:val="1"/>
                <w:bCs w:val="1"/>
                <w:color w:val="auto"/>
                <w:w w:val="78"/>
              </w:rPr>
              <w:t>expense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estimate</w:t>
            </w:r>
          </w:p>
        </w:tc>
        <w:tc>
          <w:tcPr>
            <w:tcW w:w="8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1"/>
              </w:rPr>
              <w:t>payments</w:t>
            </w:r>
          </w:p>
        </w:tc>
        <w:tc>
          <w:tcPr>
            <w:tcW w:w="70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w w:val="89"/>
              </w:rPr>
              <w:t>exchange</w:t>
            </w:r>
          </w:p>
        </w:tc>
        <w:tc>
          <w:tcPr>
            <w:tcW w:w="16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2008</w:t>
            </w:r>
          </w:p>
        </w:tc>
        <w:tc>
          <w:tcPr>
            <w:tcW w:w="194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567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balances at December 31, 2009 and 2008 are included as components of Accrued expenses in the Company's consolidated balance sheets.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LONG-TERM LIABILITIES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Long-term liabilities consist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80" w:type="dxa"/>
            <w:vAlign w:val="bottom"/>
            <w:gridSpan w:val="6"/>
          </w:tcPr>
          <w:p>
            <w:pPr>
              <w:ind w:lef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Deferred rent</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1,595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1,707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1,880</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3,166</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liabilities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80" w:type="dxa"/>
            <w:vAlign w:val="bottom"/>
            <w:gridSpan w:val="2"/>
            <w:vMerge w:val="restart"/>
          </w:tcPr>
          <w:p>
            <w:pPr>
              <w:ind w:left="2300"/>
              <w:spacing w:after="0"/>
              <w:rPr>
                <w:sz w:val="20"/>
                <w:szCs w:val="20"/>
                <w:color w:val="auto"/>
              </w:rPr>
            </w:pPr>
            <w:r>
              <w:rPr>
                <w:rFonts w:ascii="Arial" w:cs="Arial" w:eastAsia="Arial" w:hAnsi="Arial"/>
                <w:sz w:val="18"/>
                <w:szCs w:val="18"/>
                <w:color w:val="auto"/>
                <w:w w:val="95"/>
              </w:rPr>
              <w:t>Long-term liabilities, net of current portion</w:t>
            </w:r>
          </w:p>
        </w:tc>
        <w:tc>
          <w:tcPr>
            <w:tcW w:w="216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480" w:type="dxa"/>
            <w:vAlign w:val="bottom"/>
            <w:gridSpan w:val="2"/>
            <w:vMerge w:val="continue"/>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1,865</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20" w:type="dxa"/>
            <w:vAlign w:val="bottom"/>
            <w:vMerge w:val="restart"/>
          </w:tcPr>
          <w:p>
            <w:pPr>
              <w:jc w:val="right"/>
              <w:ind w:right="1612"/>
              <w:spacing w:after="0"/>
              <w:rPr>
                <w:sz w:val="20"/>
                <w:szCs w:val="20"/>
                <w:color w:val="auto"/>
              </w:rPr>
            </w:pPr>
            <w:r>
              <w:rPr>
                <w:rFonts w:ascii="Arial" w:cs="Arial" w:eastAsia="Arial" w:hAnsi="Arial"/>
                <w:sz w:val="18"/>
                <w:szCs w:val="18"/>
                <w:color w:val="auto"/>
              </w:rPr>
              <w:t>76</w:t>
            </w: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LONG-TERM LIABILITIES (Continued)</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future minimum annual payments under capital leases at December 31, 2009 are as follows (in thousands):</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6120" w:type="dxa"/>
            <w:vAlign w:val="bottom"/>
            <w:gridSpan w:val="3"/>
          </w:tcPr>
          <w:p>
            <w:pPr>
              <w:spacing w:after="0"/>
              <w:rPr>
                <w:sz w:val="20"/>
                <w:szCs w:val="20"/>
                <w:color w:val="auto"/>
              </w:rPr>
            </w:pPr>
            <w:r>
              <w:rPr>
                <w:rFonts w:ascii="Arial" w:cs="Arial" w:eastAsia="Arial" w:hAnsi="Arial"/>
                <w:sz w:val="14"/>
                <w:szCs w:val="14"/>
                <w:b w:val="1"/>
                <w:bCs w:val="1"/>
                <w:color w:val="auto"/>
              </w:rPr>
              <w:t>Years ending December 31,</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2010</w:t>
            </w:r>
          </w:p>
        </w:tc>
        <w:tc>
          <w:tcPr>
            <w:tcW w:w="44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w:t>
            </w:r>
          </w:p>
        </w:tc>
      </w:tr>
      <w:tr>
        <w:trPr>
          <w:trHeight w:val="216"/>
        </w:trPr>
        <w:tc>
          <w:tcPr>
            <w:tcW w:w="20" w:type="dxa"/>
            <w:vAlign w:val="bottom"/>
          </w:tcPr>
          <w:p>
            <w:pPr>
              <w:spacing w:after="0"/>
              <w:rPr>
                <w:sz w:val="18"/>
                <w:szCs w:val="18"/>
                <w:color w:val="auto"/>
              </w:rPr>
            </w:pPr>
          </w:p>
        </w:tc>
        <w:tc>
          <w:tcPr>
            <w:tcW w:w="1640" w:type="dxa"/>
            <w:vAlign w:val="bottom"/>
          </w:tcPr>
          <w:p>
            <w:pPr>
              <w:ind w:left="100"/>
              <w:spacing w:after="0"/>
              <w:rPr>
                <w:sz w:val="20"/>
                <w:szCs w:val="20"/>
                <w:color w:val="auto"/>
              </w:rPr>
            </w:pPr>
            <w:r>
              <w:rPr>
                <w:rFonts w:ascii="Arial" w:cs="Arial" w:eastAsia="Arial" w:hAnsi="Arial"/>
                <w:sz w:val="18"/>
                <w:szCs w:val="18"/>
                <w:color w:val="auto"/>
              </w:rPr>
              <w:t>2011</w:t>
            </w:r>
          </w:p>
        </w:tc>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2012</w:t>
            </w:r>
          </w:p>
        </w:tc>
        <w:tc>
          <w:tcPr>
            <w:tcW w:w="4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1640" w:type="dxa"/>
            <w:vAlign w:val="bottom"/>
          </w:tcPr>
          <w:p>
            <w:pPr>
              <w:ind w:left="100"/>
              <w:spacing w:after="0"/>
              <w:rPr>
                <w:sz w:val="20"/>
                <w:szCs w:val="20"/>
                <w:color w:val="auto"/>
              </w:rPr>
            </w:pPr>
            <w:r>
              <w:rPr>
                <w:rFonts w:ascii="Arial" w:cs="Arial" w:eastAsia="Arial" w:hAnsi="Arial"/>
                <w:sz w:val="18"/>
                <w:szCs w:val="18"/>
                <w:color w:val="auto"/>
              </w:rPr>
              <w:t>2013</w:t>
            </w:r>
          </w:p>
        </w:tc>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2014</w:t>
            </w:r>
          </w:p>
        </w:tc>
        <w:tc>
          <w:tcPr>
            <w:tcW w:w="4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r>
      <w:tr>
        <w:trPr>
          <w:trHeight w:val="222"/>
        </w:trPr>
        <w:tc>
          <w:tcPr>
            <w:tcW w:w="20" w:type="dxa"/>
            <w:vAlign w:val="bottom"/>
          </w:tcPr>
          <w:p>
            <w:pPr>
              <w:spacing w:after="0"/>
              <w:rPr>
                <w:sz w:val="19"/>
                <w:szCs w:val="19"/>
                <w:color w:val="auto"/>
              </w:rPr>
            </w:pPr>
          </w:p>
        </w:tc>
        <w:tc>
          <w:tcPr>
            <w:tcW w:w="6100" w:type="dxa"/>
            <w:vAlign w:val="bottom"/>
            <w:gridSpan w:val="2"/>
          </w:tcPr>
          <w:p>
            <w:pPr>
              <w:ind w:left="10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w:t>
            </w:r>
          </w:p>
        </w:tc>
      </w:tr>
      <w:tr>
        <w:trPr>
          <w:trHeight w:val="222"/>
        </w:trPr>
        <w:tc>
          <w:tcPr>
            <w:tcW w:w="20" w:type="dxa"/>
            <w:vAlign w:val="bottom"/>
          </w:tcPr>
          <w:p>
            <w:pPr>
              <w:spacing w:after="0"/>
              <w:rPr>
                <w:sz w:val="19"/>
                <w:szCs w:val="19"/>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Less amount representing interest</w:t>
            </w:r>
          </w:p>
        </w:tc>
        <w:tc>
          <w:tcPr>
            <w:tcW w:w="16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w:t>
            </w:r>
          </w:p>
        </w:tc>
      </w:tr>
      <w:tr>
        <w:trPr>
          <w:trHeight w:val="222"/>
        </w:trPr>
        <w:tc>
          <w:tcPr>
            <w:tcW w:w="20" w:type="dxa"/>
            <w:vAlign w:val="bottom"/>
          </w:tcPr>
          <w:p>
            <w:pPr>
              <w:spacing w:after="0"/>
              <w:rPr>
                <w:sz w:val="19"/>
                <w:szCs w:val="19"/>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 portion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OPTION EXCHANGE OFFER</w:t>
      </w:r>
    </w:p>
    <w:p>
      <w:pPr>
        <w:spacing w:after="0" w:line="231" w:lineRule="exact"/>
        <w:rPr>
          <w:sz w:val="20"/>
          <w:szCs w:val="20"/>
          <w:color w:val="auto"/>
        </w:rPr>
      </w:pPr>
    </w:p>
    <w:p>
      <w:pPr>
        <w:ind w:right="40" w:firstLine="341"/>
        <w:spacing w:after="0" w:line="292" w:lineRule="auto"/>
        <w:rPr>
          <w:sz w:val="20"/>
          <w:szCs w:val="20"/>
          <w:color w:val="auto"/>
        </w:rPr>
      </w:pPr>
      <w:r>
        <w:rPr>
          <w:rFonts w:ascii="Arial" w:cs="Arial" w:eastAsia="Arial" w:hAnsi="Arial"/>
          <w:sz w:val="16"/>
          <w:szCs w:val="16"/>
          <w:color w:val="auto"/>
        </w:rPr>
        <w:t>At the Company's Annual Meeting of Stockholders held on June 19, 2009 (the "2009 Annual Meeting"), the Company's stockholders approved a one-time voluntary stock option exchange program (the "Exchange Offer"). On September 8, 2009, the Company commenced the Exchange Offer, which allowed employees to surrender eligible outstanding stock options with exercise prices equal to or greater than the highest intra-day trading price of the Company's common stock as reported on The NASDAQ Global Select Market during the previous 52 weeks in exchange for a lesser amount of restricted stock. The number of shares of restricted stock granted to each participant in the Exchange Offer was determined according to exchange ratios based on a combination of exercise price and remaining contractual terms of surrendered stock options. Shares of restricted stock issued under the Exchange Offer were completely unvested at the time they were granted and will become vested on the basis of a participant's continued employment with the Company or any of its subsidiaries over a period of three years following the exchange date, with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shares vesting annually.</w:t>
      </w:r>
    </w:p>
    <w:p>
      <w:pPr>
        <w:spacing w:after="0" w:line="5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Exchange Offer expired on October 5, 2009. Pursuant to the Exchange Offer, a total of 185 eligible participants tendered and the Company accepted for cancellation, options to purchase an aggregate of 5,476,701 shares of the Company's common stock with exercise prices greater than or equal to $3.54 per share, with an average exercise price of $5.48 per share. The eligible stock options that were accepted for cancellation represented approximately 36% of the options eligible for participation in the Exchange Offer. In accordance with the terms and conditions of the Exchange Offer, on October 6, 2009, the Company issued 1,015,360 shares of restricted common stock in exchange for the tendered stock options. The exchange ratios were designed to provide for the grant of replacement restricted stock that has a fair value, in the aggregate, that is no greater than the fair value of the stock options surrendered. The Company recognized the insignificant incremental expense resulting from this exchange in the fourth quarter of fiscal 2009. The Company will recognize the unamortized stock-based compensation expense related to the tendered stock options, aggregating</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OPTION EXCHANGE OFFER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$3.5 million, over the three-year vesting period of the restricted common stock issued under the Exchange Offer.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 PLANS</w:t>
      </w:r>
    </w:p>
    <w:p>
      <w:pPr>
        <w:spacing w:after="0" w:line="231" w:lineRule="exact"/>
        <w:rPr>
          <w:sz w:val="20"/>
          <w:szCs w:val="20"/>
          <w:color w:val="auto"/>
        </w:rPr>
      </w:pPr>
    </w:p>
    <w:p>
      <w:pPr>
        <w:ind w:right="220" w:firstLine="348"/>
        <w:spacing w:after="0" w:line="255" w:lineRule="auto"/>
        <w:rPr>
          <w:sz w:val="20"/>
          <w:szCs w:val="20"/>
          <w:color w:val="auto"/>
        </w:rPr>
      </w:pPr>
      <w:r>
        <w:rPr>
          <w:rFonts w:ascii="Arial" w:cs="Arial" w:eastAsia="Arial" w:hAnsi="Arial"/>
          <w:sz w:val="18"/>
          <w:szCs w:val="18"/>
          <w:color w:val="auto"/>
        </w:rPr>
        <w:t>The Company's 2007 Stock Incentive Plan, as Amended (the "2007 Plan"), was approved at the Company's Annual Meeting of Stockholders held on November 12, 2007, and became effective on that date. The 2007 Plan provides for the award of options to purchase the Company's common stock ("stock options"), stock appreciation rights ("SARs"), restricted common stock ("restricted stock"), performance-based share awards, restricted stock units and other stock-based awards to employees, officers, directors (including those directors who are not employees or officers of the Company), consultants and advisors of the Company and its subsidiaries.</w:t>
      </w:r>
    </w:p>
    <w:p>
      <w:pPr>
        <w:spacing w:after="0" w:line="197" w:lineRule="exact"/>
        <w:rPr>
          <w:sz w:val="20"/>
          <w:szCs w:val="20"/>
          <w:color w:val="auto"/>
        </w:rPr>
      </w:pPr>
    </w:p>
    <w:p>
      <w:pPr>
        <w:ind w:right="40" w:firstLine="341"/>
        <w:spacing w:after="0" w:line="314" w:lineRule="auto"/>
        <w:rPr>
          <w:sz w:val="20"/>
          <w:szCs w:val="20"/>
          <w:color w:val="auto"/>
        </w:rPr>
      </w:pPr>
      <w:r>
        <w:rPr>
          <w:rFonts w:ascii="Arial" w:cs="Arial" w:eastAsia="Arial" w:hAnsi="Arial"/>
          <w:sz w:val="15"/>
          <w:szCs w:val="15"/>
          <w:color w:val="auto"/>
        </w:rPr>
        <w:t>At the Company's 2009 Annual Meeting, the stockholders approved amendments to the 2007 Plan, including: (1) to increase the number of shares of the Company's common stock that may be issued under the 2007 Plan by the number of shares underlying the options that were surrendered and cancelled under the Exchange Offer (see Note 13); (2) to implement a "fungible share pool" approach to manage authorized shares in order to improve the flexibility of awards going forward; (3) to provide that, in determining the number of shares available for grant, a formula will be applied such that all future awards other than stock options and stock appreciation rights will be counted against shares available as 1.5 times the number of shares covered by such award; and (4) to increase the maximum number of shares to be granted to any participant under the 2007 Plan from one million to two million shares per calendar year (the "Amended 2007 Plan").</w:t>
      </w:r>
    </w:p>
    <w:p>
      <w:pPr>
        <w:spacing w:after="0" w:line="159"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At December 31, 2009, there were 6.0 million shares available for future issuance under the Amended 2007 Plan, of which 0.3 million shares, or 0.5 million shares using the fungible share pool formula, are committed for potential future issuance to certain of the Company's executives in the form of performance-based share awards. Due to the fungible share pool, the number of total shares available for future awards under the Amended 2007 Plan would be reduced by the fungible share pool multiple of 1.5 for each share of common stock included in an award other than a stock option or SAR award. Accordingly, the total number of shares awarded in the future under the Amended 2007 Plan could be less than the number of shares currently available for issuance.</w:t>
      </w:r>
    </w:p>
    <w:p>
      <w:pPr>
        <w:spacing w:after="0" w:line="170"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Company issued stock options and restricted stock under the 1997 Stock Incentive Plan (the "1997 Plan") through November 18, 2007, when the 1997 Plan expired.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Options are issued to purchase shares of common stock of the Company at prices that are equal to the fair market value of the shares on the date the option is granted. Options generally vest over a period of four years, with 25% of the shares subject to the option vesting on the first anniversary of the grant date and the remaining 75% vesting in equal monthly increments thereafter through the fourth anniversary of the grant date. Options generally expire ten years from the date of grant. The grant date fair value of options, adjusted for estimated forfeitures, is recognized as expense on a straight-line basis over the requisite service period, which is generally the vesting period. Forfeitures are estimated based on historical experience.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PLANS (Continued)</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activity related to the Company's outstanding stock options during the year ended December 31, 2009 is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 Term</w:t>
            </w:r>
          </w:p>
        </w:tc>
        <w:tc>
          <w:tcPr>
            <w:tcW w:w="160" w:type="dxa"/>
            <w:vAlign w:val="bottom"/>
          </w:tcPr>
          <w:p>
            <w:pPr>
              <w:spacing w:after="0"/>
              <w:rPr>
                <w:sz w:val="12"/>
                <w:szCs w:val="12"/>
                <w:color w:val="auto"/>
              </w:rPr>
            </w:pPr>
          </w:p>
        </w:tc>
        <w:tc>
          <w:tcPr>
            <w:tcW w:w="12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Intrinsic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9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36,875,380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1,973,000</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(96,304)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Cancelled in connection with the Exchange Offer</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(5,476,701)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5.48</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(1,719,688)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Expired</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(7,474,122)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5.09</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24,081,565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Vested or expected to vest at December 31, 2009</w:t>
            </w: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4.92</w:t>
            </w: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4.59</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continue"/>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gridSpan w:val="2"/>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w w:val="99"/>
              </w:rPr>
              <w:t>23,695,563</w:t>
            </w:r>
          </w:p>
        </w:tc>
        <w:tc>
          <w:tcPr>
            <w:tcW w:w="100" w:type="dxa"/>
            <w:vAlign w:val="bottom"/>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19,159,462</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Company used the Black-Scholes valuation model for estimating the grant date fair value of employee stock options granted using the following assumptions for the years ended December 31, 2009, 2008 and 2007:</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46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600" w:type="dxa"/>
            <w:vAlign w:val="bottom"/>
          </w:tcPr>
          <w:p>
            <w:pPr>
              <w:spacing w:after="0"/>
              <w:rPr>
                <w:sz w:val="12"/>
                <w:szCs w:val="12"/>
                <w:color w:val="auto"/>
              </w:rPr>
            </w:pPr>
          </w:p>
        </w:tc>
        <w:tc>
          <w:tcPr>
            <w:tcW w:w="116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14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46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shd w:val="clear" w:color="auto" w:fill="CCEEFF"/>
          </w:tcPr>
          <w:p>
            <w:pPr>
              <w:jc w:val="center"/>
              <w:ind w:left="19"/>
              <w:spacing w:after="0"/>
              <w:rPr>
                <w:sz w:val="20"/>
                <w:szCs w:val="20"/>
                <w:color w:val="auto"/>
              </w:rPr>
            </w:pPr>
            <w:r>
              <w:rPr>
                <w:rFonts w:ascii="Arial" w:cs="Arial" w:eastAsia="Arial" w:hAnsi="Arial"/>
                <w:sz w:val="18"/>
                <w:szCs w:val="18"/>
                <w:color w:val="auto"/>
                <w:w w:val="87"/>
              </w:rPr>
              <w:t>1.76%–2.47%</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19"/>
              <w:spacing w:after="0"/>
              <w:rPr>
                <w:sz w:val="20"/>
                <w:szCs w:val="20"/>
                <w:color w:val="auto"/>
              </w:rPr>
            </w:pPr>
            <w:r>
              <w:rPr>
                <w:rFonts w:ascii="Arial" w:cs="Arial" w:eastAsia="Arial" w:hAnsi="Arial"/>
                <w:sz w:val="18"/>
                <w:szCs w:val="18"/>
                <w:color w:val="auto"/>
                <w:w w:val="89"/>
              </w:rPr>
              <w:t>2.18%–3.12%</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Expected dividends</w:t>
            </w:r>
          </w:p>
        </w:tc>
        <w:tc>
          <w:tcPr>
            <w:tcW w:w="1160" w:type="dxa"/>
            <w:vAlign w:val="bottom"/>
          </w:tcPr>
          <w:p>
            <w:pPr>
              <w:jc w:val="center"/>
              <w:ind w:left="19"/>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140" w:type="dxa"/>
            <w:vAlign w:val="bottom"/>
          </w:tcPr>
          <w:p>
            <w:pPr>
              <w:jc w:val="center"/>
              <w:ind w:left="19"/>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1160" w:type="dxa"/>
            <w:vAlign w:val="bottom"/>
            <w:shd w:val="clear" w:color="auto" w:fill="CCEEFF"/>
          </w:tcPr>
          <w:p>
            <w:pPr>
              <w:jc w:val="center"/>
              <w:ind w:left="19"/>
              <w:spacing w:after="0"/>
              <w:rPr>
                <w:sz w:val="20"/>
                <w:szCs w:val="20"/>
                <w:color w:val="auto"/>
              </w:rPr>
            </w:pPr>
            <w:r>
              <w:rPr>
                <w:rFonts w:ascii="Arial" w:cs="Arial" w:eastAsia="Arial" w:hAnsi="Arial"/>
                <w:sz w:val="18"/>
                <w:szCs w:val="18"/>
                <w:color w:val="auto"/>
                <w:w w:val="90"/>
              </w:rPr>
              <w:t>64.3%</w:t>
            </w:r>
          </w:p>
        </w:tc>
        <w:tc>
          <w:tcPr>
            <w:tcW w:w="130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8"/>
              </w:rPr>
              <w:t>71.75%</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60.1%</w:t>
            </w:r>
          </w:p>
        </w:tc>
      </w:t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Expected life (years)</w:t>
            </w:r>
          </w:p>
        </w:tc>
        <w:tc>
          <w:tcPr>
            <w:tcW w:w="1160" w:type="dxa"/>
            <w:vAlign w:val="bottom"/>
          </w:tcPr>
          <w:p>
            <w:pPr>
              <w:jc w:val="center"/>
              <w:ind w:left="19"/>
              <w:spacing w:after="0"/>
              <w:rPr>
                <w:sz w:val="20"/>
                <w:szCs w:val="20"/>
                <w:color w:val="auto"/>
              </w:rPr>
            </w:pPr>
            <w:r>
              <w:rPr>
                <w:rFonts w:ascii="Arial" w:cs="Arial" w:eastAsia="Arial" w:hAnsi="Arial"/>
                <w:sz w:val="18"/>
                <w:szCs w:val="18"/>
                <w:color w:val="auto"/>
                <w:w w:val="87"/>
              </w:rPr>
              <w:t>4.5</w:t>
            </w:r>
          </w:p>
        </w:tc>
        <w:tc>
          <w:tcPr>
            <w:tcW w:w="130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4.5</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4.5</w:t>
            </w:r>
          </w:p>
        </w:tc>
      </w:tr>
    </w:tbl>
    <w:p>
      <w:pPr>
        <w:spacing w:after="0" w:line="20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risk-free interest rate used is the average U.S. Treasury Constant Maturities Rate for the expected term of the award. The expected dividend yield of zero is based on the fact that the Company has never paid dividends and has no present intention to pay cash dividends. The expected life for stock options is based on a combination of the Company's historical option patterns and expectations of future employee actions.</w:t>
      </w:r>
    </w:p>
    <w:p>
      <w:pPr>
        <w:spacing w:after="0" w:line="161"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The weighted average grant-date fair values of options granted during the years ended December 31, 2009, 2008 and 2007 were $0.97, $2.23 and $3.33, respectively. The total intrinsic values of options exercised during the years ended December 31, 2009, 2008 and 2007 were $0.1 million, $0.3 million and $17.0 million, respectively.</w:t>
      </w:r>
    </w:p>
    <w:p>
      <w:pPr>
        <w:spacing w:after="0" w:line="194"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Company received cash from option exercises of $0.1 million, $0.4 million and $39.5 million in the years ended December 31, 2009, 2008 and 2007, respectively.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right="6700" w:firstLine="8"/>
        <w:spacing w:after="0" w:line="504" w:lineRule="auto"/>
        <w:tabs>
          <w:tab w:leader="none" w:pos="336"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PLANS (Continued) Restricted Stock Awards</w:t>
      </w:r>
    </w:p>
    <w:p>
      <w:pPr>
        <w:spacing w:after="0" w:line="1" w:lineRule="exact"/>
        <w:rPr>
          <w:sz w:val="20"/>
          <w:szCs w:val="20"/>
          <w:color w:val="auto"/>
        </w:rPr>
      </w:pPr>
    </w:p>
    <w:p>
      <w:pPr>
        <w:ind w:firstLine="351"/>
        <w:spacing w:after="0" w:line="305" w:lineRule="auto"/>
        <w:rPr>
          <w:sz w:val="20"/>
          <w:szCs w:val="20"/>
          <w:color w:val="auto"/>
        </w:rPr>
      </w:pPr>
      <w:r>
        <w:rPr>
          <w:rFonts w:ascii="Arial" w:cs="Arial" w:eastAsia="Arial" w:hAnsi="Arial"/>
          <w:sz w:val="15"/>
          <w:szCs w:val="15"/>
          <w:color w:val="auto"/>
        </w:rPr>
        <w:t>Recipients of restricted stock awards have voting rights and rights to receive dividends, if declared. Restricted stock awards generally vest 25% on the first anniversary of the grant date, with the remaining 75% vesting in equal increments semi-annually thereafter. Restricted stock awards issued in connection with the</w:t>
      </w:r>
    </w:p>
    <w:p>
      <w:pPr>
        <w:spacing w:after="0" w:line="231" w:lineRule="auto"/>
        <w:rPr>
          <w:sz w:val="20"/>
          <w:szCs w:val="20"/>
          <w:color w:val="auto"/>
        </w:rPr>
      </w:pPr>
      <w:r>
        <w:rPr>
          <w:rFonts w:ascii="Arial" w:cs="Arial" w:eastAsia="Arial" w:hAnsi="Arial"/>
          <w:sz w:val="17"/>
          <w:szCs w:val="17"/>
          <w:color w:val="auto"/>
        </w:rPr>
        <w:t>Company's Exchange Offer vest over a period of three years following the exchange date, with 33</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shares vesting annually. The grant date fair value of restricted stock awards, adjusted for estimated forfeitures, is recognized as expense on a straight-line basis over the requisite service period. The fair value of restricted stock is determined based on the market value of the Company's shares on the date of grant.</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unvested restricted stock awards for the year ended December 31, 2009 is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Grant-date Fair</w:t>
            </w:r>
          </w:p>
        </w:tc>
        <w:tc>
          <w:tcPr>
            <w:tcW w:w="0" w:type="dxa"/>
            <w:vAlign w:val="bottom"/>
          </w:tcPr>
          <w:p>
            <w:pPr>
              <w:spacing w:after="0"/>
              <w:rPr>
                <w:sz w:val="1"/>
                <w:szCs w:val="1"/>
                <w:color w:val="auto"/>
              </w:rPr>
            </w:pPr>
          </w:p>
        </w:tc>
      </w:tr>
      <w:tr>
        <w:trPr>
          <w:trHeight w:val="161"/>
        </w:trPr>
        <w:tc>
          <w:tcPr>
            <w:tcW w:w="4520" w:type="dxa"/>
            <w:vAlign w:val="bottom"/>
          </w:tcPr>
          <w:p>
            <w:pPr>
              <w:spacing w:after="0"/>
              <w:rPr>
                <w:sz w:val="14"/>
                <w:szCs w:val="14"/>
                <w:color w:val="auto"/>
              </w:rPr>
            </w:pPr>
          </w:p>
        </w:tc>
        <w:tc>
          <w:tcPr>
            <w:tcW w:w="9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Shares</w:t>
            </w:r>
          </w:p>
        </w:tc>
        <w:tc>
          <w:tcPr>
            <w:tcW w:w="160" w:type="dxa"/>
            <w:vAlign w:val="bottom"/>
            <w:gridSpan w:val="2"/>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January 1, 2009</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3,539,161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Arial" w:cs="Arial" w:eastAsia="Arial" w:hAnsi="Arial"/>
                <w:sz w:val="18"/>
                <w:szCs w:val="18"/>
                <w:color w:val="auto"/>
              </w:rPr>
              <w:t>Granted</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372,500</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Granted in connection with the Exchange Offer</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1,015,360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Arial" w:cs="Arial" w:eastAsia="Arial" w:hAnsi="Arial"/>
                <w:sz w:val="18"/>
                <w:szCs w:val="18"/>
                <w:color w:val="auto"/>
              </w:rPr>
              <w:t>Vested</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(1,098,798)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(383,727)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
        </w:trPr>
        <w:tc>
          <w:tcPr>
            <w:tcW w:w="4520" w:type="dxa"/>
            <w:vAlign w:val="bottom"/>
            <w:vMerge w:val="restart"/>
          </w:tcPr>
          <w:p>
            <w:pPr>
              <w:spacing w:after="0"/>
              <w:rPr>
                <w:sz w:val="20"/>
                <w:szCs w:val="20"/>
                <w:color w:val="auto"/>
              </w:rPr>
            </w:pPr>
            <w:r>
              <w:rPr>
                <w:rFonts w:ascii="Arial" w:cs="Arial" w:eastAsia="Arial" w:hAnsi="Arial"/>
                <w:sz w:val="18"/>
                <w:szCs w:val="18"/>
                <w:color w:val="auto"/>
              </w:rPr>
              <w:t>Unvested balance at December 31, 2009</w:t>
            </w: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4520" w:type="dxa"/>
            <w:vAlign w:val="bottom"/>
            <w:vMerge w:val="continue"/>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3,444,496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720" w:firstLine="348"/>
        <w:spacing w:after="0" w:line="268" w:lineRule="auto"/>
        <w:rPr>
          <w:sz w:val="20"/>
          <w:szCs w:val="20"/>
          <w:color w:val="auto"/>
        </w:rPr>
      </w:pPr>
      <w:r>
        <w:rPr>
          <w:rFonts w:ascii="Arial" w:cs="Arial" w:eastAsia="Arial" w:hAnsi="Arial"/>
          <w:sz w:val="18"/>
          <w:szCs w:val="18"/>
          <w:color w:val="auto"/>
        </w:rPr>
        <w:t>The total fair value of restricted stock shares vested during the years ended December 31, 2009, 2008 and 2007 was $4.9 million, $7.0 million and $15.7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Stock Awards</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Similar to recipients of restricted stock awards, recipients of performance-based stock awards have voting rights and rights to dividends, if declared. The Company begins to record stock-based compensation expense for performance-based stock awards at the time that it becomes probable that the respective performance conditions will be achieved. The Company will continue to recognize the grant date fair value of performance-based stock awards through the vest date of the respective awards so long as it remains probable that the related performance conditions will be satisfied. The Company recorded approximately $53,000 of stock-based compensation expense in the year ended December 31, 2009 related to 25,000 shares of common stock underlying performance-based awards for which the performance conditions were met and 50,000 shares of common stock underlying performance-based stock awards for which the Company believes it is probable that the performance conditions will be satisfied.</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PLANS (Continued)</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activity related to the Company's performance-based stock awards for the year ended December 31, 2009 is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Grant-date Fair</w:t>
            </w:r>
          </w:p>
        </w:tc>
      </w:tr>
      <w:tr>
        <w:trPr>
          <w:trHeight w:val="161"/>
        </w:trPr>
        <w:tc>
          <w:tcPr>
            <w:tcW w:w="2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r>
      <w:tr>
        <w:trPr>
          <w:trHeight w:val="210"/>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balance at January 1, 2009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w:t>
            </w:r>
          </w:p>
        </w:tc>
      </w:tr>
      <w:tr>
        <w:trPr>
          <w:trHeight w:val="216"/>
        </w:trPr>
        <w:tc>
          <w:tcPr>
            <w:tcW w:w="472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r>
      <w:tr>
        <w:trPr>
          <w:trHeight w:val="216"/>
        </w:trPr>
        <w:tc>
          <w:tcPr>
            <w:tcW w:w="4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w:t>
            </w:r>
          </w:p>
        </w:tc>
      </w:tr>
      <w:tr>
        <w:trPr>
          <w:trHeight w:val="222"/>
        </w:trPr>
        <w:tc>
          <w:tcPr>
            <w:tcW w:w="4720" w:type="dxa"/>
            <w:vAlign w:val="bottom"/>
            <w:gridSpan w:val="2"/>
          </w:tcPr>
          <w:p>
            <w:pPr>
              <w:ind w:left="120"/>
              <w:spacing w:after="0"/>
              <w:rPr>
                <w:sz w:val="20"/>
                <w:szCs w:val="20"/>
                <w:color w:val="auto"/>
              </w:rPr>
            </w:pPr>
            <w:r>
              <w:rPr>
                <w:rFonts w:ascii="Arial" w:cs="Arial" w:eastAsia="Arial" w:hAnsi="Arial"/>
                <w:sz w:val="18"/>
                <w:szCs w:val="18"/>
                <w:color w:val="auto"/>
              </w:rPr>
              <w:t>Forfeited</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2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balance at December 31, 2009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w:t>
            </w:r>
          </w:p>
        </w:tc>
      </w:tr>
      <w:tr>
        <w:trPr>
          <w:trHeight w:val="27"/>
        </w:trPr>
        <w:tc>
          <w:tcPr>
            <w:tcW w:w="24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2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840" w:right="240" w:hanging="550"/>
        <w:spacing w:after="0" w:line="268" w:lineRule="auto"/>
        <w:tabs>
          <w:tab w:leader="none" w:pos="2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shares underlying these performance-based awards will be issued to the employee during the first quarter of fiscal 2010.</w:t>
      </w:r>
    </w:p>
    <w:p>
      <w:pPr>
        <w:spacing w:after="0" w:line="186"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There are 341,167 shares of the Company's common stock that are not included in the table above, as the Company has not determined the performance metrics for these awards. The Company will begin to record stock-based compensation expense at the time that the performance metrics are defined and when it becomes probable that the respective performance conditions will be achieved.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ESPP</w:t>
      </w:r>
    </w:p>
    <w:p>
      <w:pPr>
        <w:spacing w:after="0" w:line="231" w:lineRule="exact"/>
        <w:rPr>
          <w:sz w:val="20"/>
          <w:szCs w:val="20"/>
          <w:color w:val="auto"/>
        </w:rPr>
      </w:pPr>
    </w:p>
    <w:p>
      <w:pPr>
        <w:ind w:right="840" w:firstLine="348"/>
        <w:spacing w:after="0" w:line="332" w:lineRule="auto"/>
        <w:rPr>
          <w:sz w:val="20"/>
          <w:szCs w:val="20"/>
          <w:color w:val="auto"/>
        </w:rPr>
      </w:pPr>
      <w:r>
        <w:rPr>
          <w:rFonts w:ascii="Arial" w:cs="Arial" w:eastAsia="Arial" w:hAnsi="Arial"/>
          <w:sz w:val="16"/>
          <w:szCs w:val="16"/>
          <w:color w:val="auto"/>
        </w:rPr>
        <w:t>The Amended and Restated 2000 Employee Stock Purchase Plan (the "ESPP") is designed to provide eligible employees of the Company and its participating subsidiaries an opportunity to purchase common stock of the Company through accumulated payroll deductions.</w:t>
      </w:r>
    </w:p>
    <w:p>
      <w:pPr>
        <w:spacing w:after="0" w:line="139"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January 25, 2008, the Company's Board of Directors approved the ESPP. The ESPP provides for six-month consecutive offering periods commencing with the March 1, 2008 purchase period. The purchase price of the stock is equal to 85% of the market price on the last day of the offering period. Under the ESPP, because employees are entitled to purchase a variable number of shares for a fixed monetary amount, future awards are classified as share-based liabilities and recorded at fair value. However, the maximum number of shares of common stock an employee may purchase during each offering period is 2,500, subject to certain adjustments pursuant to the ESPP. The Company reclassifies these liabilities to Additional paid-in capital at the time of the share purchase, which is the date of the award.</w:t>
      </w:r>
    </w:p>
    <w:p>
      <w:pPr>
        <w:spacing w:after="0" w:line="198"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On January 1 of each year, the aggregate number of shares of common stock available for purchase under the ESPP increases by the lesser of (i) 2% of the outstanding shares on December 31 of the preceding year or (ii) an amount determined by the Board of Directors of the Company. At December 31, 2009, 25.0 million shares were authorized and 14.5 million shares were available under the ESPP for future issuance.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right="6700" w:firstLine="8"/>
        <w:spacing w:after="0" w:line="504" w:lineRule="auto"/>
        <w:tabs>
          <w:tab w:leader="none" w:pos="336"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PLANS (Continued) Stock-Based Compensation</w:t>
      </w:r>
    </w:p>
    <w:p>
      <w:pPr>
        <w:spacing w:after="0" w:line="1"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consolidated statements of operations include stock-based compensation for the years ended December 31, 2009, 2008 and 2007 as follows (in thousands):</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8"/>
          </w:tcPr>
          <w:p>
            <w:pPr>
              <w:ind w:left="3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2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Product cost of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Service cost of revenue</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2,731</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3,682</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7,921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16,152</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5,662</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14,316</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8,074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7,496</w:t>
            </w: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r>
      <w:tr>
        <w:trPr>
          <w:trHeight w:val="216"/>
        </w:trPr>
        <w:tc>
          <w:tcPr>
            <w:tcW w:w="42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12,810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25,122</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42,506</w:t>
            </w:r>
          </w:p>
        </w:tc>
        <w:tc>
          <w:tcPr>
            <w:tcW w:w="160" w:type="dxa"/>
            <w:vAlign w:val="bottom"/>
          </w:tcPr>
          <w:p>
            <w:pPr>
              <w:spacing w:after="0"/>
              <w:rPr>
                <w:sz w:val="18"/>
                <w:szCs w:val="18"/>
                <w:color w:val="auto"/>
              </w:rPr>
            </w:pPr>
          </w:p>
        </w:tc>
      </w:tr>
      <w:tr>
        <w:trPr>
          <w:trHeight w:val="21"/>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Excluded from the amounts above are approximately $176,000 and $136,000 of stock-based compensation expense included in the loss from discontinued operations for the years ended December 31, 2008 and 2007, respectively. In addition, the Company included $0.1 million and $0.2 million of stock-based compensation in inventory at December 31, 2009 and 2008, respectively.</w:t>
      </w:r>
    </w:p>
    <w:p>
      <w:pPr>
        <w:spacing w:after="0" w:line="194"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income tax benefit for employee stock-based compensation expense was $12.4 million for the year ended December 31, 2007. There is no income tax benefit for employee stock-based compensation expense for the years ended December 31, 2009 and 2008 due to the valuation allowance recorded.</w:t>
      </w:r>
    </w:p>
    <w:p>
      <w:pPr>
        <w:spacing w:after="0" w:line="139"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At December 31, 2009, there was $19.7 million, net of expected forfeitures, of unrecognized stock-based compensation expense related to unvested stock options and restricted stock awards, as well as performance-based stock awards for which the Company believes it is probable the performance conditions will be met. This expense is expected to be recognized over a weighted average period of 2.4 years.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Common Stock Reserved</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Common stock reserved for future issuance at December 31, 2009 consists of the following:</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30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2007 Stock Incentive Plan</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5,971,479</w:t>
            </w: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14,457,200</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20,428,679</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57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Company's policy is to issue new shares upon the exercise of stock options, vesting of restricted common stock and performance-based stock awards, and purchase of shares of common stock under the ESPP.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 RIGHTS PLAN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June 26, 2008, the Company's Board of Directors adopted a three-year stockholder rights plan (the "Rights Plan"). The Rights Plan is designed to protect stockholders, to the extent possible, from a creeping acquisition and other tactics to gain control of the Company without offering all stockholders an adequate price and control premium. The Rights Plan is intended to protect the interests of all the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 RIGHTS PLAN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Company's stockholders and to provide the Company's Board of Directors with the ability to attempt to maximize long-term stockholder value.</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Under the Rights Plan, preferred stock purchase rights (the "Rights") were distributed as a dividend at the rate of one Right per share of common stock of the Company held by stockholders of record as of the close of business on July 7, 2008. Each Right entitles the stockholder to purchase from the Company a unit consisting of one one-thousandth of a share (a "Unit") of preferred stock at a purchase price of $25.00 per Unit, subject to adjustment. The Rights were issued as a non-taxable dividend and will expire on June 26, 2011 unless earlier redeemed or exchanged.</w:t>
      </w:r>
    </w:p>
    <w:p>
      <w:pPr>
        <w:spacing w:after="0" w:line="167"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The Rights generally will be exercisable only if a person or group acquires beneficial ownership of 15% or more of the Company's common stock (which includes for this purpose shares of common stock referenced in derivative transactions or securities), or commences or publicly announces a tender or exchange offer upon consummation of which they would beneficially own 15% or more of the Company's common stock. A person or group who beneficially owned 15% or more of the outstanding shares of the Company's common stock prior to the adoption of the Rights Plan did not cause the Rights to become exercisable upon adoption of the Rights Plan. As a result, the Rights will not be triggered even though Legatum Capital Limited and certain of its affiliates (collectively, "Legatum") have reported that they beneficially owned approximately 25% of the outstanding shares of the Company's common stock prior to the adoption of the Rights Plan based on Legatum's public filings with the Securities and Exchange Commission (the "SEC"). However, Legatum and its affiliates will cause the Rights to become exercisable if they (subject to certain limited exceptions) become the beneficial owner of additional shares of the Company's common stock or their beneficial ownership decreases below 15% and subsequently increases to 15% or more. Should the Rights become exercisable, the effect would be to dilute the ownership of the beneficial owner(s) who triggered the Rights, as that beneficial owner or group of owners would not receive the Rights.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EMPLOYEE DEFINED CONTRIBUTION PLAN</w:t>
      </w:r>
    </w:p>
    <w:p>
      <w:pPr>
        <w:spacing w:after="0" w:line="23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During the fourth quarter of fiscal 2007, the Company enhanced its 401(k) savings plan for employees by implementing a matching contribution of 50% of employee contributions, up to a maximum match of $3,000 per employee. In the first quarter of 2008, the Company's Board of Directors voted to increase the maximum match to $3,500 per employee effective January 1, 2008. The Company recorded expense related to its 401(k) savings plan of $1.2 million, $1.6 million and $0.5 million in the years ended December 31, 2009, 2008 and 2007, respectively.</w:t>
      </w:r>
    </w:p>
    <w:p>
      <w:pPr>
        <w:spacing w:after="0" w:line="161"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income (loss) from continuing operations before income taxes consist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w w:val="83"/>
              </w:rPr>
              <w:t>2007</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90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(8,135)</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(39,253)</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(34,843)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(7,391)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(36,475)</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(31,601)</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20" w:type="dxa"/>
            <w:vAlign w:val="bottom"/>
            <w:vMerge w:val="restart"/>
          </w:tcPr>
          <w:p>
            <w:pPr>
              <w:jc w:val="right"/>
              <w:ind w:right="532"/>
              <w:spacing w:after="0"/>
              <w:rPr>
                <w:sz w:val="20"/>
                <w:szCs w:val="20"/>
                <w:color w:val="auto"/>
              </w:rPr>
            </w:pPr>
            <w:r>
              <w:rPr>
                <w:rFonts w:ascii="Arial" w:cs="Arial" w:eastAsia="Arial" w:hAnsi="Arial"/>
                <w:sz w:val="18"/>
                <w:szCs w:val="18"/>
                <w:color w:val="auto"/>
              </w:rPr>
              <w:t>83</w:t>
            </w: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 (Continued)</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Company recorded an income tax benefit for discontinued operations of $1.0 million and $0.5 million for the years ended December 31, 2008 and 2007,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provision (benefit) for income taxes from continuing operations consists of the following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9"/>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Current:</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Federal</w:t>
            </w:r>
          </w:p>
        </w:tc>
        <w:tc>
          <w:tcPr>
            <w:tcW w:w="2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(401)</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60"/>
              <w:spacing w:after="0"/>
              <w:rPr>
                <w:sz w:val="20"/>
                <w:szCs w:val="20"/>
                <w:color w:val="auto"/>
              </w:rPr>
            </w:pPr>
            <w:r>
              <w:rPr>
                <w:rFonts w:ascii="Arial" w:cs="Arial" w:eastAsia="Arial" w:hAnsi="Arial"/>
                <w:sz w:val="18"/>
                <w:szCs w:val="18"/>
                <w:color w:val="auto"/>
              </w:rPr>
              <w:t>State</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Foreign</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vMerge w:val="restart"/>
          </w:tcPr>
          <w:p>
            <w:pPr>
              <w:ind w:left="400"/>
              <w:spacing w:after="0"/>
              <w:rPr>
                <w:sz w:val="20"/>
                <w:szCs w:val="20"/>
                <w:color w:val="auto"/>
              </w:rPr>
            </w:pPr>
            <w:r>
              <w:rPr>
                <w:rFonts w:ascii="Arial" w:cs="Arial" w:eastAsia="Arial" w:hAnsi="Arial"/>
                <w:sz w:val="18"/>
                <w:szCs w:val="18"/>
                <w:color w:val="auto"/>
              </w:rPr>
              <w:t>Total current</w:t>
            </w:r>
          </w:p>
        </w:tc>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vMerge w:val="continue"/>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(2,908)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60"/>
              <w:spacing w:after="0"/>
              <w:rPr>
                <w:sz w:val="20"/>
                <w:szCs w:val="20"/>
                <w:color w:val="auto"/>
              </w:rPr>
            </w:pPr>
            <w:r>
              <w:rPr>
                <w:rFonts w:ascii="Arial" w:cs="Arial" w:eastAsia="Arial" w:hAnsi="Arial"/>
                <w:sz w:val="18"/>
                <w:szCs w:val="18"/>
                <w:color w:val="auto"/>
              </w:rPr>
              <w:t>Federal</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(8,176)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State</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60"/>
              <w:spacing w:after="0"/>
              <w:rPr>
                <w:sz w:val="20"/>
                <w:szCs w:val="20"/>
                <w:color w:val="auto"/>
              </w:rPr>
            </w:pPr>
            <w:r>
              <w:rPr>
                <w:rFonts w:ascii="Arial" w:cs="Arial" w:eastAsia="Arial" w:hAnsi="Arial"/>
                <w:sz w:val="18"/>
                <w:szCs w:val="18"/>
                <w:color w:val="auto"/>
              </w:rPr>
              <w:t>Foreign</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(246)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 in valuation allowance</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88,387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vMerge w:val="restart"/>
          </w:tcPr>
          <w:p>
            <w:pPr>
              <w:ind w:left="400"/>
              <w:spacing w:after="0"/>
              <w:rPr>
                <w:sz w:val="20"/>
                <w:szCs w:val="20"/>
                <w:color w:val="auto"/>
              </w:rPr>
            </w:pPr>
            <w:r>
              <w:rPr>
                <w:rFonts w:ascii="Arial" w:cs="Arial" w:eastAsia="Arial" w:hAnsi="Arial"/>
                <w:sz w:val="18"/>
                <w:szCs w:val="18"/>
                <w:color w:val="auto"/>
              </w:rPr>
              <w:t>Total deferred</w:t>
            </w:r>
          </w:p>
        </w:tc>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vMerge w:val="continue"/>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77,792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(11,304)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79,675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Company's effective tax rate for continuing operations to the statutory federal rate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600" w:type="dxa"/>
            <w:vAlign w:val="bottom"/>
            <w:gridSpan w:val="7"/>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U.S. Statutory income tax rate</w:t>
            </w:r>
          </w:p>
        </w:tc>
        <w:tc>
          <w:tcPr>
            <w:tcW w:w="3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3720" w:type="dxa"/>
            <w:vAlign w:val="bottom"/>
            <w:gridSpan w:val="3"/>
          </w:tcPr>
          <w:p>
            <w:pPr>
              <w:jc w:val="right"/>
              <w:ind w:right="160"/>
              <w:spacing w:after="0"/>
              <w:rPr>
                <w:sz w:val="20"/>
                <w:szCs w:val="20"/>
                <w:color w:val="auto"/>
              </w:rPr>
            </w:pPr>
            <w:r>
              <w:rPr>
                <w:rFonts w:ascii="Arial" w:cs="Arial" w:eastAsia="Arial" w:hAnsi="Arial"/>
                <w:sz w:val="18"/>
                <w:szCs w:val="18"/>
                <w:color w:val="auto"/>
              </w:rPr>
              <w:t>(9.8)</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taxes</w:t>
            </w:r>
          </w:p>
        </w:tc>
        <w:tc>
          <w:tcPr>
            <w:tcW w:w="3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Foreign dividends</w:t>
            </w:r>
          </w:p>
        </w:tc>
        <w:tc>
          <w:tcPr>
            <w:tcW w:w="30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Tax credits</w:t>
            </w:r>
          </w:p>
        </w:tc>
        <w:tc>
          <w:tcPr>
            <w:tcW w:w="3720" w:type="dxa"/>
            <w:vAlign w:val="bottom"/>
            <w:gridSpan w:val="3"/>
          </w:tcPr>
          <w:p>
            <w:pPr>
              <w:jc w:val="right"/>
              <w:ind w:right="160"/>
              <w:spacing w:after="0"/>
              <w:rPr>
                <w:sz w:val="20"/>
                <w:szCs w:val="20"/>
                <w:color w:val="auto"/>
              </w:rPr>
            </w:pPr>
            <w:r>
              <w:rPr>
                <w:rFonts w:ascii="Arial" w:cs="Arial" w:eastAsia="Arial" w:hAnsi="Arial"/>
                <w:sz w:val="18"/>
                <w:szCs w:val="18"/>
                <w:color w:val="auto"/>
              </w:rPr>
              <w:t>(22.6)</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Valuation allowance</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242.3</w:t>
            </w:r>
          </w:p>
        </w:tc>
        <w:tc>
          <w:tcPr>
            <w:tcW w:w="2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ind w:left="1140"/>
              <w:spacing w:after="0"/>
              <w:rPr>
                <w:sz w:val="20"/>
                <w:szCs w:val="20"/>
                <w:color w:val="auto"/>
              </w:rPr>
            </w:pPr>
            <w:r>
              <w:rPr>
                <w:rFonts w:ascii="Arial" w:cs="Arial" w:eastAsia="Arial" w:hAnsi="Arial"/>
                <w:sz w:val="18"/>
                <w:szCs w:val="18"/>
                <w:color w:val="auto"/>
              </w:rPr>
              <w:t>Effective income tax rate</w:t>
            </w:r>
          </w:p>
        </w:tc>
        <w:tc>
          <w:tcPr>
            <w:tcW w:w="30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20" w:type="dxa"/>
            <w:vAlign w:val="bottom"/>
            <w:gridSpan w:val="2"/>
            <w:vMerge w:val="continue"/>
          </w:tcPr>
          <w:p>
            <w:pPr>
              <w:spacing w:after="0"/>
              <w:rPr>
                <w:sz w:val="18"/>
                <w:szCs w:val="18"/>
                <w:color w:val="auto"/>
              </w:rPr>
            </w:pPr>
          </w:p>
        </w:tc>
        <w:tc>
          <w:tcPr>
            <w:tcW w:w="30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218.5%</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(26.8)%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000" w:type="dxa"/>
            <w:vAlign w:val="bottom"/>
            <w:vMerge w:val="restart"/>
          </w:tcPr>
          <w:p>
            <w:pPr>
              <w:jc w:val="right"/>
              <w:ind w:right="1932"/>
              <w:spacing w:after="0"/>
              <w:rPr>
                <w:sz w:val="20"/>
                <w:szCs w:val="20"/>
                <w:color w:val="auto"/>
              </w:rPr>
            </w:pPr>
            <w:r>
              <w:rPr>
                <w:rFonts w:ascii="Arial" w:cs="Arial" w:eastAsia="Arial" w:hAnsi="Arial"/>
                <w:sz w:val="18"/>
                <w:szCs w:val="18"/>
                <w:color w:val="auto"/>
              </w:rPr>
              <w:t>84</w:t>
            </w: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000" w:type="dxa"/>
            <w:vAlign w:val="bottom"/>
            <w:vMerge w:val="continue"/>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the significant components of deferred income tax assets and liabilities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20"/>
              <w:spacing w:after="0"/>
              <w:rPr>
                <w:sz w:val="20"/>
                <w:szCs w:val="20"/>
                <w:color w:val="auto"/>
              </w:rPr>
            </w:pPr>
            <w:r>
              <w:rPr>
                <w:rFonts w:ascii="Arial" w:cs="Arial" w:eastAsia="Arial" w:hAnsi="Arial"/>
                <w:sz w:val="18"/>
                <w:szCs w:val="18"/>
                <w:color w:val="auto"/>
              </w:rPr>
              <w:t>Net operating loss carryforwards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38,468</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36,010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loss carryforward</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20"/>
              <w:spacing w:after="0"/>
              <w:rPr>
                <w:sz w:val="20"/>
                <w:szCs w:val="20"/>
                <w:color w:val="auto"/>
              </w:rPr>
            </w:pPr>
            <w:r>
              <w:rPr>
                <w:rFonts w:ascii="Arial" w:cs="Arial" w:eastAsia="Arial" w:hAnsi="Arial"/>
                <w:sz w:val="18"/>
                <w:szCs w:val="18"/>
                <w:color w:val="auto"/>
              </w:rPr>
              <w:t>Research and development tax credits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tax credits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2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27,047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temporary differences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119,763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124,696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Valuation allowance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(117,817)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(122,267)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vMerge w:val="restart"/>
          </w:tcPr>
          <w:p>
            <w:pPr>
              <w:ind w:left="260"/>
              <w:spacing w:after="0"/>
              <w:rPr>
                <w:sz w:val="20"/>
                <w:szCs w:val="20"/>
                <w:color w:val="auto"/>
              </w:rPr>
            </w:pPr>
            <w:r>
              <w:rPr>
                <w:rFonts w:ascii="Arial" w:cs="Arial" w:eastAsia="Arial" w:hAnsi="Arial"/>
                <w:sz w:val="18"/>
                <w:szCs w:val="18"/>
                <w:color w:val="auto"/>
              </w:rPr>
              <w:t>Total deferred tax assets</w:t>
            </w: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20"/>
              <w:spacing w:after="0"/>
              <w:rPr>
                <w:sz w:val="20"/>
                <w:szCs w:val="20"/>
                <w:color w:val="auto"/>
              </w:rPr>
            </w:pPr>
            <w:r>
              <w:rPr>
                <w:rFonts w:ascii="Arial" w:cs="Arial" w:eastAsia="Arial" w:hAnsi="Arial"/>
                <w:sz w:val="18"/>
                <w:szCs w:val="18"/>
                <w:color w:val="auto"/>
              </w:rPr>
              <w:t>Purchased intangible assets</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gain on available-for-sale securities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vMerge w:val="restart"/>
          </w:tcPr>
          <w:p>
            <w:pPr>
              <w:ind w:left="260"/>
              <w:spacing w:after="0"/>
              <w:rPr>
                <w:sz w:val="20"/>
                <w:szCs w:val="20"/>
                <w:color w:val="auto"/>
              </w:rPr>
            </w:pPr>
            <w:r>
              <w:rPr>
                <w:rFonts w:ascii="Arial" w:cs="Arial" w:eastAsia="Arial" w:hAnsi="Arial"/>
                <w:sz w:val="18"/>
                <w:szCs w:val="18"/>
                <w:color w:val="auto"/>
              </w:rPr>
              <w:t>Total deferred tax liabilities</w:t>
            </w: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net deferred tax assets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Deferred tax asset—current</w:t>
            </w: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20" w:type="dxa"/>
            <w:vAlign w:val="bottom"/>
            <w:gridSpan w:val="2"/>
            <w:vMerge w:val="continue"/>
          </w:tcPr>
          <w:p>
            <w:pPr>
              <w:spacing w:after="0"/>
              <w:rPr>
                <w:sz w:val="17"/>
                <w:szCs w:val="17"/>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562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111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asset—noncurrent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vMerge w:val="restart"/>
          </w:tcPr>
          <w:p>
            <w:pPr>
              <w:ind w:left="400"/>
              <w:spacing w:after="0"/>
              <w:rPr>
                <w:sz w:val="20"/>
                <w:szCs w:val="20"/>
                <w:color w:val="auto"/>
              </w:rPr>
            </w:pPr>
            <w:r>
              <w:rPr>
                <w:rFonts w:ascii="Arial" w:cs="Arial" w:eastAsia="Arial" w:hAnsi="Arial"/>
                <w:sz w:val="18"/>
                <w:szCs w:val="18"/>
                <w:color w:val="auto"/>
              </w:rPr>
              <w:t>Total net deferred tax assets</w:t>
            </w: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vMerge w:val="continue"/>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2009, the Company had cumulative net operating losses ("NOL") for federal and state income tax purposes of $138.6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$30.5 million, respectively. The federal NOL carryforwards expire at various dates from 2020 through 2029. The state NOL expires at various dates from 2010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through 2028. Approximately $102 million of the federal NOL is attributable to stock option deductions. The Company's federal NOL carryforward for tax return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purposes is approximately $32 million greater than its recognized federal NOL for financial reporting purposes, as excess tax benefits (stock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deductions in excess of book compensation costs) are not recognized until realized. The tax benefit of this loss would be recognized for financial statement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purposes in the period in which the tax benefit reduces income taxes payable, which will not be recognized until the Company recognizes a reduction in taxes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payable from all other NOL carryforwards. In addition, the Company has approximately $27 million of deferred tax assets as of December 31, 2009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expenses recognized for financial reporting purposes that are not deductible for tax purposes until options are exercised or shares vest.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employees will not exercise the underlying options unless the current market price exceeds the option exercise price and the Company's tax deduction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shares is determined as the shares vest, the ultimate realization of the benefit related to stock options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is directly associated with the price of the Company's common stock. At December 31, 2009, the Company's stock price of $2.11 was well below the weighted average exercise price of the Company's stock options of $4.90.</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also has available federal and state research and development credit carryforwards of $23.7 million that expire at various dates from 2015 through 2029. The Company is taking advantage of the five year Alternative Minimum Tax ("AMT") NOL carryback, included in the Worker, Homeownership and Business Assistance of 2009. The Company is carrying back AMT NOL generated in 2009 to the previous five tax years as the 90% limitation on AMT NOL has been suspended for the extended loss carryback. The carryback is expected to generate a refund of $1.1 million for the Company, which results in a current year federal benefit due to the existence of a valuation allowance in the U.S.</w:t>
      </w:r>
    </w:p>
    <w:p>
      <w:pPr>
        <w:spacing w:after="0" w:line="170"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 has available $13.4 million of capital loss carryover resulting from the sale of Zynetix on November 26, 2008, which has been reflected in discontinued operations. The capital loss is only available to offset capital gains. Because it is not more likely than not that the Company will realize a benefit prior to the expiration of the capital loss carryforward in 2013, a full valuation allowance has been established against the $5.2 million tax benefit associated with this capital loss.</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During the fourth quarter of fiscal 2008, the Company's results of operations produced cumulative losses over the last three years and the Company completed its forecast for the upcoming fiscal year. Forming a conclusion that a valuation allowance is needed when cumulative losses exist requires a significant amount of judgment. Deferred tax assets are required to be reduced by a valuation allowance, if based on all available evidence, it is considered more likely than not that some portion or all of the recorded deferred tax assets will not be realized in a future period. As a result of the Company's evaluation, the Company concluded that there was insufficient positive evidence to overcome the more objective negative evidence related to its cumulative losses and other factors. Accordingly, the Company recorded an increase to its valuation allowance of $88.4 million on substantially all of its domestic net deferred tax assets after considering all positive and negative factors as to the recoverability of these assets. This determination was based on many factors, including the severity of the current and prior year losses, three years of cumulative losses, the current severe economic recession, a significant decrease to taxable income forecasted in future periods, and other relevant factors.</w:t>
      </w:r>
    </w:p>
    <w:p>
      <w:pPr>
        <w:spacing w:after="0" w:line="174"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During fiscal 2009, the Company performed the same analysis as in fiscal 2008 to determine whether there was sufficient evidence to conclude that a valuation allowance was still required. As with fiscal 2008, the Company's results of operations produced cumulative losses over the last three years. Additionally, the Company has forecasted a loss for the upcoming fiscal year. Based on this analysis, the Company concluded that insufficient positive evidence exists to overcome the more objective negative evidence related to its cumulative losses and other factors. Accordingly, the Company has maintained a valuation allowance against its domestic deferred tax asset amounting to $117.8 million, a decrease of $4.5 million from fiscal 2008.</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operates under a tax holiday in India, which has been extended through March 2011.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23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 reconciliation of the Company's unrecognized tax benefits is as follows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2007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at January 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7,122</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Increases related to current year tax positions</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2,562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1,561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7"/>
        </w:trPr>
        <w:tc>
          <w:tcPr>
            <w:tcW w:w="4340" w:type="dxa"/>
            <w:vAlign w:val="bottom"/>
            <w:vMerge w:val="restart"/>
          </w:tcPr>
          <w:p>
            <w:pPr>
              <w:spacing w:after="0"/>
              <w:rPr>
                <w:sz w:val="20"/>
                <w:szCs w:val="20"/>
                <w:color w:val="auto"/>
              </w:rPr>
            </w:pPr>
            <w:r>
              <w:rPr>
                <w:rFonts w:ascii="Arial" w:cs="Arial" w:eastAsia="Arial" w:hAnsi="Arial"/>
                <w:sz w:val="18"/>
                <w:szCs w:val="18"/>
                <w:color w:val="auto"/>
              </w:rPr>
              <w:t>Unrecognized tax benefits at December 31</w:t>
            </w:r>
          </w:p>
        </w:tc>
        <w:tc>
          <w:tcPr>
            <w:tcW w:w="1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3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10,070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firstLine="341"/>
        <w:spacing w:after="0" w:line="294" w:lineRule="auto"/>
        <w:rPr>
          <w:sz w:val="20"/>
          <w:szCs w:val="20"/>
          <w:color w:val="auto"/>
        </w:rPr>
      </w:pPr>
      <w:r>
        <w:rPr>
          <w:rFonts w:ascii="Arial" w:cs="Arial" w:eastAsia="Arial" w:hAnsi="Arial"/>
          <w:sz w:val="16"/>
          <w:szCs w:val="16"/>
          <w:color w:val="auto"/>
        </w:rPr>
        <w:t>As of the date of adoption of the guidance related to uncertain tax positions, the Company elected to include any applicable interest and penalties related to uncertain tax positions in its income tax provision in its consolidated statement of operations. During the years ended December 31, 2009, 2008 and 2007, the Company recorded liabilities for potential penalties and interest of $18,000, $18,000 and $87,000, respectively. The Company does not expect its unrecognized tax benefits to change materially over the next 12 months. Due to the Company's valuation allowance at December 31, 2009, none of the Company's unrecognized tax benefits, if recognized, would affect the effective tax rate.</w:t>
      </w:r>
    </w:p>
    <w:p>
      <w:pPr>
        <w:spacing w:after="0" w:line="170"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Company and its subsidiaries file income tax returns in the U.S. federal jurisdiction, as well as various state and foreign jurisdictions. Generally, the tax years 2005 through 2009 remain open to examination by the major taxing jurisdictions to which the Company is subject. The Company's federal NOLs generated prior to 2003 could be adjusted on examination even though the year in which the loss was generated is otherwise closed by the statute of limitations. The Company's primary state jurisdiction, Massachusetts, has open periods from 2005 through 2009.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MAJOR CUSTOMERS</w:t>
      </w:r>
    </w:p>
    <w:p>
      <w:pPr>
        <w:spacing w:after="0" w:line="231"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The Company had no customers that contributed greater than 10% of consolidated revenue in the year ended December 31, 2009. AT&amp;T contributed 29% and 32% of the Company's consolidated revenue in the years ended December 31, 2008 and 2007, respectively. There were no other customers that contributed greater than 10% of the Company's consolidated revenue in either year.</w:t>
      </w:r>
    </w:p>
    <w:p>
      <w:pPr>
        <w:spacing w:after="0" w:line="194"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At December 31, 2009 there were no customers that accounted for 10% or more of the Company's accounts receivable balance. At December 31, 2008, two customers each accounted for 10% or more of Sonus' accounts receivable balance, aggregating approximately 28% of the Company's accounts receivable balance. The Company performs ongoing credit evaluations of its customers and generally does not require collateral on accounts receivable. The Company maintains an allowance for doubtful accounts and such losses have been within management's expectations.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GEOGRAPHIC AND OPERATING SEGMENT INFORMATION</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Company's classification of revenue by geographic area is determined by the location of the Company's customers. The following table summarizes revenue by geographic area as a percentage of total revenue:</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4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4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Other Asia Pacific</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r>
      <w:tr>
        <w:trPr>
          <w:trHeight w:val="27"/>
        </w:trPr>
        <w:tc>
          <w:tcPr>
            <w:tcW w:w="44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4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
        </w:trPr>
        <w:tc>
          <w:tcPr>
            <w:tcW w:w="4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4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International revenue, both as a percentage of total revenue and absolute dollars, may vary from one period to the next, and accordingly, current data may not be indicative of future periods.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service revenue is comprised of the following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w w:val="86"/>
              </w:rPr>
              <w:t>Year ended December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Maintenance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69,132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78,996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70,758</w:t>
            </w:r>
          </w:p>
        </w:tc>
      </w:tr>
      <w:tr>
        <w:trPr>
          <w:trHeight w:val="222"/>
        </w:trPr>
        <w:tc>
          <w:tcPr>
            <w:tcW w:w="4160" w:type="dxa"/>
            <w:vAlign w:val="bottom"/>
          </w:tcPr>
          <w:p>
            <w:pPr>
              <w:spacing w:after="0"/>
              <w:rPr>
                <w:sz w:val="20"/>
                <w:szCs w:val="20"/>
                <w:color w:val="auto"/>
              </w:rPr>
            </w:pPr>
            <w:r>
              <w:rPr>
                <w:rFonts w:ascii="Arial" w:cs="Arial" w:eastAsia="Arial" w:hAnsi="Arial"/>
                <w:sz w:val="18"/>
                <w:szCs w:val="18"/>
                <w:color w:val="auto"/>
              </w:rPr>
              <w:t>Professional services</w:t>
            </w:r>
          </w:p>
        </w:tc>
        <w:tc>
          <w:tcPr>
            <w:tcW w:w="16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22,088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30,762</w:t>
            </w:r>
          </w:p>
        </w:tc>
        <w:tc>
          <w:tcPr>
            <w:tcW w:w="200" w:type="dxa"/>
            <w:vAlign w:val="bottom"/>
          </w:tcPr>
          <w:p>
            <w:pPr>
              <w:spacing w:after="0"/>
              <w:rPr>
                <w:sz w:val="19"/>
                <w:szCs w:val="19"/>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23,013</w:t>
            </w:r>
          </w:p>
        </w:tc>
      </w:tr>
      <w:tr>
        <w:trPr>
          <w:trHeight w:val="21"/>
        </w:trPr>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91,220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109,758</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93,771</w:t>
            </w:r>
          </w:p>
        </w:tc>
      </w:tr>
      <w:tr>
        <w:trPr>
          <w:trHeight w:val="27"/>
        </w:trPr>
        <w:tc>
          <w:tcPr>
            <w:tcW w:w="4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Product revenue components are not provided, as it would be impracticable to provide this information.</w:t>
      </w:r>
    </w:p>
    <w:p>
      <w:pPr>
        <w:spacing w:after="0" w:line="219" w:lineRule="exact"/>
        <w:rPr>
          <w:sz w:val="20"/>
          <w:szCs w:val="20"/>
          <w:color w:val="auto"/>
        </w:rPr>
      </w:pPr>
    </w:p>
    <w:p>
      <w:pPr>
        <w:ind w:right="8640" w:firstLine="8"/>
        <w:spacing w:after="0" w:line="504" w:lineRule="auto"/>
        <w:tabs>
          <w:tab w:leader="none" w:pos="336"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 SETTLEMENTS 2002 Securities Litigation</w:t>
      </w:r>
    </w:p>
    <w:p>
      <w:pPr>
        <w:spacing w:after="0" w:line="1" w:lineRule="exact"/>
        <w:rPr>
          <w:sz w:val="20"/>
          <w:szCs w:val="20"/>
          <w:color w:val="auto"/>
        </w:rPr>
      </w:pPr>
    </w:p>
    <w:p>
      <w:pPr>
        <w:ind w:right="120" w:firstLine="351"/>
        <w:spacing w:after="0" w:line="287" w:lineRule="auto"/>
        <w:rPr>
          <w:sz w:val="20"/>
          <w:szCs w:val="20"/>
          <w:color w:val="auto"/>
        </w:rPr>
      </w:pPr>
      <w:r>
        <w:rPr>
          <w:rFonts w:ascii="Arial" w:cs="Arial" w:eastAsia="Arial" w:hAnsi="Arial"/>
          <w:sz w:val="16"/>
          <w:szCs w:val="16"/>
          <w:color w:val="auto"/>
        </w:rPr>
        <w:t>On January 6, 2006, a purchaser of the Company's common stock filed a complaint in the United States District Court for the District of Massachusetts that was essentially identical to an Amended Consolidated Complaint previously filed against the defendants and dismissed on October 5, 2005 alleging that Sonus made false and misleading statements about its products and business. The court appointed the Public Employees' Retirement System of Mississippi as lead plaintiff. The lead plaintiff filed an Amended Consolidated Complaint (the "2002 Securities Litigation"). On April 19, 2007, the defendants filed a motion to dismiss the 2002 Securities Litigation. On September 23, 2008, Sonus agreed to settle the litigation and, on October 3, 2008, entered into a Memorandum of Understanding with the plaintiffs setting forth the terms of the settlement. Pursuant to the settlement, subject to confirmatory discovery and final court approval, the Company agreed to pay $9.5 million to the shareholder class in the case, as well as $0.1 million toward the cost of the class notice process. In addition, the Company incurred $0.4 million in incremental legal fees in connection with the confirmatory discovery and settlement approval process. Of these amounts, $9.6 million is included as a component of Litigation settlements, net of insurance recovery, and $0.4 million is included as a component of General and administrative expense in the Company's consolidated statement of</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LITIGATION SETTLEMENTS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operations for the year ended December 31, 2008. On February 4, 2009, the Court issued an order in which it certified a settlement class, preliminarily approved the settlement, and ordered that notice be sent to the settlement class. The hearing on final court approval of the settlement was held on June 16, 2009, and the court entered its Orders finally approving the settlement and the request of plaintiffs' counsel for attorneys' fees on June 23, 2009. There were no class member objections to the settlement. At December 31, 2008, the Company had accrued $10.0 million related to this settlement, of which $9.6 million is included as Accrued litigation settlements and $0.4 million is included as a component of Accrued expenses in the Company's consolidated balance sheet at December 31, 2008. On February 17, 2009, the Company placed the $9.5 million into escrow related to this settlement. On July 16, 2009, the escrow amount was released to the plaintiffs. The Company did not have any insurance available for this claim.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C2 Patent Litigation</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On June 14, 2006, C2 Communications ("C2") sued AT&amp;T, Inc., Verizon Communications, Inc., Qwest, Bellsouth Corporation, Sprint Nextel Corporation, Global Crossing and Level 3 in the Eastern District of Texas, Marshall Division. C2 alleged that each of the defendants infringed U.S. Patent No. 6,243,373 entitled "Method and Apparatus for Implementing a Computer Network Internet Telephone System." Sonus agreed, subject to certain conditions, to assume the defense of Qwest, Global Crossing and Level 3 in this litigation to the extent the claim resulted from their use of products purchased from Sonus. During the trial, on September 16, 2008, Sonus reached an agreement to settle this litigation. The parties entered into a settlement and license agreement that provided for the payment of $9.5 million in full settlement of all claims against Qwest, Global Crossing and Level 3 as well as fully paid licenses to the Company, Qwest, Global Crossing and Level 3. The settlement was paid on September 24, 2008. The settlement expense is included as a component of Litigation settlements, net of insurance recovery, in the Company's consolidated statements of operations for the year ended December 31,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Sprint Patent Litigation</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On January 24, 2008, Sprint Communications sued two of the Company's customers, Broadvox and Nuvox, for patent infringement in two separate suits in the District of Kansas. Pursuant to the indemnification obligation in the Company's agreement with Broadvox, Broadvox requested and the Company agreed, subject to certain conditions, to assume the defense in this litigation on behalf of Broadvox to the extent the claims result from its use of Sonus products. Pursuant to a settlement that was reached, the Company paid a nominal amount of money and Sprint Communications dismissed the suit without prejudice.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Restatement Litigation</w:t>
      </w:r>
    </w:p>
    <w:p>
      <w:pPr>
        <w:spacing w:after="0" w:line="231" w:lineRule="exact"/>
        <w:rPr>
          <w:sz w:val="20"/>
          <w:szCs w:val="20"/>
          <w:color w:val="auto"/>
        </w:rPr>
      </w:pPr>
    </w:p>
    <w:p>
      <w:pPr>
        <w:ind w:right="400" w:firstLine="351"/>
        <w:spacing w:after="0" w:line="294" w:lineRule="auto"/>
        <w:rPr>
          <w:sz w:val="20"/>
          <w:szCs w:val="20"/>
          <w:color w:val="auto"/>
        </w:rPr>
      </w:pPr>
      <w:r>
        <w:rPr>
          <w:rFonts w:ascii="Arial" w:cs="Arial" w:eastAsia="Arial" w:hAnsi="Arial"/>
          <w:sz w:val="16"/>
          <w:szCs w:val="16"/>
          <w:color w:val="auto"/>
        </w:rPr>
        <w:t>Beginning in February 2004, a number of purported shareholder class action complaints were filed in the United States District Court for the District of Massachusetts against the Company and certain of its former and current officers and directors. On June 28, 2004, the court consolidated these claims. On December 1, 2004, the lead plaintiff filed a consolidated amended complaint. The complaint asserted claims under the federal securities laws, specifically Sections 10(b) and 20(a) of the Exchange Act of 1934, as amended, and Sections 11, 12(a) and 15 of the Securities Act of 1933, a amended, relating to the restatement of the Company's financial results for fiscal 2001, fiscal 2002 and the first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LITIGATION SETTLEMENTS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three quarters of fiscal 2003. On November 7, 2007, the Company and the plaintiff agreed to settle the litigation for $40 million. The Company recorded</w:t>
      </w:r>
    </w:p>
    <w:p>
      <w:pPr>
        <w:spacing w:after="0" w:line="3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$24.7 million of expense, net of insurance recovery, for the settlement of the litigation in fiscal 2007. On March 31, 2008, the court approved the settlement and the settlement was paid from funds held in escrow.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Stock Option Accounting Litigation</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January 19, 2007, a purported shareholder derivative lawsuit was filed in the Superior Court Department of Middlesex County of Massachusetts against certain of the Company's directors and officers, also naming the Company as a nominal defendant. Another purported shareholder filed a virtually identical complaint. The suits asserted similar claims and sought relief similar to the derivative suits filed in federal court. On May 7, 2007, the plaintiffs filed a consolidated complaint. On June 6, 2007, the defendants moved to dismiss the consolidated complaint. The court held a hearing on the motion on August 14, 2007 and took the matter under advisement. On November 12, 2007, the plaintiffs filed a motion to voluntarily dismiss the complaint without prejudice so plaintiffs could pursue an action in the Delaware Chancery Court to enforce their rights to inspect the Company's books and records under Section 220 of the Delaware Code. The defendants opposed the motion. On December 7, 2007, the court granted the motion to voluntarily dismiss without prejudice subject to plaintiffs' paying the defendants' reasonable legal fees within 30 days of the court's order. The court further ruled that the case would be dismissed with prejudice if the plaintiff did not pay the defendants' legal fees within 30 days. The plaintiffs did not pay the defendants' legal fees within the required 30 days. Accordingly, on January 8, 2008, the defendants requested entry of judgment, and on January 16, 2008, the court issued an order allowing the request and dismissing the case with prejudice. On February 5, 2008, the plaintiffs filed a notice of appeal of that order. However, on April 23, 2008, the plaintiffs voluntarily dismissed their appeal. The claim described above did not have a material impact on the Company's financial position or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IRS Audit</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May 2007, the Internal Revenue Service ("IRS") notified the Company that its payroll tax returns for the years ended December 31, 2004, 2005 and 2006 had been selected for audit in connection with the Company's stock option review. In connection with the restatement of its financial statements, the Company recorded $1.6 million of accrued liabilities for additional federal and state payroll tax, penalties and interest related to adjustments resulting from errors in stock option accounting. In April 2008, the Company reached an agreement with the IRS and paid $496,000 to settle this audit.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Litigation</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On February 19, 2008, James Collier, the Company's former Vice President of Sales, filed a complaint against the Company in the United States District Court for the District of New Jersey. The complaint alleged that the Company breached Mr. Collier's employment agreement by failing to pay severance in the amount of $600,000 and provide benefits claimed to be owed under the employment agreement. In July 2008 the parties agreed to settle the claim for an amount that did not have a material impact on the Company's financial position or results of operations.</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PARTIES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Company's President and Chief Executive Officer serves on the Board of Directors of Comverse Technology ("Comverse"), a worldwide provider of software and systems. Comverse has several majority-owned subsidiaries, including Ulticom, Inc. and Verint Systems. All three companies are vendors of the Company. The Company had well-established and ongoing business relationships with these vendors prior to the appointment of Dr. Nottenburg as the Company's President and Chief Executive Officer effective June 13, 2008. Costs incurred for purchases from these companies, in the aggregate, were $6.5 million for the year ended December 31, 2009 and $3.5 million for the period from June 13, 2008 through December 31, 2008. At December 31, 2009 and 2008, the Company had aggregate outstanding accounts payable balances of $0.2 million and $0.5 million, respectively, to these companies.</w:t>
      </w:r>
    </w:p>
    <w:p>
      <w:pPr>
        <w:spacing w:after="0" w:line="168" w:lineRule="exact"/>
        <w:rPr>
          <w:sz w:val="20"/>
          <w:szCs w:val="20"/>
          <w:color w:val="auto"/>
        </w:rPr>
      </w:pPr>
    </w:p>
    <w:p>
      <w:pPr>
        <w:ind w:right="7700" w:firstLine="8"/>
        <w:spacing w:after="0" w:line="504" w:lineRule="auto"/>
        <w:tabs>
          <w:tab w:leader="none" w:pos="336"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spacing w:after="0" w:line="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Sonus leases its facilities under operating leases, which expire through 2016. Sonus is responsible for certain real estate taxes, utilities and maintenance costs under these leases. The Company's corporate headquarters is located in a leased facility in Westford, Massachusetts, consisting of 130,000 square feet under a lease that expires in July 2012. Sonus moved into this facility in January 2007. Rent expense was $5.6 million, $5.2 million and $3.9 million in the years ended December 31, 2009, 2008 and 2007, respectively.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Future minimum payments under operating lease arrangements as of December 31, 2009 are as follows (in thousands):</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1660" w:type="dxa"/>
            <w:vAlign w:val="bottom"/>
            <w:gridSpan w:val="2"/>
          </w:tcPr>
          <w:p>
            <w:pPr>
              <w:spacing w:after="0"/>
              <w:rPr>
                <w:sz w:val="20"/>
                <w:szCs w:val="20"/>
                <w:color w:val="auto"/>
              </w:rPr>
            </w:pPr>
            <w:r>
              <w:rPr>
                <w:rFonts w:ascii="Arial" w:cs="Arial" w:eastAsia="Arial" w:hAnsi="Arial"/>
                <w:sz w:val="14"/>
                <w:szCs w:val="14"/>
                <w:b w:val="1"/>
                <w:bCs w:val="1"/>
                <w:color w:val="auto"/>
                <w:w w:val="89"/>
              </w:rPr>
              <w:t>Years ending December 31,</w:t>
            </w:r>
          </w:p>
        </w:tc>
        <w:tc>
          <w:tcPr>
            <w:tcW w:w="3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39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4,603</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2011</w:t>
            </w:r>
          </w:p>
        </w:tc>
        <w:tc>
          <w:tcPr>
            <w:tcW w:w="3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3,313</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1,839</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2013</w:t>
            </w:r>
          </w:p>
        </w:tc>
        <w:tc>
          <w:tcPr>
            <w:tcW w:w="3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628</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628</w:t>
            </w:r>
          </w:p>
        </w:tc>
      </w:tr>
      <w:tr>
        <w:trPr>
          <w:trHeight w:val="222"/>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Thereafter</w:t>
            </w:r>
          </w:p>
        </w:tc>
        <w:tc>
          <w:tcPr>
            <w:tcW w:w="3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559</w:t>
            </w: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11,570</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2001 IPO Litigation</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November 2001, a purchaser of the Company's common stock filed a complaint in the United States District Court for the Southern District of New York against the Company, two of its officers and the lead underwriters alleging violations of the federal securities laws in connection with the Company's initial public offering ("IPO") and seeking unspecified monetary damages. The purchaser seeks to represent a class of persons who purchased the Company's common stock between the date of the IPO on May 24, 2000 and December 6, 2000. An amended complaint was filed in April 2002. The amended complaint alleges that the Company's registration statement contained false or misleading information or omitted to state material facts concerning the alleged receipt of undisclosed compensation by the underwriters and the existence of undisclosed arrangements between the underwriters and certain purchasers to make additional purchases in the after market. The claims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spacing w:after="0" w:line="323" w:lineRule="auto"/>
        <w:rPr>
          <w:sz w:val="20"/>
          <w:szCs w:val="20"/>
          <w:color w:val="auto"/>
        </w:rPr>
      </w:pPr>
      <w:r>
        <w:rPr>
          <w:rFonts w:ascii="Arial" w:cs="Arial" w:eastAsia="Arial" w:hAnsi="Arial"/>
          <w:sz w:val="15"/>
          <w:szCs w:val="15"/>
          <w:color w:val="auto"/>
        </w:rPr>
        <w:t>against the Company are asserted under Section 10(b) of the Securities Exchange Act of 1934, as amended (the "Exchange Act"), and Section 11 of the Securities Act of 1933, as amended (the "Securities Act"), and against the individual defendants under Sections 11 and 15 of the Securities Act and Sections 10(b) and 20(a) of the Exchange Act. Other plaintiffs have filed substantially similar class action cases against approximately 300 other publicly-traded companies and their IPO underwriters which, along with the actions against the Company, have been transferred to a single federal judge for purposes of coordinated case management.</w:t>
      </w:r>
    </w:p>
    <w:p>
      <w:pPr>
        <w:spacing w:after="0" w:line="152"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On July 15, 2002, the Company, collectively with the other issuers named as defendants in these coordinated proceedings, filed a collective motion to dismiss the consolidated amended complaints on various legal grounds common to all or most of the issuer defendants. The plaintiffs voluntarily dismissed the claims against many of the individual defendants, including the Company's officers named in the complaint. On February 19, 2003, the court granted a portion of the motion to dismiss by dismissing the Section 10(b) claims against certain defendants including the Company, but denied the remainder of the motion as to the defendants.</w:t>
      </w:r>
    </w:p>
    <w:p>
      <w:pPr>
        <w:spacing w:after="0" w:line="197"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In June 2003, a special committee of the Company's Board of Directors authorized Sonus to enter into a proposed settlement with the plaintiffs on terms substantially consistent with the terms of a Memorandum of Understanding negotiated among representatives of the plaintiffs, the issuer defendants and the insurers for the issuer defendants. In October 2004, the court certified the class in a case against certain defendants. On February 15, 2005, the court preliminarily approved the terms of the proposed settlement contingent on modifications to the proposed settlement. On August 31, 2005, the court approved the terms of the proposed settlement, as modified. On April 24, 2006, the court held a hearing on a motion to approve the final settlement and took the matter under advisement.</w:t>
      </w:r>
    </w:p>
    <w:p>
      <w:pPr>
        <w:spacing w:after="0" w:line="15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December 5, 2006, the United States Court of Appeals for the Second Circuit reversed the court's October 2004 order certifying a class. On June 25, 2007, the court entered an order terminating the settlement. On November 13, 2007, the issuer defendants in certain designated "focus cases" filed a motion to dismiss the second consolidated amended class action complaints that were filed in those cases. On March 26, 2008, the court issued an Opinion and Order denying, in large part, the motions to dismiss the amended complaints in the "focus cases." On April 2, 2009, the plaintiffs filed a motion for preliminary approval of a new proposed settlement between plaintiffs, the underwriter defendants, the issuer defendants and the insurers for the issuer defendants. On June 10, 2009, the court issued an opinion preliminarily approving the proposed settlement, and scheduling a settlement fairness hearing for September 10, 2009. On August 25, 2009, the plaintiffs filed a motion for final approval of the proposed settlement, approval of the plan of distribution of the settlement fund and certification of the settlement classes. A settlement fairness hearing was held on September 10, 2009. On October 5, 2009, the court issued an opinion granting plaintiffs' motion for final approval of the settlement, approval of the plan of distribution of the settlement fund and certification of the settlement classes. Various notices of appeal of the court's October 5, 2009 order have been filed. An Order and Final Judgment was entered on January 14, 2010. Due to the inherent uncertainties of litigation, the Company is unable to determine the ultimate outcome or potential range of loss, if any.</w:t>
      </w:r>
    </w:p>
    <w:p>
      <w:pPr>
        <w:spacing w:after="0" w:line="18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On October 5, 2007, Vanessa Simmonds, a purported shareholder, filed a complaint in the United States District Court for the Western District of Washington for recovery of short-swing profits under Section 16(b) of the Exchange Act against the underwriters in the IPO in 2000. On February 28, 2008, the plaintiff filed an amended complaint asserting substantially similar claims as set forth in the initial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complaint. The amended complaint seeks recovery against the underwriters for profits they received from the sale of the Company's common stock in connection with the IPO. The Company was named as a nominal defendant but has no liability for the asserted claims. No Sonus officers or directors were named in the amended complaint. Between October 2, 2007 and October 12, 2007, the plaintiff also filed 54 separate lawsuits naming 54 additional issuers as nominal defendants and ten underwriters as defendants. These 54 cases, along with the complaint filed by the plaintiff with respect to the Company's IPO, were reassigned to the Honorable James L. Robart (the "Judge") as related cases. On July 25, 2008, the underwriters and 29 of the issuer defendants (including Sonus) filed motions to dismiss the case. On September 8, 2008, the plaintiff filed oppositions to the motions, and the issuer and underwriter defendants filed replies in support of their motions to dismiss on October 23, 2008. Oral argument on all motions to dismiss was held on January 16, 2009, at which time the Judge took the pending motions to dismiss under advisement. The Judge stayed discovery pending his ruling on all motions to dismiss.</w:t>
      </w:r>
    </w:p>
    <w:p>
      <w:pPr>
        <w:spacing w:after="0" w:line="172"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On March 12, 2009, the court entered its judgment and granted the moving issuers' motion to dismiss, finding plaintiff's demand letters were insufficient to put the issuers on notice of the claims asserted against them. The Judge also granted the underwriters' motion to dismiss as to the claims arising from the non-moving issuers' IPOs, finding plaintiff's claims were time-barred under the applicable statute of limitations.</w:t>
      </w:r>
    </w:p>
    <w:p>
      <w:pPr>
        <w:spacing w:after="0" w:line="16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On March 31, 2009, the plaintiff-appellant appealed the judgment to the United States Court of Appeals for the Ninth Circuit, and thereafter filed an amended notice of appeal on April 10, 2009 at the court's request. The underwriter defendants filed a cross-appeal in each of the cases wherein the issuers moved for dismissal (including the appeal relating to the Sonus IPO). The plaintiff's opening brief on appeal was filed on August 26, 2009, and the issuers' (including the Company) and the underwriters' responses were filed on October 2, 2009. The plaintiff filed a reply brief on November 2, 2009, and underwriters filed a reply brief on their cross-appeal on November 17, 2009. The Company does not currently expect that this claim will have a material impact on its financial position or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Stock Option Accounting Investigation</w:t>
      </w:r>
    </w:p>
    <w:p>
      <w:pPr>
        <w:spacing w:after="0" w:line="231" w:lineRule="exact"/>
        <w:rPr>
          <w:sz w:val="20"/>
          <w:szCs w:val="20"/>
          <w:color w:val="auto"/>
        </w:rPr>
      </w:pPr>
    </w:p>
    <w:p>
      <w:pPr>
        <w:ind w:right="160" w:firstLine="341"/>
        <w:spacing w:after="0" w:line="259" w:lineRule="auto"/>
        <w:rPr>
          <w:sz w:val="20"/>
          <w:szCs w:val="20"/>
          <w:color w:val="auto"/>
        </w:rPr>
      </w:pPr>
      <w:r>
        <w:rPr>
          <w:rFonts w:ascii="Arial" w:cs="Arial" w:eastAsia="Arial" w:hAnsi="Arial"/>
          <w:sz w:val="18"/>
          <w:szCs w:val="18"/>
          <w:color w:val="auto"/>
        </w:rPr>
        <w:t>As announced on March 19, 2007, the SEC is conducting a formal private investigation into the Company's historical stock option granting practices. If the Company is subject to adverse findings, it could be required to pay damages or penalties or have other remedies imposed, including criminal penalties, which could aversely impact the Company's business, financial position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31"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In addition, we are often a party to disputes and legal proceedings that we consider routine and incidental to our business. Management does not expect the results of any of these actions to have a material adverse effect on our business, results of operations or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QUARTERLY RESULTS (UNAUDITED)</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tables present the Company's quarterly operating results for the years ended December 31, 2009 and 2008. The information for each of these quarters is unaudited and has been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QUARTERLY RESULTS (UNAUDITED)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prepared on the same basis as the audited consolidated financial statements. In the opinion of management, all necessary adjustments, consisting only of normal recurring adjustments, have been included to present fairly the unaudited consolidated quarterly results when read in conjunction with the Company's audited consolidated financial statements and related notes.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First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34"/>
              <w:spacing w:after="0"/>
              <w:rPr>
                <w:sz w:val="20"/>
                <w:szCs w:val="20"/>
                <w:color w:val="auto"/>
              </w:rPr>
            </w:pPr>
            <w:r>
              <w:rPr>
                <w:rFonts w:ascii="Arial" w:cs="Arial" w:eastAsia="Arial" w:hAnsi="Arial"/>
                <w:sz w:val="14"/>
                <w:szCs w:val="14"/>
                <w:b w:val="1"/>
                <w:bCs w:val="1"/>
                <w:color w:val="auto"/>
                <w:w w:val="86"/>
              </w:rPr>
              <w:t>Second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Third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3"/>
          </w:tcPr>
          <w:p>
            <w:pPr>
              <w:ind w:left="18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Quarter(1)</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Quarter(1)(2)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Quarter(1)(3)</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3"/>
              </w:rPr>
              <w:t>(In thousands,</w:t>
            </w:r>
          </w:p>
        </w:tc>
        <w:tc>
          <w:tcPr>
            <w:tcW w:w="1380" w:type="dxa"/>
            <w:vAlign w:val="bottom"/>
            <w:gridSpan w:val="6"/>
          </w:tcPr>
          <w:p>
            <w:pPr>
              <w:jc w:val="right"/>
              <w:spacing w:after="0" w:line="142" w:lineRule="exact"/>
              <w:rPr>
                <w:sz w:val="20"/>
                <w:szCs w:val="20"/>
                <w:color w:val="auto"/>
              </w:rPr>
            </w:pPr>
            <w:r>
              <w:rPr>
                <w:rFonts w:ascii="Arial" w:cs="Arial" w:eastAsia="Arial" w:hAnsi="Arial"/>
                <w:sz w:val="14"/>
                <w:szCs w:val="14"/>
                <w:b w:val="1"/>
                <w:bCs w:val="1"/>
                <w:color w:val="auto"/>
                <w:w w:val="87"/>
              </w:rPr>
              <w:t>except per share data)</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2009</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rPr>
              <w:t>Revenue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41,012</w:t>
            </w:r>
          </w:p>
        </w:tc>
        <w:tc>
          <w:tcPr>
            <w:tcW w:w="10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61,607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56,165</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68,712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revenue</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100" w:type="dxa"/>
            <w:vAlign w:val="bottom"/>
            <w:vMerge w:val="restart"/>
          </w:tcPr>
          <w:p>
            <w:pPr>
              <w:ind w:left="120"/>
              <w:spacing w:after="0"/>
              <w:rPr>
                <w:sz w:val="20"/>
                <w:szCs w:val="20"/>
                <w:color w:val="auto"/>
              </w:rPr>
            </w:pPr>
            <w:r>
              <w:rPr>
                <w:rFonts w:ascii="Arial" w:cs="Arial" w:eastAsia="Arial" w:hAnsi="Arial"/>
                <w:sz w:val="18"/>
                <w:szCs w:val="18"/>
                <w:color w:val="auto"/>
              </w:rPr>
              <w:t>Gross profit</w:t>
            </w:r>
          </w:p>
        </w:tc>
        <w:tc>
          <w:tcPr>
            <w:tcW w:w="96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0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40,292</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45,379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1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Income (loss) from operations</w:t>
            </w:r>
          </w:p>
        </w:tc>
        <w:tc>
          <w:tcPr>
            <w:tcW w:w="9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(17,764)</w:t>
            </w:r>
          </w:p>
        </w:tc>
        <w:tc>
          <w:tcPr>
            <w:tcW w:w="200" w:type="dxa"/>
            <w:vAlign w:val="bottom"/>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2,268</w:t>
            </w: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(3,529)</w:t>
            </w: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7,641</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(16,227)</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4,383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(3,397)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10,309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Earnings (loss) per share(4):</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Basic</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w w:val="94"/>
              </w:rPr>
              <w:t>Shares used in computing earnings (loss) per share: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273,095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273,543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273,907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274,359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Diluted</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273,095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273,768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273,907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275,152</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QUARTERLY RESULTS (UNAUDITED)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First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Second</w:t>
            </w:r>
          </w:p>
        </w:tc>
        <w:tc>
          <w:tcPr>
            <w:tcW w:w="100" w:type="dxa"/>
            <w:vAlign w:val="bottom"/>
          </w:tcPr>
          <w:p>
            <w:pPr>
              <w:spacing w:after="0"/>
              <w:rPr>
                <w:sz w:val="14"/>
                <w:szCs w:val="14"/>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9"/>
              </w:rPr>
              <w:t>Quarter(1)(5)</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0"/>
              </w:rPr>
              <w:t>Quarter(1)(2)(5)</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2"/>
              </w:rPr>
              <w:t>Quarter(1)(3)(5)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2"/>
                <w:szCs w:val="12"/>
                <w:color w:val="auto"/>
              </w:rPr>
            </w:pPr>
          </w:p>
        </w:tc>
        <w:tc>
          <w:tcPr>
            <w:tcW w:w="13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7"/>
              </w:rPr>
              <w:t>except per share data)</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2008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120"/>
              <w:spacing w:after="0"/>
              <w:rPr>
                <w:sz w:val="20"/>
                <w:szCs w:val="20"/>
                <w:color w:val="auto"/>
              </w:rPr>
            </w:pPr>
            <w:r>
              <w:rPr>
                <w:rFonts w:ascii="Arial" w:cs="Arial" w:eastAsia="Arial" w:hAnsi="Arial"/>
                <w:sz w:val="18"/>
                <w:szCs w:val="18"/>
                <w:color w:val="auto"/>
              </w:rPr>
              <w:t>Revenue</w:t>
            </w:r>
          </w:p>
        </w:tc>
        <w:tc>
          <w:tcPr>
            <w:tcW w:w="50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73,627</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87,790</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62,184</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89,544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60" w:type="dxa"/>
            <w:vAlign w:val="bottom"/>
            <w:gridSpan w:val="2"/>
            <w:vMerge w:val="restart"/>
          </w:tcPr>
          <w:p>
            <w:pPr>
              <w:ind w:left="120"/>
              <w:spacing w:after="0"/>
              <w:rPr>
                <w:sz w:val="20"/>
                <w:szCs w:val="20"/>
                <w:color w:val="auto"/>
              </w:rPr>
            </w:pPr>
            <w:r>
              <w:rPr>
                <w:rFonts w:ascii="Arial" w:cs="Arial" w:eastAsia="Arial" w:hAnsi="Arial"/>
                <w:sz w:val="18"/>
                <w:szCs w:val="18"/>
                <w:color w:val="auto"/>
              </w:rPr>
              <w:t>Gross profit</w:t>
            </w:r>
          </w:p>
        </w:tc>
        <w:tc>
          <w:tcPr>
            <w:tcW w:w="5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45,874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58,148</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39,017</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60" w:type="dxa"/>
            <w:vAlign w:val="bottom"/>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Income (loss) from operations</w:t>
            </w:r>
          </w:p>
        </w:tc>
        <w:tc>
          <w:tcPr>
            <w:tcW w:w="500" w:type="dxa"/>
            <w:vAlign w:val="bottom"/>
            <w:gridSpan w:val="2"/>
            <w:shd w:val="clear" w:color="auto" w:fill="CCEEFF"/>
          </w:tcPr>
          <w:p>
            <w:pPr>
              <w:jc w:val="right"/>
              <w:ind w:right="6"/>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(3,260)</w:t>
            </w: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(37,474)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(15,951)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120"/>
              <w:spacing w:after="0"/>
              <w:rPr>
                <w:sz w:val="20"/>
                <w:szCs w:val="20"/>
                <w:color w:val="auto"/>
              </w:rPr>
            </w:pPr>
            <w:r>
              <w:rPr>
                <w:rFonts w:ascii="Arial" w:cs="Arial" w:eastAsia="Arial" w:hAnsi="Arial"/>
                <w:sz w:val="18"/>
                <w:szCs w:val="18"/>
                <w:color w:val="auto"/>
              </w:rPr>
              <w:t>Income (loss) from continuing operations</w:t>
            </w:r>
          </w:p>
        </w:tc>
        <w:tc>
          <w:tcPr>
            <w:tcW w:w="50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3,313</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(20,683)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(99,508)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Loss from discontinued operations, net of tax</w:t>
            </w:r>
          </w:p>
        </w:tc>
        <w:tc>
          <w:tcPr>
            <w:tcW w:w="5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120"/>
              <w:spacing w:after="0"/>
              <w:rPr>
                <w:sz w:val="20"/>
                <w:szCs w:val="20"/>
                <w:color w:val="auto"/>
              </w:rPr>
            </w:pPr>
            <w:r>
              <w:rPr>
                <w:rFonts w:ascii="Arial" w:cs="Arial" w:eastAsia="Arial" w:hAnsi="Arial"/>
                <w:sz w:val="18"/>
                <w:szCs w:val="18"/>
                <w:color w:val="auto"/>
                <w:w w:val="97"/>
              </w:rPr>
              <w:t>Loss on sale of discontinued operations, net of tax</w:t>
            </w:r>
          </w:p>
        </w:tc>
        <w:tc>
          <w:tcPr>
            <w:tcW w:w="50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5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(21,246)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120"/>
              <w:spacing w:after="0"/>
              <w:rPr>
                <w:sz w:val="20"/>
                <w:szCs w:val="20"/>
                <w:color w:val="auto"/>
              </w:rPr>
            </w:pPr>
            <w:r>
              <w:rPr>
                <w:rFonts w:ascii="Arial" w:cs="Arial" w:eastAsia="Arial" w:hAnsi="Arial"/>
                <w:sz w:val="18"/>
                <w:szCs w:val="18"/>
                <w:color w:val="auto"/>
              </w:rPr>
              <w:t>Earnings (loss) per share(4):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400"/>
              <w:spacing w:after="0"/>
              <w:rPr>
                <w:sz w:val="20"/>
                <w:szCs w:val="20"/>
                <w:color w:val="auto"/>
              </w:rPr>
            </w:pPr>
            <w:r>
              <w:rPr>
                <w:rFonts w:ascii="Arial" w:cs="Arial" w:eastAsia="Arial" w:hAnsi="Arial"/>
                <w:sz w:val="18"/>
                <w:szCs w:val="18"/>
                <w:color w:val="auto"/>
              </w:rPr>
              <w:t>Continuing operations</w:t>
            </w:r>
          </w:p>
        </w:tc>
        <w:tc>
          <w:tcPr>
            <w:tcW w:w="50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Discontinued operations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60" w:type="dxa"/>
            <w:vAlign w:val="bottom"/>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Earnings (loss) per share(4):</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26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Continuing operations</w:t>
            </w:r>
          </w:p>
        </w:tc>
        <w:tc>
          <w:tcPr>
            <w:tcW w:w="5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gridSpan w:val="2"/>
          </w:tcPr>
          <w:p>
            <w:pPr>
              <w:ind w:left="400"/>
              <w:spacing w:after="0"/>
              <w:rPr>
                <w:sz w:val="20"/>
                <w:szCs w:val="20"/>
                <w:color w:val="auto"/>
              </w:rPr>
            </w:pPr>
            <w:r>
              <w:rPr>
                <w:rFonts w:ascii="Arial" w:cs="Arial" w:eastAsia="Arial" w:hAnsi="Arial"/>
                <w:sz w:val="18"/>
                <w:szCs w:val="18"/>
                <w:color w:val="auto"/>
              </w:rPr>
              <w:t>Discontinued operations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60" w:type="dxa"/>
            <w:vAlign w:val="bottom"/>
            <w:gridSpan w:val="2"/>
            <w:vMerge w:val="restart"/>
          </w:tcPr>
          <w:p>
            <w:pPr>
              <w:ind w:left="120"/>
              <w:spacing w:after="0"/>
              <w:rPr>
                <w:sz w:val="20"/>
                <w:szCs w:val="20"/>
                <w:color w:val="auto"/>
              </w:rPr>
            </w:pPr>
            <w:r>
              <w:rPr>
                <w:rFonts w:ascii="Arial" w:cs="Arial" w:eastAsia="Arial" w:hAnsi="Arial"/>
                <w:sz w:val="18"/>
                <w:szCs w:val="18"/>
                <w:color w:val="auto"/>
                <w:w w:val="93"/>
              </w:rPr>
              <w:t>Shares used in computing earnings (loss) per share:</w:t>
            </w: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270,590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gridSpan w:val="2"/>
          </w:tcPr>
          <w:p>
            <w:pPr>
              <w:ind w:left="26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271,222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273,710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271,619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272,536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200" w:hanging="531"/>
        <w:spacing w:after="0" w:line="268" w:lineRule="auto"/>
        <w:tabs>
          <w:tab w:leader="none" w:pos="1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2008 quarterly periods include the results of operations of Atreus for the period subsequent to its acquisition by the Company on April 18, 2008.</w:t>
      </w:r>
    </w:p>
    <w:p>
      <w:pPr>
        <w:spacing w:after="0" w:line="212" w:lineRule="exact"/>
        <w:rPr>
          <w:rFonts w:ascii="Arial" w:cs="Arial" w:eastAsia="Arial" w:hAnsi="Arial"/>
          <w:sz w:val="18"/>
          <w:szCs w:val="18"/>
          <w:color w:val="auto"/>
        </w:rPr>
      </w:pPr>
    </w:p>
    <w:p>
      <w:pPr>
        <w:ind w:left="1680" w:right="580" w:hanging="531"/>
        <w:spacing w:after="0" w:line="268" w:lineRule="auto"/>
        <w:tabs>
          <w:tab w:leader="none" w:pos="1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2008 quarterly period includes $19.1 million of expense related to litigation settlements and $2.7 million of expense for the impairment of intangible assets.</w:t>
      </w:r>
    </w:p>
    <w:p>
      <w:pPr>
        <w:spacing w:after="0" w:line="199" w:lineRule="exact"/>
        <w:rPr>
          <w:rFonts w:ascii="Arial" w:cs="Arial" w:eastAsia="Arial" w:hAnsi="Arial"/>
          <w:sz w:val="18"/>
          <w:szCs w:val="18"/>
          <w:color w:val="auto"/>
        </w:rPr>
      </w:pPr>
    </w:p>
    <w:p>
      <w:pPr>
        <w:ind w:left="1680" w:right="300" w:hanging="531"/>
        <w:spacing w:after="0" w:line="268" w:lineRule="auto"/>
        <w:tabs>
          <w:tab w:leader="none" w:pos="1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2008 quarterly period includes $88.4 million of income tax expense related to the recording of a valuation allowance on certain deferred tax assets.</w:t>
      </w:r>
    </w:p>
    <w:p>
      <w:pPr>
        <w:spacing w:after="0" w:line="199" w:lineRule="exact"/>
        <w:rPr>
          <w:rFonts w:ascii="Arial" w:cs="Arial" w:eastAsia="Arial" w:hAnsi="Arial"/>
          <w:sz w:val="18"/>
          <w:szCs w:val="18"/>
          <w:color w:val="auto"/>
        </w:rPr>
      </w:pPr>
    </w:p>
    <w:p>
      <w:pPr>
        <w:ind w:left="1680" w:right="340" w:hanging="531"/>
        <w:spacing w:after="0" w:line="268" w:lineRule="auto"/>
        <w:tabs>
          <w:tab w:leader="none" w:pos="1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Net income (loss) per share is calculated independently for each of the quarters presented; accordingly, the sum of the quarterly net income (loss) per share may not equal the total calculated for the year.</w:t>
      </w:r>
    </w:p>
    <w:p>
      <w:pPr>
        <w:spacing w:after="0" w:line="212"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unaudited quarterly operating results for the 2008 quarterly periods have been corrected to give effect to the immaterial restatement described in Note 2.</w:t>
      </w:r>
    </w:p>
    <w:p>
      <w:pPr>
        <w:spacing w:after="0" w:line="1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31"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The certifications of our principal executive officer and principal financial officer required in accordance with Rule 13a-14(a) under the Exchange Act and Section 302 of the Sarbanes-Oxley Act of 2002 are attached as exhibits to this Annual Report on Form 10-K. The disclosures set forth in this Item 9A contain information concerning the evaluation of our disclosure controls and procedures, and changes in internal control over financial reporting, referred to in paragraph 4 of the certifications. Those certifications should be read in conjunction with this Item 9A for a more complete understanding of the matters covered by the certifications.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Our management (with the participation of our Chief Executive Officer and Interim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evaluated the effectiveness of our disclosure controls and procedures (as defined in Rules 13a-15(e) and 15d-15(e) under the Securities Exchange Act of 1934, as amended (the "Exchange Act")) as of December 31, 2009.</w:t>
      </w:r>
    </w:p>
    <w:p>
      <w:pPr>
        <w:spacing w:after="0" w:line="194"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the Company in the reports it files or submits under the Exchange Act is recorded, processed, summarized and reported on a timely basis and that such information is accumulated and communicated to management, including the Chief Executive Officer and Interim Chief Financial Officer, as appropriate, to allow timely decisions regarding required disclosure. Based on this evaluation, our Chief Executive Officer and Interim Chief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183" w:lineRule="exact"/>
        <w:rPr>
          <w:sz w:val="20"/>
          <w:szCs w:val="20"/>
          <w:color w:val="auto"/>
        </w:rPr>
      </w:pPr>
    </w:p>
    <w:p>
      <w:pPr>
        <w:ind w:left="1080" w:right="24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in accordance with authorizations of management and directors of the company; and</w:t>
      </w:r>
    </w:p>
    <w:p>
      <w:pPr>
        <w:spacing w:after="0" w:line="20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December 31, 2009. In making this assessment, our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w:t>
      </w:r>
    </w:p>
    <w:p>
      <w:pPr>
        <w:spacing w:after="0" w:line="194"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Based on this assessment, our management has concluded that, as of December 31, 2009, our internal control over financial reporting was effective at the reasonable assurance level described above.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registered public accounting firm has issued an attestation report on our internal control over financial reporting. This report appears below.</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There was no change in our internal control over financial reporting (as defined in Rules 13a-15(f) and 15d-15(f) under the Exchange Act) during our fourth fiscal quarter that has materially affected, or is reasonably likely to materially affect, our internal control over financial reporting.</w:t>
      </w:r>
    </w:p>
    <w:p>
      <w:pPr>
        <w:spacing w:after="0" w:line="139"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Limitations on Effectiveness of Controls. </w:t>
      </w:r>
      <w:r>
        <w:rPr>
          <w:rFonts w:ascii="Arial" w:cs="Arial" w:eastAsia="Arial" w:hAnsi="Arial"/>
          <w:sz w:val="16"/>
          <w:szCs w:val="16"/>
          <w:color w:val="auto"/>
        </w:rPr>
        <w:t>Our management has concluded that our disclosure controls and procedures and internal controls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reasonable assurance that the objectives of our control system are met. However, our management (including our Chief Executive Officer and Interim Chief Financial Officer) does not expect that the disclosure controls and procedures or internal controls will prevent all error and/or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errors and instances of fraud, if any, within the company have been or will be detected. The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is also based in part upon certain assumptions about the likelihood of future events, and there can be no assurances that any design will succeed in achieving its stated goals under all potential future conditions.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Sonus Networks,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Westford, Massachusetts</w:t>
      </w:r>
    </w:p>
    <w:p>
      <w:pPr>
        <w:spacing w:after="0" w:line="219"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Sonus Networks, Inc. and subsidiaries (the "Company") as of December 31, 2009,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0"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0"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67"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2009,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139"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2009 of the Company and our report dated February 25, 2010 expressed an unqualified opinion on those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2010</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information required by this Item 10 is included under the caption "Executive Officers of the Registrant," "Election of Directors," "Section 16(a) Beneficial Ownership Reporting Compliance," "Code of Business Conduct and Ethics" and "Board Meetings and Committees" in our definitive Proxy Statement with respect to our 2010 Annual Meeting of Stockholders to be filed with the SEC no later than 120 days after the end of the fiscal year and is incorporated herein by reference.</w:t>
      </w:r>
    </w:p>
    <w:p>
      <w:pPr>
        <w:spacing w:after="0" w:line="1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information required by this Item 11 is included under the captions "Director Compensation," "Summary of Executive Compensation," "Plan-Based Awards," "Option Holdings," "Severance and Change-in-Control Arrangements," "Compensation Committee Report" and "Compensation Committee Interlocks and Insider Participation" in our definitive Proxy Statement with respect to our 2010 Annual Meeting of Stockholders to be filed with the SEC not later than 120 days after the end of the fiscal year and is incorporated herein by reference.</w:t>
      </w:r>
    </w:p>
    <w:p>
      <w:pPr>
        <w:spacing w:after="0" w:line="16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31"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information required by this Item 12 is included under the captions "Beneficial Ownership of Securities" and "Equity Compensation Plan Information" in our definitive Proxy Statement with respect to our 2010 Annual Meeting of Stockholders to be filed with the SEC not later than 120 days after the end of the fiscal year and is incorporated herein by reference.</w:t>
      </w:r>
    </w:p>
    <w:p>
      <w:pPr>
        <w:spacing w:after="0" w:line="18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231" w:lineRule="exact"/>
        <w:rPr>
          <w:sz w:val="20"/>
          <w:szCs w:val="20"/>
          <w:color w:val="auto"/>
        </w:rPr>
      </w:pPr>
    </w:p>
    <w:p>
      <w:pPr>
        <w:jc w:val="both"/>
        <w:ind w:right="220" w:firstLine="348"/>
        <w:spacing w:after="0" w:line="306" w:lineRule="auto"/>
        <w:rPr>
          <w:sz w:val="20"/>
          <w:szCs w:val="20"/>
          <w:color w:val="auto"/>
        </w:rPr>
      </w:pPr>
      <w:r>
        <w:rPr>
          <w:rFonts w:ascii="Arial" w:cs="Arial" w:eastAsia="Arial" w:hAnsi="Arial"/>
          <w:sz w:val="16"/>
          <w:szCs w:val="16"/>
          <w:color w:val="auto"/>
        </w:rPr>
        <w:t>The information required by this Item 13 is included, as applicable, under the captions "Severance and Change-in-Control Agreements," "Indemnification Agreements," "Director Independence" and "Transactions with Related Persons" in our definitive Proxy Statement with respect to our 2010 Annual Meeting of Stockholders to be filed with the SEC not later than 120 days after the end of the fiscal year and is incorporated herein by reference.</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31" w:lineRule="exact"/>
        <w:rPr>
          <w:sz w:val="20"/>
          <w:szCs w:val="20"/>
          <w:color w:val="auto"/>
        </w:rPr>
      </w:pPr>
    </w:p>
    <w:p>
      <w:pPr>
        <w:ind w:right="80" w:firstLine="348"/>
        <w:spacing w:after="0" w:line="335" w:lineRule="auto"/>
        <w:rPr>
          <w:sz w:val="20"/>
          <w:szCs w:val="20"/>
          <w:color w:val="auto"/>
        </w:rPr>
      </w:pPr>
      <w:r>
        <w:rPr>
          <w:rFonts w:ascii="Arial" w:cs="Arial" w:eastAsia="Arial" w:hAnsi="Arial"/>
          <w:sz w:val="15"/>
          <w:szCs w:val="15"/>
          <w:color w:val="auto"/>
        </w:rPr>
        <w:t>The information required by this Item 14 is included under the captions "Fees for Independent Registered Public Accounting Firm during the years ended December 31, 2009 and 2008" and "Policy on Audit Committee Pre-approval of Audit and Non-audit Services" in our definitive Proxy Statement with respect to our 2010 Annual Meeting of Stockholders to be filed with the SEC not later than 120 days after the end of the fiscal year and is incorporated herein by reference.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25"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consolidated financial statements of the Company are listed in the index under Part II, Item 8, of this Annual Report on Form 10-K.</w:t>
      </w:r>
    </w:p>
    <w:p>
      <w:pPr>
        <w:spacing w:after="0" w:line="219"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None. All schedules are omitted because they are not applicable, not required under the instructions or the information is contained in the consolidated financial statements, or notes thereto, included herein.</w:t>
      </w:r>
    </w:p>
    <w:p>
      <w:pPr>
        <w:spacing w:after="0" w:line="180"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Exhibits filed as part of this Annual Report on Form 10-K are listed in the Exhibit Index immediately preceding such Exhibits, which Exhibit Index is incorporated herein by reference.</w:t>
      </w:r>
    </w:p>
    <w:p>
      <w:pPr>
        <w:spacing w:after="0" w:line="1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SONUS NETWORKS, INC.</w:t>
      </w:r>
    </w:p>
    <w:p>
      <w:pPr>
        <w:spacing w:after="0" w:line="252" w:lineRule="exact"/>
        <w:rPr>
          <w:sz w:val="20"/>
          <w:szCs w:val="20"/>
          <w:color w:val="auto"/>
        </w:rPr>
      </w:pPr>
    </w:p>
    <w:p>
      <w:pPr>
        <w:spacing w:after="0"/>
        <w:tabs>
          <w:tab w:leader="none" w:pos="5720" w:val="left"/>
          <w:tab w:leader="none" w:pos="6160" w:val="left"/>
        </w:tabs>
        <w:rPr>
          <w:sz w:val="20"/>
          <w:szCs w:val="20"/>
          <w:color w:val="auto"/>
        </w:rPr>
      </w:pPr>
      <w:r>
        <w:rPr>
          <w:rFonts w:ascii="Arial" w:cs="Arial" w:eastAsia="Arial" w:hAnsi="Arial"/>
          <w:sz w:val="18"/>
          <w:szCs w:val="18"/>
          <w:color w:val="auto"/>
        </w:rPr>
        <w:t>February 25,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N. NOTTENBURG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71120</wp:posOffset>
            </wp:positionV>
            <wp:extent cx="334454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7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Richard N. Nottenburg</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4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Title</w:t>
            </w:r>
          </w:p>
        </w:tc>
        <w:tc>
          <w:tcPr>
            <w:tcW w:w="1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420" w:type="dxa"/>
            <w:vAlign w:val="bottom"/>
          </w:tcPr>
          <w:p>
            <w:pPr>
              <w:ind w:left="1500"/>
              <w:spacing w:after="0" w:line="201" w:lineRule="exact"/>
              <w:rPr>
                <w:sz w:val="20"/>
                <w:szCs w:val="20"/>
                <w:color w:val="auto"/>
              </w:rPr>
            </w:pPr>
            <w:r>
              <w:rPr>
                <w:rFonts w:ascii="Arial" w:cs="Arial" w:eastAsia="Arial" w:hAnsi="Arial"/>
                <w:sz w:val="18"/>
                <w:szCs w:val="18"/>
                <w:color w:val="auto"/>
                <w:w w:val="84"/>
              </w:rPr>
              <w:t>/s/ RICHARD</w:t>
            </w:r>
          </w:p>
        </w:tc>
        <w:tc>
          <w:tcPr>
            <w:tcW w:w="600" w:type="dxa"/>
            <w:vAlign w:val="bottom"/>
          </w:tcPr>
          <w:p>
            <w:pPr>
              <w:ind w:left="120"/>
              <w:spacing w:after="0" w:line="201" w:lineRule="exact"/>
              <w:rPr>
                <w:sz w:val="20"/>
                <w:szCs w:val="20"/>
                <w:color w:val="auto"/>
              </w:rPr>
            </w:pPr>
            <w:r>
              <w:rPr>
                <w:rFonts w:ascii="Arial" w:cs="Arial" w:eastAsia="Arial" w:hAnsi="Arial"/>
                <w:sz w:val="18"/>
                <w:szCs w:val="18"/>
                <w:color w:val="auto"/>
              </w:rPr>
              <w:t>N.</w:t>
            </w:r>
          </w:p>
        </w:tc>
        <w:tc>
          <w:tcPr>
            <w:tcW w:w="2440" w:type="dxa"/>
            <w:vAlign w:val="bottom"/>
          </w:tcPr>
          <w:p>
            <w:pPr>
              <w:spacing w:after="0" w:line="201" w:lineRule="exact"/>
              <w:rPr>
                <w:sz w:val="20"/>
                <w:szCs w:val="20"/>
                <w:color w:val="auto"/>
              </w:rPr>
            </w:pPr>
            <w:r>
              <w:rPr>
                <w:rFonts w:ascii="Arial" w:cs="Arial" w:eastAsia="Arial" w:hAnsi="Arial"/>
                <w:sz w:val="18"/>
                <w:szCs w:val="18"/>
                <w:color w:val="auto"/>
              </w:rPr>
              <w:t>NOTTENBURG</w:t>
            </w:r>
          </w:p>
        </w:tc>
        <w:tc>
          <w:tcPr>
            <w:tcW w:w="228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87"/>
              </w:rPr>
              <w:t>President and Chief Executive</w:t>
            </w:r>
          </w:p>
        </w:tc>
        <w:tc>
          <w:tcPr>
            <w:tcW w:w="1940" w:type="dxa"/>
            <w:vAlign w:val="bottom"/>
          </w:tcPr>
          <w:p>
            <w:pPr>
              <w:ind w:left="40"/>
              <w:spacing w:after="0" w:line="201" w:lineRule="exact"/>
              <w:rPr>
                <w:sz w:val="20"/>
                <w:szCs w:val="20"/>
                <w:color w:val="auto"/>
              </w:rPr>
            </w:pPr>
            <w:r>
              <w:rPr>
                <w:rFonts w:ascii="Arial" w:cs="Arial" w:eastAsia="Arial" w:hAnsi="Arial"/>
                <w:sz w:val="18"/>
                <w:szCs w:val="18"/>
                <w:color w:val="auto"/>
              </w:rPr>
              <w:t>Officer (Principal</w:t>
            </w:r>
          </w:p>
        </w:tc>
        <w:tc>
          <w:tcPr>
            <w:tcW w:w="174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88"/>
              </w:rPr>
              <w:t>February 25, 2010</w:t>
            </w:r>
          </w:p>
        </w:tc>
        <w:tc>
          <w:tcPr>
            <w:tcW w:w="0" w:type="dxa"/>
            <w:vAlign w:val="bottom"/>
          </w:tcPr>
          <w:p>
            <w:pPr>
              <w:spacing w:after="0"/>
              <w:rPr>
                <w:sz w:val="1"/>
                <w:szCs w:val="1"/>
                <w:color w:val="auto"/>
              </w:rPr>
            </w:pPr>
          </w:p>
        </w:tc>
      </w:tr>
      <w:tr>
        <w:trPr>
          <w:trHeight w:val="103"/>
        </w:trPr>
        <w:tc>
          <w:tcPr>
            <w:tcW w:w="24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4220" w:type="dxa"/>
            <w:vAlign w:val="bottom"/>
            <w:gridSpan w:val="3"/>
            <w:vMerge w:val="restart"/>
          </w:tcPr>
          <w:p>
            <w:pPr>
              <w:ind w:left="140"/>
              <w:spacing w:after="0"/>
              <w:rPr>
                <w:sz w:val="20"/>
                <w:szCs w:val="20"/>
                <w:color w:val="auto"/>
              </w:rPr>
            </w:pPr>
            <w:r>
              <w:rPr>
                <w:rFonts w:ascii="Arial" w:cs="Arial" w:eastAsia="Arial" w:hAnsi="Arial"/>
                <w:sz w:val="18"/>
                <w:szCs w:val="18"/>
                <w:color w:val="auto"/>
              </w:rPr>
              <w:t>Executive Officer)</w:t>
            </w: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460" w:type="dxa"/>
            <w:vAlign w:val="bottom"/>
            <w:gridSpan w:val="3"/>
            <w:vMerge w:val="restart"/>
          </w:tcPr>
          <w:p>
            <w:pPr>
              <w:jc w:val="center"/>
              <w:spacing w:after="0"/>
              <w:rPr>
                <w:sz w:val="20"/>
                <w:szCs w:val="20"/>
                <w:color w:val="auto"/>
              </w:rPr>
            </w:pPr>
            <w:r>
              <w:rPr>
                <w:rFonts w:ascii="Arial" w:cs="Arial" w:eastAsia="Arial" w:hAnsi="Arial"/>
                <w:sz w:val="18"/>
                <w:szCs w:val="18"/>
                <w:color w:val="auto"/>
                <w:w w:val="89"/>
              </w:rPr>
              <w:t>Richard N. Nottenburg</w:t>
            </w:r>
          </w:p>
        </w:tc>
        <w:tc>
          <w:tcPr>
            <w:tcW w:w="4220" w:type="dxa"/>
            <w:vAlign w:val="bottom"/>
            <w:gridSpan w:val="3"/>
            <w:vMerge w:val="continue"/>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460" w:type="dxa"/>
            <w:vAlign w:val="bottom"/>
            <w:gridSpan w:val="3"/>
            <w:vMerge w:val="continue"/>
          </w:tcPr>
          <w:p>
            <w:pPr>
              <w:spacing w:after="0"/>
              <w:rPr>
                <w:sz w:val="16"/>
                <w:szCs w:val="16"/>
                <w:color w:val="auto"/>
              </w:rPr>
            </w:pPr>
          </w:p>
        </w:tc>
        <w:tc>
          <w:tcPr>
            <w:tcW w:w="1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5460" w:type="dxa"/>
            <w:vAlign w:val="bottom"/>
            <w:gridSpan w:val="3"/>
          </w:tcPr>
          <w:p>
            <w:pPr>
              <w:jc w:val="center"/>
              <w:spacing w:after="0"/>
              <w:rPr>
                <w:sz w:val="20"/>
                <w:szCs w:val="20"/>
                <w:color w:val="auto"/>
              </w:rPr>
            </w:pPr>
            <w:r>
              <w:rPr>
                <w:rFonts w:ascii="Arial" w:cs="Arial" w:eastAsia="Arial" w:hAnsi="Arial"/>
                <w:sz w:val="18"/>
                <w:szCs w:val="18"/>
                <w:color w:val="auto"/>
                <w:w w:val="90"/>
              </w:rPr>
              <w:t>/s/ WAYNE PASTORE</w:t>
            </w:r>
          </w:p>
        </w:tc>
        <w:tc>
          <w:tcPr>
            <w:tcW w:w="4220" w:type="dxa"/>
            <w:vAlign w:val="bottom"/>
            <w:gridSpan w:val="3"/>
          </w:tcPr>
          <w:p>
            <w:pPr>
              <w:ind w:left="140"/>
              <w:spacing w:after="0"/>
              <w:rPr>
                <w:sz w:val="20"/>
                <w:szCs w:val="20"/>
                <w:color w:val="auto"/>
              </w:rPr>
            </w:pPr>
            <w:r>
              <w:rPr>
                <w:rFonts w:ascii="Arial" w:cs="Arial" w:eastAsia="Arial" w:hAnsi="Arial"/>
                <w:sz w:val="18"/>
                <w:szCs w:val="18"/>
                <w:color w:val="auto"/>
                <w:w w:val="98"/>
              </w:rPr>
              <w:t>Vice President of Finance, Corporate Controller and</w:t>
            </w:r>
          </w:p>
        </w:tc>
        <w:tc>
          <w:tcPr>
            <w:tcW w:w="1740" w:type="dxa"/>
            <w:vAlign w:val="bottom"/>
            <w:gridSpan w:val="3"/>
          </w:tcPr>
          <w:p>
            <w:pPr>
              <w:jc w:val="center"/>
              <w:spacing w:after="0"/>
              <w:rPr>
                <w:sz w:val="20"/>
                <w:szCs w:val="20"/>
                <w:color w:val="auto"/>
              </w:rPr>
            </w:pPr>
            <w:r>
              <w:rPr>
                <w:rFonts w:ascii="Arial" w:cs="Arial" w:eastAsia="Arial" w:hAnsi="Arial"/>
                <w:sz w:val="18"/>
                <w:szCs w:val="18"/>
                <w:color w:val="auto"/>
                <w:w w:val="88"/>
              </w:rPr>
              <w:t>February 25, 2010</w:t>
            </w:r>
          </w:p>
        </w:tc>
        <w:tc>
          <w:tcPr>
            <w:tcW w:w="0" w:type="dxa"/>
            <w:vAlign w:val="bottom"/>
          </w:tcPr>
          <w:p>
            <w:pPr>
              <w:spacing w:after="0"/>
              <w:rPr>
                <w:sz w:val="1"/>
                <w:szCs w:val="1"/>
                <w:color w:val="auto"/>
              </w:rPr>
            </w:pPr>
          </w:p>
        </w:tc>
      </w:tr>
      <w:tr>
        <w:trPr>
          <w:trHeight w:val="76"/>
        </w:trPr>
        <w:tc>
          <w:tcPr>
            <w:tcW w:w="24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440" w:type="dxa"/>
            <w:vAlign w:val="bottom"/>
            <w:tcBorders>
              <w:bottom w:val="single" w:sz="8" w:color="auto"/>
            </w:tcBorders>
          </w:tcPr>
          <w:p>
            <w:pPr>
              <w:spacing w:after="0"/>
              <w:rPr>
                <w:sz w:val="6"/>
                <w:szCs w:val="6"/>
                <w:color w:val="auto"/>
              </w:rPr>
            </w:pPr>
          </w:p>
        </w:tc>
        <w:tc>
          <w:tcPr>
            <w:tcW w:w="4220" w:type="dxa"/>
            <w:vAlign w:val="bottom"/>
            <w:gridSpan w:val="3"/>
            <w:vMerge w:val="restart"/>
          </w:tcPr>
          <w:p>
            <w:pPr>
              <w:ind w:left="140"/>
              <w:spacing w:after="0"/>
              <w:rPr>
                <w:sz w:val="20"/>
                <w:szCs w:val="20"/>
                <w:color w:val="auto"/>
              </w:rPr>
            </w:pPr>
            <w:r>
              <w:rPr>
                <w:rFonts w:ascii="Arial" w:cs="Arial" w:eastAsia="Arial" w:hAnsi="Arial"/>
                <w:sz w:val="18"/>
                <w:szCs w:val="18"/>
                <w:color w:val="auto"/>
              </w:rPr>
              <w:t>Chief Accounting Officer (Principal Accounting</w:t>
            </w: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546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Wayne Pastore</w:t>
            </w:r>
          </w:p>
        </w:tc>
        <w:tc>
          <w:tcPr>
            <w:tcW w:w="4220" w:type="dxa"/>
            <w:vAlign w:val="bottom"/>
            <w:gridSpan w:val="3"/>
            <w:vMerge w:val="continue"/>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460" w:type="dxa"/>
            <w:vAlign w:val="bottom"/>
            <w:gridSpan w:val="3"/>
            <w:vMerge w:val="continue"/>
          </w:tcPr>
          <w:p>
            <w:pPr>
              <w:spacing w:after="0"/>
              <w:rPr>
                <w:sz w:val="18"/>
                <w:szCs w:val="18"/>
                <w:color w:val="auto"/>
              </w:rPr>
            </w:pPr>
          </w:p>
        </w:tc>
        <w:tc>
          <w:tcPr>
            <w:tcW w:w="4220" w:type="dxa"/>
            <w:vAlign w:val="bottom"/>
            <w:gridSpan w:val="3"/>
          </w:tcPr>
          <w:p>
            <w:pPr>
              <w:ind w:left="140"/>
              <w:spacing w:after="0"/>
              <w:rPr>
                <w:sz w:val="20"/>
                <w:szCs w:val="20"/>
                <w:color w:val="auto"/>
              </w:rPr>
            </w:pPr>
            <w:r>
              <w:rPr>
                <w:rFonts w:ascii="Arial" w:cs="Arial" w:eastAsia="Arial" w:hAnsi="Arial"/>
                <w:sz w:val="18"/>
                <w:szCs w:val="18"/>
                <w:color w:val="auto"/>
                <w:w w:val="97"/>
              </w:rPr>
              <w:t>Officer) and Interim Chief Financial Officer (Principal</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220" w:type="dxa"/>
            <w:vAlign w:val="bottom"/>
            <w:gridSpan w:val="3"/>
          </w:tcPr>
          <w:p>
            <w:pPr>
              <w:ind w:left="140"/>
              <w:spacing w:after="0"/>
              <w:rPr>
                <w:sz w:val="20"/>
                <w:szCs w:val="20"/>
                <w:color w:val="auto"/>
              </w:rPr>
            </w:pPr>
            <w:r>
              <w:rPr>
                <w:rFonts w:ascii="Arial" w:cs="Arial" w:eastAsia="Arial" w:hAnsi="Arial"/>
                <w:sz w:val="18"/>
                <w:szCs w:val="18"/>
                <w:color w:val="auto"/>
              </w:rPr>
              <w:t>Financial Officer)</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460" w:type="dxa"/>
            <w:vAlign w:val="bottom"/>
            <w:gridSpan w:val="3"/>
          </w:tcPr>
          <w:p>
            <w:pPr>
              <w:jc w:val="center"/>
              <w:spacing w:after="0"/>
              <w:rPr>
                <w:sz w:val="20"/>
                <w:szCs w:val="20"/>
                <w:color w:val="auto"/>
              </w:rPr>
            </w:pPr>
            <w:r>
              <w:rPr>
                <w:rFonts w:ascii="Arial" w:cs="Arial" w:eastAsia="Arial" w:hAnsi="Arial"/>
                <w:sz w:val="18"/>
                <w:szCs w:val="18"/>
                <w:color w:val="auto"/>
                <w:w w:val="92"/>
              </w:rPr>
              <w:t>/s/ HOWARD E. JANZEN</w:t>
            </w:r>
          </w:p>
        </w:tc>
        <w:tc>
          <w:tcPr>
            <w:tcW w:w="1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460" w:type="dxa"/>
            <w:vAlign w:val="bottom"/>
            <w:tcBorders>
              <w:bottom w:val="single" w:sz="8" w:color="auto"/>
            </w:tcBorders>
            <w:gridSpan w:val="3"/>
          </w:tcPr>
          <w:p>
            <w:pPr>
              <w:spacing w:after="0"/>
              <w:rPr>
                <w:sz w:val="8"/>
                <w:szCs w:val="8"/>
                <w:color w:val="auto"/>
              </w:rPr>
            </w:pPr>
          </w:p>
        </w:tc>
        <w:tc>
          <w:tcPr>
            <w:tcW w:w="4220" w:type="dxa"/>
            <w:vAlign w:val="bottom"/>
            <w:gridSpan w:val="3"/>
          </w:tcPr>
          <w:p>
            <w:pPr>
              <w:spacing w:after="0"/>
              <w:rPr>
                <w:sz w:val="8"/>
                <w:szCs w:val="8"/>
                <w:color w:val="auto"/>
              </w:rPr>
            </w:pPr>
          </w:p>
        </w:tc>
        <w:tc>
          <w:tcPr>
            <w:tcW w:w="174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460" w:type="dxa"/>
            <w:vAlign w:val="bottom"/>
            <w:gridSpan w:val="3"/>
          </w:tcPr>
          <w:p>
            <w:pPr>
              <w:jc w:val="center"/>
              <w:spacing w:after="0"/>
              <w:rPr>
                <w:sz w:val="20"/>
                <w:szCs w:val="20"/>
                <w:color w:val="auto"/>
              </w:rPr>
            </w:pPr>
            <w:r>
              <w:rPr>
                <w:rFonts w:ascii="Arial" w:cs="Arial" w:eastAsia="Arial" w:hAnsi="Arial"/>
                <w:sz w:val="18"/>
                <w:szCs w:val="18"/>
                <w:color w:val="auto"/>
                <w:w w:val="87"/>
              </w:rPr>
              <w:t>Howard E. Janzen</w:t>
            </w:r>
          </w:p>
        </w:tc>
        <w:tc>
          <w:tcPr>
            <w:tcW w:w="4220" w:type="dxa"/>
            <w:vAlign w:val="bottom"/>
            <w:gridSpan w:val="3"/>
          </w:tcPr>
          <w:p>
            <w:pPr>
              <w:ind w:left="140"/>
              <w:spacing w:after="0"/>
              <w:rPr>
                <w:sz w:val="20"/>
                <w:szCs w:val="20"/>
                <w:color w:val="auto"/>
              </w:rPr>
            </w:pPr>
            <w:r>
              <w:rPr>
                <w:rFonts w:ascii="Arial" w:cs="Arial" w:eastAsia="Arial" w:hAnsi="Arial"/>
                <w:sz w:val="18"/>
                <w:szCs w:val="18"/>
                <w:color w:val="auto"/>
              </w:rPr>
              <w:t>Chairman</w:t>
            </w:r>
          </w:p>
        </w:tc>
        <w:tc>
          <w:tcPr>
            <w:tcW w:w="1740" w:type="dxa"/>
            <w:vAlign w:val="bottom"/>
            <w:gridSpan w:val="3"/>
          </w:tcPr>
          <w:p>
            <w:pPr>
              <w:jc w:val="center"/>
              <w:spacing w:after="0"/>
              <w:rPr>
                <w:sz w:val="20"/>
                <w:szCs w:val="20"/>
                <w:color w:val="auto"/>
              </w:rPr>
            </w:pPr>
            <w:r>
              <w:rPr>
                <w:rFonts w:ascii="Arial" w:cs="Arial" w:eastAsia="Arial" w:hAnsi="Arial"/>
                <w:sz w:val="18"/>
                <w:szCs w:val="18"/>
                <w:color w:val="auto"/>
                <w:w w:val="88"/>
              </w:rPr>
              <w:t>February 25, 2010</w:t>
            </w:r>
          </w:p>
        </w:tc>
        <w:tc>
          <w:tcPr>
            <w:tcW w:w="0" w:type="dxa"/>
            <w:vAlign w:val="bottom"/>
          </w:tcPr>
          <w:p>
            <w:pPr>
              <w:spacing w:after="0"/>
              <w:rPr>
                <w:sz w:val="1"/>
                <w:szCs w:val="1"/>
                <w:color w:val="auto"/>
              </w:rPr>
            </w:pPr>
          </w:p>
        </w:tc>
      </w:tr>
      <w:tr>
        <w:trPr>
          <w:trHeight w:val="432"/>
        </w:trPr>
        <w:tc>
          <w:tcPr>
            <w:tcW w:w="5460" w:type="dxa"/>
            <w:vAlign w:val="bottom"/>
            <w:gridSpan w:val="3"/>
          </w:tcPr>
          <w:p>
            <w:pPr>
              <w:jc w:val="center"/>
              <w:spacing w:after="0"/>
              <w:rPr>
                <w:sz w:val="20"/>
                <w:szCs w:val="20"/>
                <w:color w:val="auto"/>
              </w:rPr>
            </w:pPr>
            <w:r>
              <w:rPr>
                <w:rFonts w:ascii="Arial" w:cs="Arial" w:eastAsia="Arial" w:hAnsi="Arial"/>
                <w:sz w:val="18"/>
                <w:szCs w:val="18"/>
                <w:color w:val="auto"/>
                <w:w w:val="93"/>
              </w:rPr>
              <w:t>/s/ JAMES K. BREWINGTON</w:t>
            </w:r>
          </w:p>
        </w:tc>
        <w:tc>
          <w:tcPr>
            <w:tcW w:w="1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460" w:type="dxa"/>
            <w:vAlign w:val="bottom"/>
            <w:tcBorders>
              <w:bottom w:val="single" w:sz="8" w:color="auto"/>
            </w:tcBorders>
            <w:gridSpan w:val="3"/>
          </w:tcPr>
          <w:p>
            <w:pPr>
              <w:spacing w:after="0"/>
              <w:rPr>
                <w:sz w:val="8"/>
                <w:szCs w:val="8"/>
                <w:color w:val="auto"/>
              </w:rPr>
            </w:pPr>
          </w:p>
        </w:tc>
        <w:tc>
          <w:tcPr>
            <w:tcW w:w="4220" w:type="dxa"/>
            <w:vAlign w:val="bottom"/>
            <w:gridSpan w:val="3"/>
          </w:tcPr>
          <w:p>
            <w:pPr>
              <w:spacing w:after="0"/>
              <w:rPr>
                <w:sz w:val="8"/>
                <w:szCs w:val="8"/>
                <w:color w:val="auto"/>
              </w:rPr>
            </w:pPr>
          </w:p>
        </w:tc>
        <w:tc>
          <w:tcPr>
            <w:tcW w:w="174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460" w:type="dxa"/>
            <w:vAlign w:val="bottom"/>
            <w:gridSpan w:val="3"/>
          </w:tcPr>
          <w:p>
            <w:pPr>
              <w:jc w:val="center"/>
              <w:spacing w:after="0"/>
              <w:rPr>
                <w:sz w:val="20"/>
                <w:szCs w:val="20"/>
                <w:color w:val="auto"/>
              </w:rPr>
            </w:pPr>
            <w:r>
              <w:rPr>
                <w:rFonts w:ascii="Arial" w:cs="Arial" w:eastAsia="Arial" w:hAnsi="Arial"/>
                <w:sz w:val="18"/>
                <w:szCs w:val="18"/>
                <w:color w:val="auto"/>
                <w:w w:val="89"/>
              </w:rPr>
              <w:t>James K. Brewington</w:t>
            </w:r>
          </w:p>
        </w:tc>
        <w:tc>
          <w:tcPr>
            <w:tcW w:w="42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spacing w:after="0"/>
              <w:rPr>
                <w:sz w:val="20"/>
                <w:szCs w:val="20"/>
                <w:color w:val="auto"/>
              </w:rPr>
            </w:pPr>
            <w:r>
              <w:rPr>
                <w:rFonts w:ascii="Arial" w:cs="Arial" w:eastAsia="Arial" w:hAnsi="Arial"/>
                <w:sz w:val="18"/>
                <w:szCs w:val="18"/>
                <w:color w:val="auto"/>
                <w:w w:val="88"/>
              </w:rPr>
              <w:t>February 25, 2010</w:t>
            </w:r>
          </w:p>
        </w:tc>
        <w:tc>
          <w:tcPr>
            <w:tcW w:w="0" w:type="dxa"/>
            <w:vAlign w:val="bottom"/>
          </w:tcPr>
          <w:p>
            <w:pPr>
              <w:spacing w:after="0"/>
              <w:rPr>
                <w:sz w:val="1"/>
                <w:szCs w:val="1"/>
                <w:color w:val="auto"/>
              </w:rPr>
            </w:pPr>
          </w:p>
        </w:tc>
      </w:tr>
      <w:tr>
        <w:trPr>
          <w:trHeight w:val="432"/>
        </w:trPr>
        <w:tc>
          <w:tcPr>
            <w:tcW w:w="5460" w:type="dxa"/>
            <w:vAlign w:val="bottom"/>
            <w:gridSpan w:val="3"/>
          </w:tcPr>
          <w:p>
            <w:pPr>
              <w:jc w:val="center"/>
              <w:spacing w:after="0"/>
              <w:rPr>
                <w:sz w:val="20"/>
                <w:szCs w:val="20"/>
                <w:color w:val="auto"/>
              </w:rPr>
            </w:pPr>
            <w:r>
              <w:rPr>
                <w:rFonts w:ascii="Arial" w:cs="Arial" w:eastAsia="Arial" w:hAnsi="Arial"/>
                <w:sz w:val="18"/>
                <w:szCs w:val="18"/>
                <w:color w:val="auto"/>
                <w:w w:val="92"/>
              </w:rPr>
              <w:t>/s/ JOHN P. CUNNINGHAM</w:t>
            </w:r>
          </w:p>
        </w:tc>
        <w:tc>
          <w:tcPr>
            <w:tcW w:w="1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460" w:type="dxa"/>
            <w:vAlign w:val="bottom"/>
            <w:tcBorders>
              <w:bottom w:val="single" w:sz="8" w:color="auto"/>
            </w:tcBorders>
            <w:gridSpan w:val="3"/>
          </w:tcPr>
          <w:p>
            <w:pPr>
              <w:spacing w:after="0"/>
              <w:rPr>
                <w:sz w:val="8"/>
                <w:szCs w:val="8"/>
                <w:color w:val="auto"/>
              </w:rPr>
            </w:pPr>
          </w:p>
        </w:tc>
        <w:tc>
          <w:tcPr>
            <w:tcW w:w="4220" w:type="dxa"/>
            <w:vAlign w:val="bottom"/>
            <w:gridSpan w:val="3"/>
          </w:tcPr>
          <w:p>
            <w:pPr>
              <w:spacing w:after="0"/>
              <w:rPr>
                <w:sz w:val="8"/>
                <w:szCs w:val="8"/>
                <w:color w:val="auto"/>
              </w:rPr>
            </w:pPr>
          </w:p>
        </w:tc>
        <w:tc>
          <w:tcPr>
            <w:tcW w:w="174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460" w:type="dxa"/>
            <w:vAlign w:val="bottom"/>
            <w:gridSpan w:val="3"/>
          </w:tcPr>
          <w:p>
            <w:pPr>
              <w:jc w:val="center"/>
              <w:spacing w:after="0"/>
              <w:rPr>
                <w:sz w:val="20"/>
                <w:szCs w:val="20"/>
                <w:color w:val="auto"/>
              </w:rPr>
            </w:pPr>
            <w:r>
              <w:rPr>
                <w:rFonts w:ascii="Arial" w:cs="Arial" w:eastAsia="Arial" w:hAnsi="Arial"/>
                <w:sz w:val="18"/>
                <w:szCs w:val="18"/>
                <w:color w:val="auto"/>
                <w:w w:val="85"/>
              </w:rPr>
              <w:t>John P. Cunningham</w:t>
            </w:r>
          </w:p>
        </w:tc>
        <w:tc>
          <w:tcPr>
            <w:tcW w:w="42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spacing w:after="0"/>
              <w:rPr>
                <w:sz w:val="20"/>
                <w:szCs w:val="20"/>
                <w:color w:val="auto"/>
              </w:rPr>
            </w:pPr>
            <w:r>
              <w:rPr>
                <w:rFonts w:ascii="Arial" w:cs="Arial" w:eastAsia="Arial" w:hAnsi="Arial"/>
                <w:sz w:val="18"/>
                <w:szCs w:val="18"/>
                <w:color w:val="auto"/>
                <w:w w:val="88"/>
              </w:rPr>
              <w:t>February 25, 2010</w:t>
            </w:r>
          </w:p>
        </w:tc>
        <w:tc>
          <w:tcPr>
            <w:tcW w:w="0" w:type="dxa"/>
            <w:vAlign w:val="bottom"/>
          </w:tcPr>
          <w:p>
            <w:pPr>
              <w:spacing w:after="0"/>
              <w:rPr>
                <w:sz w:val="1"/>
                <w:szCs w:val="1"/>
                <w:color w:val="auto"/>
              </w:rPr>
            </w:pPr>
          </w:p>
        </w:tc>
      </w:tr>
      <w:tr>
        <w:trPr>
          <w:trHeight w:val="432"/>
        </w:trPr>
        <w:tc>
          <w:tcPr>
            <w:tcW w:w="5460" w:type="dxa"/>
            <w:vAlign w:val="bottom"/>
            <w:gridSpan w:val="3"/>
          </w:tcPr>
          <w:p>
            <w:pPr>
              <w:jc w:val="center"/>
              <w:spacing w:after="0"/>
              <w:rPr>
                <w:sz w:val="20"/>
                <w:szCs w:val="20"/>
                <w:color w:val="auto"/>
              </w:rPr>
            </w:pPr>
            <w:r>
              <w:rPr>
                <w:rFonts w:ascii="Arial" w:cs="Arial" w:eastAsia="Arial" w:hAnsi="Arial"/>
                <w:sz w:val="18"/>
                <w:szCs w:val="18"/>
                <w:color w:val="auto"/>
                <w:w w:val="94"/>
              </w:rPr>
              <w:t>/s/ BEATRIZ INFANTE</w:t>
            </w:r>
          </w:p>
        </w:tc>
        <w:tc>
          <w:tcPr>
            <w:tcW w:w="1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460" w:type="dxa"/>
            <w:vAlign w:val="bottom"/>
            <w:tcBorders>
              <w:bottom w:val="single" w:sz="8" w:color="auto"/>
            </w:tcBorders>
            <w:gridSpan w:val="3"/>
          </w:tcPr>
          <w:p>
            <w:pPr>
              <w:spacing w:after="0"/>
              <w:rPr>
                <w:sz w:val="8"/>
                <w:szCs w:val="8"/>
                <w:color w:val="auto"/>
              </w:rPr>
            </w:pPr>
          </w:p>
        </w:tc>
        <w:tc>
          <w:tcPr>
            <w:tcW w:w="4220" w:type="dxa"/>
            <w:vAlign w:val="bottom"/>
            <w:gridSpan w:val="3"/>
          </w:tcPr>
          <w:p>
            <w:pPr>
              <w:spacing w:after="0"/>
              <w:rPr>
                <w:sz w:val="8"/>
                <w:szCs w:val="8"/>
                <w:color w:val="auto"/>
              </w:rPr>
            </w:pPr>
          </w:p>
        </w:tc>
        <w:tc>
          <w:tcPr>
            <w:tcW w:w="174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460" w:type="dxa"/>
            <w:vAlign w:val="bottom"/>
            <w:gridSpan w:val="3"/>
          </w:tcPr>
          <w:p>
            <w:pPr>
              <w:jc w:val="center"/>
              <w:spacing w:after="0"/>
              <w:rPr>
                <w:sz w:val="20"/>
                <w:szCs w:val="20"/>
                <w:color w:val="auto"/>
              </w:rPr>
            </w:pPr>
            <w:r>
              <w:rPr>
                <w:rFonts w:ascii="Arial" w:cs="Arial" w:eastAsia="Arial" w:hAnsi="Arial"/>
                <w:sz w:val="18"/>
                <w:szCs w:val="18"/>
                <w:color w:val="auto"/>
                <w:w w:val="89"/>
              </w:rPr>
              <w:t>Beatriz Infante</w:t>
            </w:r>
          </w:p>
        </w:tc>
        <w:tc>
          <w:tcPr>
            <w:tcW w:w="42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spacing w:after="0"/>
              <w:rPr>
                <w:sz w:val="20"/>
                <w:szCs w:val="20"/>
                <w:color w:val="auto"/>
              </w:rPr>
            </w:pPr>
            <w:r>
              <w:rPr>
                <w:rFonts w:ascii="Arial" w:cs="Arial" w:eastAsia="Arial" w:hAnsi="Arial"/>
                <w:sz w:val="18"/>
                <w:szCs w:val="18"/>
                <w:color w:val="auto"/>
                <w:w w:val="88"/>
              </w:rPr>
              <w:t>February 25, 2010</w:t>
            </w:r>
          </w:p>
        </w:tc>
        <w:tc>
          <w:tcPr>
            <w:tcW w:w="0" w:type="dxa"/>
            <w:vAlign w:val="bottom"/>
          </w:tcPr>
          <w:p>
            <w:pPr>
              <w:spacing w:after="0"/>
              <w:rPr>
                <w:sz w:val="1"/>
                <w:szCs w:val="1"/>
                <w:color w:val="auto"/>
              </w:rPr>
            </w:pPr>
          </w:p>
        </w:tc>
      </w:tr>
      <w:tr>
        <w:trPr>
          <w:trHeight w:val="432"/>
        </w:trPr>
        <w:tc>
          <w:tcPr>
            <w:tcW w:w="5460" w:type="dxa"/>
            <w:vAlign w:val="bottom"/>
            <w:gridSpan w:val="3"/>
          </w:tcPr>
          <w:p>
            <w:pPr>
              <w:jc w:val="center"/>
              <w:spacing w:after="0"/>
              <w:rPr>
                <w:sz w:val="20"/>
                <w:szCs w:val="20"/>
                <w:color w:val="auto"/>
              </w:rPr>
            </w:pPr>
            <w:r>
              <w:rPr>
                <w:rFonts w:ascii="Arial" w:cs="Arial" w:eastAsia="Arial" w:hAnsi="Arial"/>
                <w:sz w:val="18"/>
                <w:szCs w:val="18"/>
                <w:color w:val="auto"/>
                <w:w w:val="92"/>
              </w:rPr>
              <w:t>/s/ JOHN A. SCHOFIELD</w:t>
            </w:r>
          </w:p>
        </w:tc>
        <w:tc>
          <w:tcPr>
            <w:tcW w:w="1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460" w:type="dxa"/>
            <w:vAlign w:val="bottom"/>
            <w:tcBorders>
              <w:bottom w:val="single" w:sz="8" w:color="auto"/>
            </w:tcBorders>
            <w:gridSpan w:val="3"/>
          </w:tcPr>
          <w:p>
            <w:pPr>
              <w:spacing w:after="0"/>
              <w:rPr>
                <w:sz w:val="8"/>
                <w:szCs w:val="8"/>
                <w:color w:val="auto"/>
              </w:rPr>
            </w:pPr>
          </w:p>
        </w:tc>
        <w:tc>
          <w:tcPr>
            <w:tcW w:w="4220" w:type="dxa"/>
            <w:vAlign w:val="bottom"/>
            <w:gridSpan w:val="3"/>
          </w:tcPr>
          <w:p>
            <w:pPr>
              <w:spacing w:after="0"/>
              <w:rPr>
                <w:sz w:val="8"/>
                <w:szCs w:val="8"/>
                <w:color w:val="auto"/>
              </w:rPr>
            </w:pPr>
          </w:p>
        </w:tc>
        <w:tc>
          <w:tcPr>
            <w:tcW w:w="174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460" w:type="dxa"/>
            <w:vAlign w:val="bottom"/>
            <w:gridSpan w:val="3"/>
          </w:tcPr>
          <w:p>
            <w:pPr>
              <w:jc w:val="center"/>
              <w:spacing w:after="0"/>
              <w:rPr>
                <w:sz w:val="20"/>
                <w:szCs w:val="20"/>
                <w:color w:val="auto"/>
              </w:rPr>
            </w:pPr>
            <w:r>
              <w:rPr>
                <w:rFonts w:ascii="Arial" w:cs="Arial" w:eastAsia="Arial" w:hAnsi="Arial"/>
                <w:sz w:val="18"/>
                <w:szCs w:val="18"/>
                <w:color w:val="auto"/>
                <w:w w:val="89"/>
              </w:rPr>
              <w:t>John A. Schofield</w:t>
            </w:r>
          </w:p>
        </w:tc>
        <w:tc>
          <w:tcPr>
            <w:tcW w:w="42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spacing w:after="0"/>
              <w:rPr>
                <w:sz w:val="20"/>
                <w:szCs w:val="20"/>
                <w:color w:val="auto"/>
              </w:rPr>
            </w:pPr>
            <w:r>
              <w:rPr>
                <w:rFonts w:ascii="Arial" w:cs="Arial" w:eastAsia="Arial" w:hAnsi="Arial"/>
                <w:sz w:val="18"/>
                <w:szCs w:val="18"/>
                <w:color w:val="auto"/>
                <w:w w:val="88"/>
              </w:rPr>
              <w:t>February 25, 2010</w:t>
            </w:r>
          </w:p>
        </w:tc>
        <w:tc>
          <w:tcPr>
            <w:tcW w:w="0" w:type="dxa"/>
            <w:vAlign w:val="bottom"/>
          </w:tcPr>
          <w:p>
            <w:pPr>
              <w:spacing w:after="0"/>
              <w:rPr>
                <w:sz w:val="1"/>
                <w:szCs w:val="1"/>
                <w:color w:val="auto"/>
              </w:rPr>
            </w:pPr>
          </w:p>
        </w:tc>
      </w:tr>
      <w:tr>
        <w:trPr>
          <w:trHeight w:val="432"/>
        </w:trPr>
        <w:tc>
          <w:tcPr>
            <w:tcW w:w="5460" w:type="dxa"/>
            <w:vAlign w:val="bottom"/>
            <w:gridSpan w:val="3"/>
          </w:tcPr>
          <w:p>
            <w:pPr>
              <w:jc w:val="center"/>
              <w:spacing w:after="0"/>
              <w:rPr>
                <w:sz w:val="20"/>
                <w:szCs w:val="20"/>
                <w:color w:val="auto"/>
              </w:rPr>
            </w:pPr>
            <w:r>
              <w:rPr>
                <w:rFonts w:ascii="Arial" w:cs="Arial" w:eastAsia="Arial" w:hAnsi="Arial"/>
                <w:sz w:val="18"/>
                <w:szCs w:val="18"/>
                <w:color w:val="auto"/>
                <w:w w:val="90"/>
              </w:rPr>
              <w:t>/s/ SCOTT E. SCHUBERT</w:t>
            </w:r>
          </w:p>
        </w:tc>
        <w:tc>
          <w:tcPr>
            <w:tcW w:w="1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460" w:type="dxa"/>
            <w:vAlign w:val="bottom"/>
            <w:tcBorders>
              <w:bottom w:val="single" w:sz="8" w:color="auto"/>
            </w:tcBorders>
            <w:gridSpan w:val="3"/>
          </w:tcPr>
          <w:p>
            <w:pPr>
              <w:spacing w:after="0"/>
              <w:rPr>
                <w:sz w:val="8"/>
                <w:szCs w:val="8"/>
                <w:color w:val="auto"/>
              </w:rPr>
            </w:pPr>
          </w:p>
        </w:tc>
        <w:tc>
          <w:tcPr>
            <w:tcW w:w="4220" w:type="dxa"/>
            <w:vAlign w:val="bottom"/>
            <w:gridSpan w:val="3"/>
          </w:tcPr>
          <w:p>
            <w:pPr>
              <w:spacing w:after="0"/>
              <w:rPr>
                <w:sz w:val="8"/>
                <w:szCs w:val="8"/>
                <w:color w:val="auto"/>
              </w:rPr>
            </w:pPr>
          </w:p>
        </w:tc>
        <w:tc>
          <w:tcPr>
            <w:tcW w:w="174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460" w:type="dxa"/>
            <w:vAlign w:val="bottom"/>
            <w:gridSpan w:val="3"/>
          </w:tcPr>
          <w:p>
            <w:pPr>
              <w:jc w:val="center"/>
              <w:spacing w:after="0"/>
              <w:rPr>
                <w:sz w:val="20"/>
                <w:szCs w:val="20"/>
                <w:color w:val="auto"/>
              </w:rPr>
            </w:pPr>
            <w:r>
              <w:rPr>
                <w:rFonts w:ascii="Arial" w:cs="Arial" w:eastAsia="Arial" w:hAnsi="Arial"/>
                <w:sz w:val="18"/>
                <w:szCs w:val="18"/>
                <w:color w:val="auto"/>
                <w:w w:val="87"/>
              </w:rPr>
              <w:t>Scott E. Schubert</w:t>
            </w:r>
          </w:p>
        </w:tc>
        <w:tc>
          <w:tcPr>
            <w:tcW w:w="42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spacing w:after="0"/>
              <w:rPr>
                <w:sz w:val="20"/>
                <w:szCs w:val="20"/>
                <w:color w:val="auto"/>
              </w:rPr>
            </w:pPr>
            <w:r>
              <w:rPr>
                <w:rFonts w:ascii="Arial" w:cs="Arial" w:eastAsia="Arial" w:hAnsi="Arial"/>
                <w:sz w:val="18"/>
                <w:szCs w:val="18"/>
                <w:color w:val="auto"/>
                <w:w w:val="88"/>
              </w:rPr>
              <w:t>February 25, 2010</w:t>
            </w:r>
          </w:p>
        </w:tc>
        <w:tc>
          <w:tcPr>
            <w:tcW w:w="0" w:type="dxa"/>
            <w:vAlign w:val="bottom"/>
          </w:tcPr>
          <w:p>
            <w:pPr>
              <w:spacing w:after="0"/>
              <w:rPr>
                <w:sz w:val="1"/>
                <w:szCs w:val="1"/>
                <w:color w:val="auto"/>
              </w:rPr>
            </w:pPr>
          </w:p>
        </w:tc>
      </w:tr>
      <w:tr>
        <w:trPr>
          <w:trHeight w:val="432"/>
        </w:trPr>
        <w:tc>
          <w:tcPr>
            <w:tcW w:w="5460" w:type="dxa"/>
            <w:vAlign w:val="bottom"/>
            <w:gridSpan w:val="3"/>
          </w:tcPr>
          <w:p>
            <w:pPr>
              <w:jc w:val="center"/>
              <w:spacing w:after="0"/>
              <w:rPr>
                <w:sz w:val="20"/>
                <w:szCs w:val="20"/>
                <w:color w:val="auto"/>
              </w:rPr>
            </w:pPr>
            <w:r>
              <w:rPr>
                <w:rFonts w:ascii="Arial" w:cs="Arial" w:eastAsia="Arial" w:hAnsi="Arial"/>
                <w:sz w:val="18"/>
                <w:szCs w:val="18"/>
                <w:color w:val="auto"/>
                <w:w w:val="91"/>
              </w:rPr>
              <w:t>/s/ PAUL J. SEVERINO</w:t>
            </w:r>
          </w:p>
        </w:tc>
        <w:tc>
          <w:tcPr>
            <w:tcW w:w="1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460" w:type="dxa"/>
            <w:vAlign w:val="bottom"/>
            <w:tcBorders>
              <w:bottom w:val="single" w:sz="8" w:color="auto"/>
            </w:tcBorders>
            <w:gridSpan w:val="3"/>
          </w:tcPr>
          <w:p>
            <w:pPr>
              <w:spacing w:after="0"/>
              <w:rPr>
                <w:sz w:val="8"/>
                <w:szCs w:val="8"/>
                <w:color w:val="auto"/>
              </w:rPr>
            </w:pPr>
          </w:p>
        </w:tc>
        <w:tc>
          <w:tcPr>
            <w:tcW w:w="4220" w:type="dxa"/>
            <w:vAlign w:val="bottom"/>
            <w:gridSpan w:val="3"/>
          </w:tcPr>
          <w:p>
            <w:pPr>
              <w:spacing w:after="0"/>
              <w:rPr>
                <w:sz w:val="8"/>
                <w:szCs w:val="8"/>
                <w:color w:val="auto"/>
              </w:rPr>
            </w:pPr>
          </w:p>
        </w:tc>
        <w:tc>
          <w:tcPr>
            <w:tcW w:w="174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460" w:type="dxa"/>
            <w:vAlign w:val="bottom"/>
            <w:gridSpan w:val="3"/>
          </w:tcPr>
          <w:p>
            <w:pPr>
              <w:jc w:val="center"/>
              <w:spacing w:after="0"/>
              <w:rPr>
                <w:sz w:val="20"/>
                <w:szCs w:val="20"/>
                <w:color w:val="auto"/>
              </w:rPr>
            </w:pPr>
            <w:r>
              <w:rPr>
                <w:rFonts w:ascii="Arial" w:cs="Arial" w:eastAsia="Arial" w:hAnsi="Arial"/>
                <w:sz w:val="18"/>
                <w:szCs w:val="18"/>
                <w:color w:val="auto"/>
                <w:w w:val="86"/>
              </w:rPr>
              <w:t>Paul J. Severino</w:t>
            </w:r>
          </w:p>
        </w:tc>
        <w:tc>
          <w:tcPr>
            <w:tcW w:w="42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spacing w:after="0"/>
              <w:rPr>
                <w:sz w:val="20"/>
                <w:szCs w:val="20"/>
                <w:color w:val="auto"/>
              </w:rPr>
            </w:pPr>
            <w:r>
              <w:rPr>
                <w:rFonts w:ascii="Arial" w:cs="Arial" w:eastAsia="Arial" w:hAnsi="Arial"/>
                <w:sz w:val="18"/>
                <w:szCs w:val="18"/>
                <w:color w:val="auto"/>
                <w:w w:val="88"/>
              </w:rPr>
              <w:t>February 25, 2010</w:t>
            </w:r>
          </w:p>
        </w:tc>
        <w:tc>
          <w:tcPr>
            <w:tcW w:w="0" w:type="dxa"/>
            <w:vAlign w:val="bottom"/>
          </w:tcPr>
          <w:p>
            <w:pPr>
              <w:spacing w:after="0"/>
              <w:rPr>
                <w:sz w:val="1"/>
                <w:szCs w:val="1"/>
                <w:color w:val="auto"/>
              </w:rPr>
            </w:pPr>
          </w:p>
        </w:tc>
      </w:tr>
      <w:tr>
        <w:trPr>
          <w:trHeight w:val="432"/>
        </w:trPr>
        <w:tc>
          <w:tcPr>
            <w:tcW w:w="5460" w:type="dxa"/>
            <w:vAlign w:val="bottom"/>
            <w:gridSpan w:val="3"/>
          </w:tcPr>
          <w:p>
            <w:pPr>
              <w:jc w:val="center"/>
              <w:spacing w:after="0"/>
              <w:rPr>
                <w:sz w:val="20"/>
                <w:szCs w:val="20"/>
                <w:color w:val="auto"/>
              </w:rPr>
            </w:pPr>
            <w:r>
              <w:rPr>
                <w:rFonts w:ascii="Arial" w:cs="Arial" w:eastAsia="Arial" w:hAnsi="Arial"/>
                <w:sz w:val="18"/>
                <w:szCs w:val="18"/>
                <w:color w:val="auto"/>
                <w:w w:val="93"/>
              </w:rPr>
              <w:t>/s/ H. BRIAN THOMPSON</w:t>
            </w:r>
          </w:p>
        </w:tc>
        <w:tc>
          <w:tcPr>
            <w:tcW w:w="1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460" w:type="dxa"/>
            <w:vAlign w:val="bottom"/>
            <w:tcBorders>
              <w:bottom w:val="single" w:sz="8" w:color="auto"/>
            </w:tcBorders>
            <w:gridSpan w:val="3"/>
          </w:tcPr>
          <w:p>
            <w:pPr>
              <w:spacing w:after="0"/>
              <w:rPr>
                <w:sz w:val="8"/>
                <w:szCs w:val="8"/>
                <w:color w:val="auto"/>
              </w:rPr>
            </w:pPr>
          </w:p>
        </w:tc>
        <w:tc>
          <w:tcPr>
            <w:tcW w:w="4220" w:type="dxa"/>
            <w:vAlign w:val="bottom"/>
            <w:gridSpan w:val="3"/>
          </w:tcPr>
          <w:p>
            <w:pPr>
              <w:spacing w:after="0"/>
              <w:rPr>
                <w:sz w:val="8"/>
                <w:szCs w:val="8"/>
                <w:color w:val="auto"/>
              </w:rPr>
            </w:pPr>
          </w:p>
        </w:tc>
        <w:tc>
          <w:tcPr>
            <w:tcW w:w="174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460" w:type="dxa"/>
            <w:vAlign w:val="bottom"/>
            <w:gridSpan w:val="3"/>
          </w:tcPr>
          <w:p>
            <w:pPr>
              <w:jc w:val="center"/>
              <w:spacing w:after="0"/>
              <w:rPr>
                <w:sz w:val="20"/>
                <w:szCs w:val="20"/>
                <w:color w:val="auto"/>
              </w:rPr>
            </w:pPr>
            <w:r>
              <w:rPr>
                <w:rFonts w:ascii="Arial" w:cs="Arial" w:eastAsia="Arial" w:hAnsi="Arial"/>
                <w:sz w:val="18"/>
                <w:szCs w:val="18"/>
                <w:color w:val="auto"/>
                <w:w w:val="90"/>
              </w:rPr>
              <w:t>H. Brian Thompson</w:t>
            </w:r>
          </w:p>
        </w:tc>
        <w:tc>
          <w:tcPr>
            <w:tcW w:w="42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spacing w:after="0"/>
              <w:rPr>
                <w:sz w:val="20"/>
                <w:szCs w:val="20"/>
                <w:color w:val="auto"/>
              </w:rPr>
            </w:pPr>
            <w:r>
              <w:rPr>
                <w:rFonts w:ascii="Arial" w:cs="Arial" w:eastAsia="Arial" w:hAnsi="Arial"/>
                <w:sz w:val="18"/>
                <w:szCs w:val="18"/>
                <w:color w:val="auto"/>
                <w:w w:val="88"/>
              </w:rPr>
              <w:t>February 25, 2010</w:t>
            </w: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980" w:type="dxa"/>
            <w:vAlign w:val="bottom"/>
          </w:tcPr>
          <w:p>
            <w:pPr>
              <w:ind w:left="120"/>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ind w:left="1320"/>
        <w:spacing w:after="0"/>
        <w:tabs>
          <w:tab w:leader="none" w:pos="60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1940"/>
        <w:spacing w:after="0"/>
        <w:tabs>
          <w:tab w:leader="none" w:pos="2540" w:val="left"/>
        </w:tabs>
        <w:rPr>
          <w:sz w:val="20"/>
          <w:szCs w:val="20"/>
          <w:color w:val="auto"/>
        </w:rPr>
      </w:pPr>
      <w:r>
        <w:rPr>
          <w:rFonts w:ascii="Arial" w:cs="Arial" w:eastAsia="Arial" w:hAnsi="Arial"/>
          <w:sz w:val="18"/>
          <w:szCs w:val="18"/>
          <w:color w:val="auto"/>
        </w:rPr>
        <w:t>3.1(d)</w:t>
      </w:r>
      <w:r>
        <w:rPr>
          <w:sz w:val="20"/>
          <w:szCs w:val="20"/>
          <w:color w:val="auto"/>
        </w:rPr>
        <w:tab/>
      </w:r>
      <w:r>
        <w:rPr>
          <w:rFonts w:ascii="Arial" w:cs="Arial" w:eastAsia="Arial" w:hAnsi="Arial"/>
          <w:sz w:val="15"/>
          <w:szCs w:val="15"/>
          <w:color w:val="auto"/>
        </w:rPr>
        <w:t>Fourth Amended and Restated Certificate of Incorporation of Sonus Networks, Inc., as amended</w:t>
      </w:r>
    </w:p>
    <w:p>
      <w:pPr>
        <w:spacing w:after="0" w:line="8" w:lineRule="exact"/>
        <w:rPr>
          <w:sz w:val="20"/>
          <w:szCs w:val="20"/>
          <w:color w:val="auto"/>
        </w:rPr>
      </w:pPr>
    </w:p>
    <w:p>
      <w:pPr>
        <w:ind w:left="2560" w:right="20" w:hanging="624"/>
        <w:spacing w:after="0" w:line="250" w:lineRule="auto"/>
        <w:tabs>
          <w:tab w:leader="none" w:pos="2540" w:val="left"/>
        </w:tabs>
        <w:rPr>
          <w:sz w:val="20"/>
          <w:szCs w:val="20"/>
          <w:color w:val="auto"/>
        </w:rPr>
      </w:pPr>
      <w:r>
        <w:rPr>
          <w:rFonts w:ascii="Arial" w:cs="Arial" w:eastAsia="Arial" w:hAnsi="Arial"/>
          <w:sz w:val="18"/>
          <w:szCs w:val="18"/>
          <w:color w:val="auto"/>
        </w:rPr>
        <w:t>3.1(e)</w:t>
        <w:tab/>
        <w:t>Certificate of Designation specifying the terms of the Series A Junior Participating Preferred Stock, par value $0.01 per share</w:t>
      </w:r>
    </w:p>
    <w:p>
      <w:pPr>
        <w:spacing w:after="0" w:line="1" w:lineRule="exact"/>
        <w:rPr>
          <w:sz w:val="20"/>
          <w:szCs w:val="20"/>
          <w:color w:val="auto"/>
        </w:rPr>
      </w:pPr>
    </w:p>
    <w:p>
      <w:pPr>
        <w:ind w:left="1940"/>
        <w:spacing w:after="0"/>
        <w:tabs>
          <w:tab w:leader="none" w:pos="2540" w:val="left"/>
        </w:tabs>
        <w:rPr>
          <w:sz w:val="20"/>
          <w:szCs w:val="20"/>
          <w:color w:val="auto"/>
        </w:rPr>
      </w:pPr>
      <w:r>
        <w:rPr>
          <w:rFonts w:ascii="Arial" w:cs="Arial" w:eastAsia="Arial" w:hAnsi="Arial"/>
          <w:sz w:val="18"/>
          <w:szCs w:val="18"/>
          <w:color w:val="auto"/>
        </w:rPr>
        <w:t>3.2(d)</w:t>
      </w:r>
      <w:r>
        <w:rPr>
          <w:sz w:val="20"/>
          <w:szCs w:val="20"/>
          <w:color w:val="auto"/>
        </w:rPr>
        <w:tab/>
      </w:r>
      <w:r>
        <w:rPr>
          <w:rFonts w:ascii="Arial" w:cs="Arial" w:eastAsia="Arial" w:hAnsi="Arial"/>
          <w:sz w:val="15"/>
          <w:szCs w:val="15"/>
          <w:color w:val="auto"/>
        </w:rPr>
        <w:t>Amended and Restated By Laws of Registrant</w:t>
      </w:r>
    </w:p>
    <w:p>
      <w:pPr>
        <w:spacing w:after="0" w:line="9" w:lineRule="exact"/>
        <w:rPr>
          <w:sz w:val="20"/>
          <w:szCs w:val="20"/>
          <w:color w:val="auto"/>
        </w:rPr>
      </w:pPr>
    </w:p>
    <w:p>
      <w:pPr>
        <w:ind w:left="1940"/>
        <w:spacing w:after="0"/>
        <w:tabs>
          <w:tab w:leader="none" w:pos="2540" w:val="left"/>
        </w:tabs>
        <w:rPr>
          <w:sz w:val="20"/>
          <w:szCs w:val="20"/>
          <w:color w:val="auto"/>
        </w:rPr>
      </w:pPr>
      <w:r>
        <w:rPr>
          <w:rFonts w:ascii="Arial" w:cs="Arial" w:eastAsia="Arial" w:hAnsi="Arial"/>
          <w:sz w:val="18"/>
          <w:szCs w:val="18"/>
          <w:color w:val="auto"/>
        </w:rPr>
        <w:t>4.1(b)</w:t>
      </w:r>
      <w:r>
        <w:rPr>
          <w:sz w:val="20"/>
          <w:szCs w:val="20"/>
          <w:color w:val="auto"/>
        </w:rPr>
        <w:tab/>
      </w:r>
      <w:r>
        <w:rPr>
          <w:rFonts w:ascii="Arial" w:cs="Arial" w:eastAsia="Arial" w:hAnsi="Arial"/>
          <w:sz w:val="15"/>
          <w:szCs w:val="15"/>
          <w:color w:val="auto"/>
        </w:rPr>
        <w:t>Form of Stock Certificate representing shares of Sonus Networks, Inc. Common Stock</w:t>
      </w:r>
    </w:p>
    <w:p>
      <w:pPr>
        <w:spacing w:after="0" w:line="9" w:lineRule="exact"/>
        <w:rPr>
          <w:sz w:val="20"/>
          <w:szCs w:val="20"/>
          <w:color w:val="auto"/>
        </w:rPr>
      </w:pPr>
    </w:p>
    <w:p>
      <w:pPr>
        <w:ind w:left="2560" w:right="300" w:hanging="624"/>
        <w:spacing w:after="0" w:line="281" w:lineRule="auto"/>
        <w:tabs>
          <w:tab w:leader="none" w:pos="2540" w:val="left"/>
        </w:tabs>
        <w:rPr>
          <w:sz w:val="20"/>
          <w:szCs w:val="20"/>
          <w:color w:val="auto"/>
        </w:rPr>
      </w:pPr>
      <w:r>
        <w:rPr>
          <w:rFonts w:ascii="Arial" w:cs="Arial" w:eastAsia="Arial" w:hAnsi="Arial"/>
          <w:sz w:val="18"/>
          <w:szCs w:val="18"/>
          <w:color w:val="auto"/>
        </w:rPr>
        <w:t>4.2(e)</w:t>
      </w:r>
      <w:r>
        <w:rPr>
          <w:sz w:val="20"/>
          <w:szCs w:val="20"/>
          <w:color w:val="auto"/>
        </w:rPr>
        <w:tab/>
      </w:r>
      <w:r>
        <w:rPr>
          <w:rFonts w:ascii="Arial" w:cs="Arial" w:eastAsia="Arial" w:hAnsi="Arial"/>
          <w:sz w:val="16"/>
          <w:szCs w:val="16"/>
          <w:color w:val="auto"/>
        </w:rPr>
        <w:t>Rights Agreement, dated June 26, 2008, between the Registrant and American Stock Transfer &amp; Trust Company, LLC, which includes as Exhibit A thereto a form of Certificate of Designation for the Series A Junior Participating Preferred Stock, as Exhibit B thereto the Form of Rights Certificate and Exhibit C thereto a Summary of Rights to Purchase Shares of Preferred Stock</w:t>
      </w:r>
    </w:p>
    <w:p>
      <w:pPr>
        <w:spacing w:after="0" w:line="3" w:lineRule="exact"/>
        <w:rPr>
          <w:sz w:val="20"/>
          <w:szCs w:val="20"/>
          <w:color w:val="auto"/>
        </w:rPr>
      </w:pPr>
    </w:p>
    <w:p>
      <w:pPr>
        <w:ind w:left="2560" w:right="120" w:hanging="711"/>
        <w:spacing w:after="0" w:line="250" w:lineRule="auto"/>
        <w:tabs>
          <w:tab w:leader="none" w:pos="2540" w:val="left"/>
        </w:tabs>
        <w:rPr>
          <w:sz w:val="20"/>
          <w:szCs w:val="20"/>
          <w:color w:val="auto"/>
        </w:rPr>
      </w:pPr>
      <w:r>
        <w:rPr>
          <w:rFonts w:ascii="Arial" w:cs="Arial" w:eastAsia="Arial" w:hAnsi="Arial"/>
          <w:sz w:val="18"/>
          <w:szCs w:val="18"/>
          <w:color w:val="auto"/>
        </w:rPr>
        <w:t>10.1(a)</w:t>
        <w:tab/>
        <w:t>Registration Rights Agreement, dated as of November 2, 2000, by and among Sonus Networks, Inc. and the Stockholder parties thereto</w:t>
      </w:r>
    </w:p>
    <w:p>
      <w:pPr>
        <w:spacing w:after="0" w:line="1"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10.2(b)+ Amended and Restated 1997 Stock Incentive Plan of the Registrant</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10.3(f)+  Form of Stock Option Agreement under the 1997 Stock Incentive Plan</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10.4(f)+  Form of Director and Officer Indemnity Agreement</w:t>
      </w:r>
    </w:p>
    <w:p>
      <w:pPr>
        <w:spacing w:after="0" w:line="9" w:lineRule="exact"/>
        <w:rPr>
          <w:sz w:val="20"/>
          <w:szCs w:val="20"/>
          <w:color w:val="auto"/>
        </w:rPr>
      </w:pPr>
    </w:p>
    <w:p>
      <w:pPr>
        <w:ind w:left="1860"/>
        <w:spacing w:after="0"/>
        <w:tabs>
          <w:tab w:leader="none" w:pos="2540" w:val="left"/>
        </w:tabs>
        <w:rPr>
          <w:sz w:val="20"/>
          <w:szCs w:val="20"/>
          <w:color w:val="auto"/>
        </w:rPr>
      </w:pPr>
      <w:r>
        <w:rPr>
          <w:rFonts w:ascii="Arial" w:cs="Arial" w:eastAsia="Arial" w:hAnsi="Arial"/>
          <w:sz w:val="18"/>
          <w:szCs w:val="18"/>
          <w:color w:val="auto"/>
        </w:rPr>
        <w:t>10.5(g)</w:t>
      </w:r>
      <w:r>
        <w:rPr>
          <w:sz w:val="20"/>
          <w:szCs w:val="20"/>
          <w:color w:val="auto"/>
        </w:rPr>
        <w:tab/>
      </w:r>
      <w:r>
        <w:rPr>
          <w:rFonts w:ascii="Arial" w:cs="Arial" w:eastAsia="Arial" w:hAnsi="Arial"/>
          <w:sz w:val="15"/>
          <w:szCs w:val="15"/>
          <w:color w:val="auto"/>
        </w:rPr>
        <w:t>Form of Resale Restriction Agreement</w:t>
      </w:r>
    </w:p>
    <w:p>
      <w:pPr>
        <w:spacing w:after="0" w:line="9" w:lineRule="exact"/>
        <w:rPr>
          <w:sz w:val="20"/>
          <w:szCs w:val="20"/>
          <w:color w:val="auto"/>
        </w:rPr>
      </w:pPr>
    </w:p>
    <w:p>
      <w:pPr>
        <w:ind w:left="2560" w:hanging="711"/>
        <w:spacing w:after="0" w:line="281" w:lineRule="auto"/>
        <w:tabs>
          <w:tab w:leader="none" w:pos="2540" w:val="left"/>
        </w:tabs>
        <w:rPr>
          <w:sz w:val="20"/>
          <w:szCs w:val="20"/>
          <w:color w:val="auto"/>
        </w:rPr>
      </w:pPr>
      <w:r>
        <w:rPr>
          <w:rFonts w:ascii="Arial" w:cs="Arial" w:eastAsia="Arial" w:hAnsi="Arial"/>
          <w:sz w:val="18"/>
          <w:szCs w:val="18"/>
          <w:color w:val="auto"/>
        </w:rPr>
        <w:t>10.6(h)</w:t>
      </w:r>
      <w:r>
        <w:rPr>
          <w:sz w:val="20"/>
          <w:szCs w:val="20"/>
          <w:color w:val="auto"/>
        </w:rPr>
        <w:tab/>
      </w:r>
      <w:r>
        <w:rPr>
          <w:rFonts w:ascii="Arial" w:cs="Arial" w:eastAsia="Arial" w:hAnsi="Arial"/>
          <w:sz w:val="16"/>
          <w:szCs w:val="16"/>
          <w:color w:val="auto"/>
        </w:rPr>
        <w:t>Sublease Agreement, dated February 22, 2006, by and between Teradyne, Inc. and Sonus Networks, Inc. with respect to property located at 7 Technology Park Drive, Westford, Massachusetts</w:t>
      </w:r>
    </w:p>
    <w:p>
      <w:pPr>
        <w:spacing w:after="0" w:line="1" w:lineRule="exact"/>
        <w:rPr>
          <w:sz w:val="20"/>
          <w:szCs w:val="20"/>
          <w:color w:val="auto"/>
        </w:rPr>
      </w:pPr>
    </w:p>
    <w:p>
      <w:pPr>
        <w:ind w:left="1860"/>
        <w:spacing w:after="0"/>
        <w:tabs>
          <w:tab w:leader="none" w:pos="2540" w:val="left"/>
        </w:tabs>
        <w:rPr>
          <w:sz w:val="20"/>
          <w:szCs w:val="20"/>
          <w:color w:val="auto"/>
        </w:rPr>
      </w:pPr>
      <w:r>
        <w:rPr>
          <w:rFonts w:ascii="Arial" w:cs="Arial" w:eastAsia="Arial" w:hAnsi="Arial"/>
          <w:sz w:val="18"/>
          <w:szCs w:val="18"/>
          <w:color w:val="auto"/>
        </w:rPr>
        <w:t>10.7(i)+</w:t>
      </w:r>
      <w:r>
        <w:rPr>
          <w:sz w:val="20"/>
          <w:szCs w:val="20"/>
          <w:color w:val="auto"/>
        </w:rPr>
        <w:tab/>
      </w:r>
      <w:r>
        <w:rPr>
          <w:rFonts w:ascii="Arial" w:cs="Arial" w:eastAsia="Arial" w:hAnsi="Arial"/>
          <w:sz w:val="16"/>
          <w:szCs w:val="16"/>
          <w:color w:val="auto"/>
        </w:rPr>
        <w:t>Form of Consent to Stock Option Amendment</w:t>
      </w:r>
    </w:p>
    <w:p>
      <w:pPr>
        <w:spacing w:after="0" w:line="9" w:lineRule="exact"/>
        <w:rPr>
          <w:sz w:val="20"/>
          <w:szCs w:val="20"/>
          <w:color w:val="auto"/>
        </w:rPr>
      </w:pPr>
    </w:p>
    <w:p>
      <w:pPr>
        <w:ind w:left="2560" w:right="100" w:hanging="711"/>
        <w:spacing w:after="0" w:line="250" w:lineRule="auto"/>
        <w:tabs>
          <w:tab w:leader="none" w:pos="2540" w:val="left"/>
        </w:tabs>
        <w:rPr>
          <w:sz w:val="20"/>
          <w:szCs w:val="20"/>
          <w:color w:val="auto"/>
        </w:rPr>
      </w:pPr>
      <w:r>
        <w:rPr>
          <w:rFonts w:ascii="Arial" w:cs="Arial" w:eastAsia="Arial" w:hAnsi="Arial"/>
          <w:sz w:val="18"/>
          <w:szCs w:val="18"/>
          <w:color w:val="auto"/>
        </w:rPr>
        <w:t>10.8(j)+</w:t>
        <w:tab/>
        <w:t>Separation of Employment Agreement dated September 6, 2007 by and between the Registrant and Ellen B. Richstone</w:t>
      </w:r>
    </w:p>
    <w:p>
      <w:pPr>
        <w:spacing w:after="0" w:line="1"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10.9(k)+ Separation of Employment Agreement dated August 7, 2007 by and between the Registrant and Albert A.</w:t>
      </w:r>
    </w:p>
    <w:p>
      <w:pPr>
        <w:spacing w:after="0" w:line="32"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Notini</w:t>
      </w:r>
    </w:p>
    <w:p>
      <w:pPr>
        <w:spacing w:after="0" w:line="9" w:lineRule="exact"/>
        <w:rPr>
          <w:sz w:val="20"/>
          <w:szCs w:val="20"/>
          <w:color w:val="auto"/>
        </w:rPr>
      </w:pPr>
    </w:p>
    <w:p>
      <w:pPr>
        <w:ind w:left="1760"/>
        <w:spacing w:after="0"/>
        <w:tabs>
          <w:tab w:leader="none" w:pos="2540" w:val="left"/>
        </w:tabs>
        <w:rPr>
          <w:sz w:val="20"/>
          <w:szCs w:val="20"/>
          <w:color w:val="auto"/>
        </w:rPr>
      </w:pPr>
      <w:r>
        <w:rPr>
          <w:rFonts w:ascii="Arial" w:cs="Arial" w:eastAsia="Arial" w:hAnsi="Arial"/>
          <w:sz w:val="18"/>
          <w:szCs w:val="18"/>
          <w:color w:val="auto"/>
        </w:rPr>
        <w:t>10.10(d)</w:t>
      </w:r>
      <w:r>
        <w:rPr>
          <w:sz w:val="20"/>
          <w:szCs w:val="20"/>
          <w:color w:val="auto"/>
        </w:rPr>
        <w:tab/>
      </w:r>
      <w:r>
        <w:rPr>
          <w:rFonts w:ascii="Arial" w:cs="Arial" w:eastAsia="Arial" w:hAnsi="Arial"/>
          <w:sz w:val="15"/>
          <w:szCs w:val="15"/>
          <w:color w:val="auto"/>
        </w:rPr>
        <w:t>2007 Stock Incentive Plan, as amended</w:t>
      </w:r>
    </w:p>
    <w:p>
      <w:pPr>
        <w:spacing w:after="0" w:line="9" w:lineRule="exact"/>
        <w:rPr>
          <w:sz w:val="20"/>
          <w:szCs w:val="20"/>
          <w:color w:val="auto"/>
        </w:rPr>
      </w:pPr>
    </w:p>
    <w:p>
      <w:pPr>
        <w:ind w:left="1780"/>
        <w:spacing w:after="0"/>
        <w:tabs>
          <w:tab w:leader="none" w:pos="2540" w:val="left"/>
        </w:tabs>
        <w:rPr>
          <w:sz w:val="20"/>
          <w:szCs w:val="20"/>
          <w:color w:val="auto"/>
        </w:rPr>
      </w:pPr>
      <w:r>
        <w:rPr>
          <w:rFonts w:ascii="Arial" w:cs="Arial" w:eastAsia="Arial" w:hAnsi="Arial"/>
          <w:sz w:val="18"/>
          <w:szCs w:val="18"/>
          <w:color w:val="auto"/>
        </w:rPr>
        <w:t>10.11(q)</w:t>
      </w:r>
      <w:r>
        <w:rPr>
          <w:sz w:val="20"/>
          <w:szCs w:val="20"/>
          <w:color w:val="auto"/>
        </w:rPr>
        <w:tab/>
      </w:r>
      <w:r>
        <w:rPr>
          <w:rFonts w:ascii="Arial" w:cs="Arial" w:eastAsia="Arial" w:hAnsi="Arial"/>
          <w:sz w:val="15"/>
          <w:szCs w:val="15"/>
          <w:color w:val="auto"/>
        </w:rPr>
        <w:t>Amended and Restated 2000 Employee Stock Purchase Plan of Registrant, effective as of March 31, 2008</w:t>
      </w:r>
    </w:p>
    <w:p>
      <w:pPr>
        <w:spacing w:after="0" w:line="9" w:lineRule="exact"/>
        <w:rPr>
          <w:sz w:val="20"/>
          <w:szCs w:val="20"/>
          <w:color w:val="auto"/>
        </w:rPr>
      </w:pPr>
    </w:p>
    <w:p>
      <w:pPr>
        <w:ind w:left="1760"/>
        <w:spacing w:after="0"/>
        <w:tabs>
          <w:tab w:leader="none" w:pos="2540" w:val="left"/>
        </w:tabs>
        <w:rPr>
          <w:sz w:val="20"/>
          <w:szCs w:val="20"/>
          <w:color w:val="auto"/>
        </w:rPr>
      </w:pPr>
      <w:r>
        <w:rPr>
          <w:rFonts w:ascii="Arial" w:cs="Arial" w:eastAsia="Arial" w:hAnsi="Arial"/>
          <w:sz w:val="18"/>
          <w:szCs w:val="18"/>
          <w:color w:val="auto"/>
        </w:rPr>
        <w:t>10.12(r)</w:t>
      </w:r>
      <w:r>
        <w:rPr>
          <w:sz w:val="20"/>
          <w:szCs w:val="20"/>
          <w:color w:val="auto"/>
        </w:rPr>
        <w:tab/>
      </w:r>
      <w:r>
        <w:rPr>
          <w:rFonts w:ascii="Arial" w:cs="Arial" w:eastAsia="Arial" w:hAnsi="Arial"/>
          <w:sz w:val="16"/>
          <w:szCs w:val="16"/>
          <w:color w:val="auto"/>
        </w:rPr>
        <w:t>Form of Nonstatutory Stock Option Agreement under 2007 Stock Incentive Plan</w:t>
      </w:r>
    </w:p>
    <w:p>
      <w:pPr>
        <w:spacing w:after="0" w:line="9" w:lineRule="exact"/>
        <w:rPr>
          <w:sz w:val="20"/>
          <w:szCs w:val="20"/>
          <w:color w:val="auto"/>
        </w:rPr>
      </w:pPr>
    </w:p>
    <w:p>
      <w:pPr>
        <w:ind w:left="1760"/>
        <w:spacing w:after="0"/>
        <w:tabs>
          <w:tab w:leader="none" w:pos="2540" w:val="left"/>
        </w:tabs>
        <w:rPr>
          <w:sz w:val="20"/>
          <w:szCs w:val="20"/>
          <w:color w:val="auto"/>
        </w:rPr>
      </w:pPr>
      <w:r>
        <w:rPr>
          <w:rFonts w:ascii="Arial" w:cs="Arial" w:eastAsia="Arial" w:hAnsi="Arial"/>
          <w:sz w:val="18"/>
          <w:szCs w:val="18"/>
          <w:color w:val="auto"/>
        </w:rPr>
        <w:t>10.13(r)</w:t>
      </w:r>
      <w:r>
        <w:rPr>
          <w:sz w:val="20"/>
          <w:szCs w:val="20"/>
          <w:color w:val="auto"/>
        </w:rPr>
        <w:tab/>
      </w:r>
      <w:r>
        <w:rPr>
          <w:rFonts w:ascii="Arial" w:cs="Arial" w:eastAsia="Arial" w:hAnsi="Arial"/>
          <w:sz w:val="16"/>
          <w:szCs w:val="16"/>
          <w:color w:val="auto"/>
        </w:rPr>
        <w:t>Form of Restricted Stock Agreement under 2007 Stock Incentive Plan</w:t>
      </w:r>
    </w:p>
    <w:p>
      <w:pPr>
        <w:spacing w:after="0" w:line="9" w:lineRule="exact"/>
        <w:rPr>
          <w:sz w:val="20"/>
          <w:szCs w:val="20"/>
          <w:color w:val="auto"/>
        </w:rPr>
      </w:pPr>
    </w:p>
    <w:p>
      <w:pPr>
        <w:ind w:left="1760"/>
        <w:spacing w:after="0"/>
        <w:tabs>
          <w:tab w:leader="none" w:pos="2540" w:val="left"/>
        </w:tabs>
        <w:rPr>
          <w:sz w:val="20"/>
          <w:szCs w:val="20"/>
          <w:color w:val="auto"/>
        </w:rPr>
      </w:pPr>
      <w:r>
        <w:rPr>
          <w:rFonts w:ascii="Arial" w:cs="Arial" w:eastAsia="Arial" w:hAnsi="Arial"/>
          <w:sz w:val="18"/>
          <w:szCs w:val="18"/>
          <w:color w:val="auto"/>
        </w:rPr>
        <w:t>10.14(l)+</w:t>
      </w:r>
      <w:r>
        <w:rPr>
          <w:sz w:val="20"/>
          <w:szCs w:val="20"/>
          <w:color w:val="auto"/>
        </w:rPr>
        <w:tab/>
      </w:r>
      <w:r>
        <w:rPr>
          <w:rFonts w:ascii="Arial" w:cs="Arial" w:eastAsia="Arial" w:hAnsi="Arial"/>
          <w:sz w:val="15"/>
          <w:szCs w:val="15"/>
          <w:color w:val="auto"/>
        </w:rPr>
        <w:t>Employment Agreement between the Registrant and Richard N. Nottenburg signed on May 16, 2008</w:t>
      </w:r>
    </w:p>
    <w:p>
      <w:pPr>
        <w:spacing w:after="0" w:line="9" w:lineRule="exact"/>
        <w:rPr>
          <w:sz w:val="20"/>
          <w:szCs w:val="20"/>
          <w:color w:val="auto"/>
        </w:rPr>
      </w:pPr>
    </w:p>
    <w:p>
      <w:pPr>
        <w:ind w:left="2560" w:right="440" w:hanging="799"/>
        <w:spacing w:after="0" w:line="250" w:lineRule="auto"/>
        <w:rPr>
          <w:sz w:val="20"/>
          <w:szCs w:val="20"/>
          <w:color w:val="auto"/>
        </w:rPr>
      </w:pPr>
      <w:r>
        <w:rPr>
          <w:rFonts w:ascii="Arial" w:cs="Arial" w:eastAsia="Arial" w:hAnsi="Arial"/>
          <w:sz w:val="18"/>
          <w:szCs w:val="18"/>
          <w:color w:val="auto"/>
        </w:rPr>
        <w:t>10.15(m)+ Executive Severance and Arbitration Agreement between the Registrant and Matthew Dillon signed on October 7, 2008</w:t>
      </w:r>
    </w:p>
    <w:p>
      <w:pPr>
        <w:spacing w:after="0" w:line="1" w:lineRule="exact"/>
        <w:rPr>
          <w:sz w:val="20"/>
          <w:szCs w:val="20"/>
          <w:color w:val="auto"/>
        </w:rPr>
      </w:pPr>
    </w:p>
    <w:p>
      <w:pPr>
        <w:ind w:left="2560" w:right="160" w:hanging="799"/>
        <w:spacing w:after="0" w:line="250" w:lineRule="auto"/>
        <w:rPr>
          <w:sz w:val="20"/>
          <w:szCs w:val="20"/>
          <w:color w:val="auto"/>
        </w:rPr>
      </w:pPr>
      <w:r>
        <w:rPr>
          <w:rFonts w:ascii="Arial" w:cs="Arial" w:eastAsia="Arial" w:hAnsi="Arial"/>
          <w:sz w:val="18"/>
          <w:szCs w:val="18"/>
          <w:color w:val="auto"/>
        </w:rPr>
        <w:t>10.16(m)+ Executive Severance and Arbitration Agreement between the Registrant and Mohammed Shanableh signed on October 7, 2008</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10.17(n)+ Separation of Employment Agreement between the Registrant and Chuba Udokwu signed on October 10,</w:t>
      </w:r>
    </w:p>
    <w:p>
      <w:pPr>
        <w:spacing w:after="0" w:line="32"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2008</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10.18(o)+ Employment Letter between the Registrant and Gurudutt Pai signed on December 11, 2008</w:t>
      </w:r>
    </w:p>
    <w:p>
      <w:pPr>
        <w:spacing w:after="0" w:line="9" w:lineRule="exact"/>
        <w:rPr>
          <w:sz w:val="20"/>
          <w:szCs w:val="20"/>
          <w:color w:val="auto"/>
        </w:rPr>
      </w:pPr>
    </w:p>
    <w:p>
      <w:pPr>
        <w:ind w:left="2560" w:right="360" w:hanging="799"/>
        <w:spacing w:after="0" w:line="250" w:lineRule="auto"/>
        <w:tabs>
          <w:tab w:leader="none" w:pos="2540" w:val="left"/>
        </w:tabs>
        <w:rPr>
          <w:sz w:val="20"/>
          <w:szCs w:val="20"/>
          <w:color w:val="auto"/>
        </w:rPr>
      </w:pPr>
      <w:r>
        <w:rPr>
          <w:rFonts w:ascii="Arial" w:cs="Arial" w:eastAsia="Arial" w:hAnsi="Arial"/>
          <w:sz w:val="18"/>
          <w:szCs w:val="18"/>
          <w:color w:val="auto"/>
        </w:rPr>
        <w:t>10.19(p)</w:t>
        <w:tab/>
        <w:t>Letter Agreement dated January 9, 2009 between on the one hand, the Registrant and, on the other hand, Legatum Capital Limited and certain of its affiliates</w:t>
      </w:r>
    </w:p>
    <w:p>
      <w:pPr>
        <w:spacing w:after="0" w:line="1" w:lineRule="exact"/>
        <w:rPr>
          <w:sz w:val="20"/>
          <w:szCs w:val="20"/>
          <w:color w:val="auto"/>
        </w:rPr>
      </w:pPr>
    </w:p>
    <w:p>
      <w:pPr>
        <w:ind w:left="2560" w:right="200" w:hanging="799"/>
        <w:spacing w:after="0" w:line="250" w:lineRule="auto"/>
        <w:tabs>
          <w:tab w:leader="none" w:pos="2540" w:val="left"/>
        </w:tabs>
        <w:rPr>
          <w:sz w:val="20"/>
          <w:szCs w:val="20"/>
          <w:color w:val="auto"/>
        </w:rPr>
      </w:pPr>
      <w:r>
        <w:rPr>
          <w:rFonts w:ascii="Arial" w:cs="Arial" w:eastAsia="Arial" w:hAnsi="Arial"/>
          <w:sz w:val="18"/>
          <w:szCs w:val="18"/>
          <w:color w:val="auto"/>
        </w:rPr>
        <w:t>10.20*+</w:t>
        <w:tab/>
        <w:t>Amendment to Employment Letter signed February 18, 2010, by and between the Registrant and Gurudutt Pai</w:t>
      </w:r>
    </w:p>
    <w:p>
      <w:pPr>
        <w:spacing w:after="0" w:line="1" w:lineRule="exact"/>
        <w:rPr>
          <w:sz w:val="20"/>
          <w:szCs w:val="20"/>
          <w:color w:val="auto"/>
        </w:rPr>
      </w:pPr>
    </w:p>
    <w:p>
      <w:pPr>
        <w:ind w:left="2560" w:right="700" w:hanging="799"/>
        <w:spacing w:after="0" w:line="261" w:lineRule="auto"/>
        <w:tabs>
          <w:tab w:leader="none" w:pos="2540" w:val="left"/>
        </w:tabs>
        <w:rPr>
          <w:sz w:val="20"/>
          <w:szCs w:val="20"/>
          <w:color w:val="auto"/>
        </w:rPr>
      </w:pPr>
      <w:r>
        <w:rPr>
          <w:rFonts w:ascii="Arial" w:cs="Arial" w:eastAsia="Arial" w:hAnsi="Arial"/>
          <w:sz w:val="18"/>
          <w:szCs w:val="18"/>
          <w:color w:val="auto"/>
        </w:rPr>
        <w:t>10.21*+</w:t>
        <w:tab/>
        <w:t>Executive Severance and Arbitration Agreement between the Registrant and Wayne Pastore, signed October 2, 2008</w:t>
      </w:r>
    </w:p>
    <w:p>
      <w:pPr>
        <w:spacing w:after="0" w:line="19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320"/>
        <w:spacing w:after="0"/>
        <w:tabs>
          <w:tab w:leader="none" w:pos="60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2560" w:right="1240" w:hanging="799"/>
        <w:spacing w:after="0" w:line="249" w:lineRule="auto"/>
        <w:tabs>
          <w:tab w:leader="none" w:pos="2540" w:val="left"/>
        </w:tabs>
        <w:rPr>
          <w:sz w:val="20"/>
          <w:szCs w:val="20"/>
          <w:color w:val="auto"/>
        </w:rPr>
      </w:pPr>
      <w:r>
        <w:rPr>
          <w:rFonts w:ascii="Arial" w:cs="Arial" w:eastAsia="Arial" w:hAnsi="Arial"/>
          <w:sz w:val="18"/>
          <w:szCs w:val="18"/>
          <w:color w:val="auto"/>
        </w:rPr>
        <w:t>10.22*+</w:t>
        <w:tab/>
        <w:t>Amendment to Employment Letter signed February 19, 2010, by and between the Registrant and Wayne Pastore</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10.23(s)+  The Sonus Networks, Inc. Senior Management Cash Incentive Plan, effective as of February 23, 2010</w:t>
      </w:r>
    </w:p>
    <w:p>
      <w:pPr>
        <w:spacing w:after="0" w:line="9" w:lineRule="exact"/>
        <w:rPr>
          <w:sz w:val="20"/>
          <w:szCs w:val="20"/>
          <w:color w:val="auto"/>
        </w:rPr>
      </w:pPr>
    </w:p>
    <w:p>
      <w:pPr>
        <w:ind w:left="1860"/>
        <w:spacing w:after="0"/>
        <w:tabs>
          <w:tab w:leader="none" w:pos="2540" w:val="left"/>
        </w:tabs>
        <w:rPr>
          <w:sz w:val="20"/>
          <w:szCs w:val="20"/>
          <w:color w:val="auto"/>
        </w:rPr>
      </w:pPr>
      <w:r>
        <w:rPr>
          <w:rFonts w:ascii="Arial" w:cs="Arial" w:eastAsia="Arial" w:hAnsi="Arial"/>
          <w:sz w:val="18"/>
          <w:szCs w:val="18"/>
          <w:color w:val="auto"/>
        </w:rPr>
        <w:t>14.1(c)</w:t>
      </w:r>
      <w:r>
        <w:rPr>
          <w:sz w:val="20"/>
          <w:szCs w:val="20"/>
          <w:color w:val="auto"/>
        </w:rPr>
        <w:tab/>
      </w:r>
      <w:r>
        <w:rPr>
          <w:rFonts w:ascii="Arial" w:cs="Arial" w:eastAsia="Arial" w:hAnsi="Arial"/>
          <w:sz w:val="15"/>
          <w:szCs w:val="15"/>
          <w:color w:val="auto"/>
        </w:rPr>
        <w:t>Corporate Code of Conduct and Ethics</w:t>
      </w:r>
    </w:p>
    <w:p>
      <w:pPr>
        <w:spacing w:after="0" w:line="9" w:lineRule="exact"/>
        <w:rPr>
          <w:sz w:val="20"/>
          <w:szCs w:val="20"/>
          <w:color w:val="auto"/>
        </w:rPr>
      </w:pPr>
    </w:p>
    <w:p>
      <w:pPr>
        <w:ind w:left="1860"/>
        <w:spacing w:after="0"/>
        <w:tabs>
          <w:tab w:leader="none" w:pos="25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the Registrant</w:t>
      </w:r>
    </w:p>
    <w:p>
      <w:pPr>
        <w:spacing w:after="0" w:line="9" w:lineRule="exact"/>
        <w:rPr>
          <w:sz w:val="20"/>
          <w:szCs w:val="20"/>
          <w:color w:val="auto"/>
        </w:rPr>
      </w:pPr>
    </w:p>
    <w:p>
      <w:pPr>
        <w:ind w:left="1860"/>
        <w:spacing w:after="0"/>
        <w:tabs>
          <w:tab w:leader="none" w:pos="25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 Deloitte &amp; Touche LLP</w:t>
      </w:r>
    </w:p>
    <w:p>
      <w:pPr>
        <w:spacing w:after="0" w:line="9" w:lineRule="exact"/>
        <w:rPr>
          <w:sz w:val="20"/>
          <w:szCs w:val="20"/>
          <w:color w:val="auto"/>
        </w:rPr>
      </w:pPr>
    </w:p>
    <w:p>
      <w:pPr>
        <w:ind w:left="2560" w:right="1040" w:hanging="711"/>
        <w:spacing w:after="0" w:line="250" w:lineRule="auto"/>
        <w:tabs>
          <w:tab w:leader="none" w:pos="25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Certificate of Sonus Networks, Inc. Chief Executive Officer pursuant to Section 302 of the Sarbanes-Oxley Act of 2002</w:t>
      </w:r>
    </w:p>
    <w:p>
      <w:pPr>
        <w:spacing w:after="0" w:line="1" w:lineRule="exact"/>
        <w:rPr>
          <w:sz w:val="20"/>
          <w:szCs w:val="20"/>
          <w:color w:val="auto"/>
        </w:rPr>
      </w:pPr>
    </w:p>
    <w:p>
      <w:pPr>
        <w:ind w:left="2560" w:right="960" w:hanging="711"/>
        <w:spacing w:after="0" w:line="250" w:lineRule="auto"/>
        <w:tabs>
          <w:tab w:leader="none" w:pos="25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Certificate of Sonus Networks, Inc. Interim Chief Financial Officer pursuant to Section 302 of the Sarbanes-Oxley Act of 2002</w:t>
      </w:r>
    </w:p>
    <w:p>
      <w:pPr>
        <w:spacing w:after="0" w:line="1" w:lineRule="exact"/>
        <w:rPr>
          <w:sz w:val="20"/>
          <w:szCs w:val="20"/>
          <w:color w:val="auto"/>
        </w:rPr>
      </w:pPr>
    </w:p>
    <w:p>
      <w:pPr>
        <w:ind w:left="2560" w:right="1040" w:hanging="711"/>
        <w:spacing w:after="0" w:line="250" w:lineRule="auto"/>
        <w:tabs>
          <w:tab w:leader="none" w:pos="25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Certificate of Sonus Networks, Inc. Chief Executive Officer pursuant to Section 906 of the Sarbanes-Oxley Act of 2002</w:t>
      </w:r>
    </w:p>
    <w:p>
      <w:pPr>
        <w:spacing w:after="0" w:line="1" w:lineRule="exact"/>
        <w:rPr>
          <w:sz w:val="20"/>
          <w:szCs w:val="20"/>
          <w:color w:val="auto"/>
        </w:rPr>
      </w:pPr>
    </w:p>
    <w:p>
      <w:pPr>
        <w:ind w:left="2560" w:right="960" w:hanging="711"/>
        <w:spacing w:after="0" w:line="261" w:lineRule="auto"/>
        <w:tabs>
          <w:tab w:leader="none" w:pos="25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Certificate of Sonus Networks, Inc. Interim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19037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07" w:lineRule="exact"/>
        <w:rPr>
          <w:sz w:val="20"/>
          <w:szCs w:val="20"/>
          <w:color w:val="auto"/>
        </w:rPr>
      </w:pPr>
    </w:p>
    <w:p>
      <w:pPr>
        <w:ind w:left="54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to the Registrant's Registration Statement on Form S-4 (File No. 333-52682).</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to the Registrant's Registration Statement on Form S-1 (File No. 333-32206).</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Incorporated by reference from the Registrant's Form 8-K (File No. 000-30229), filed April 1, 2009 with the SEC, as amended on Registrant's website.</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8-K (File No. 000-30229), filed June 22, 2009 with the SEC.</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8-K (File No. 000-30229), filed June 27, 2008 with the SEC.</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10-Q (File No. 000-30229), filed August 20, 2004 with the SEC.</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8-K (File No. 000-30229), filed December 28, 2005 with the SEC.</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8-K (File No. 000-30229), filed March 9, 2006 with the SEC.</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8-K (File No. 000-30229), filed December 29, 2006 with the SEC.</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8-K (File No. 000-30229), filed September 6, 2007 with the SEC.</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8-K (File No. 000-30229), filed August 7, 2007 with the SEC.</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8-K (File No. 000-30229), filed May 20, 2008 with the SEC.</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8-K (File No. 000-30229), filed October 8, 2008 with the SEC.</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hanging="53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8-K (File No. 000-30229), filed October 10, 2008 with the SEC.</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8-K (File No. 000-30229), filed December 15, 2008 with the SEC.</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8-K (File No. 000-30229), filed January 12, 2009 with the SEC.</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10-K (File No. 000-30229), filed March 6, 2008 with the SEC.</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10-Q (File No. 000-30229), filed May 8, 2008 with the SEC.</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8-K (File No. 001-34115), filed February 24, 2010 with the SEC.</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0" w:lineRule="exact"/>
        <w:rPr>
          <w:sz w:val="20"/>
          <w:szCs w:val="20"/>
          <w:color w:val="auto"/>
        </w:rPr>
      </w:pPr>
    </w:p>
    <w:p>
      <w:pPr>
        <w:spacing w:after="0" w:line="282" w:lineRule="exact"/>
        <w:rPr>
          <w:sz w:val="20"/>
          <w:szCs w:val="20"/>
          <w:color w:val="auto"/>
        </w:rPr>
      </w:pPr>
    </w:p>
    <w:p>
      <w:pPr>
        <w:ind w:left="540" w:hanging="532"/>
        <w:spacing w:after="0"/>
        <w:tabs>
          <w:tab w:leader="none" w:pos="5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 filed in response to Item 15(a)(3) of the Instructions to the Annual Report on Form 10-K.</w:t>
      </w:r>
    </w:p>
    <w:p>
      <w:pPr>
        <w:spacing w:after="0" w:line="248"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31" w:right="599" w:bottom="1440" w:gutter="0" w:footer="0" w:header="0"/>
        </w:sectPr>
      </w:pPr>
    </w:p>
    <w:bookmarkStart w:id="108" w:name="page109"/>
    <w:bookmarkEnd w:id="10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10.20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Mr. Guru Pai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 Technology Park Dr.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Westford, MA 01886</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18,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Guru:</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letter confirms that, effective February 8, 2010 (the “Commencement Date”), you have assumed the role of Executive Vice President and Chief Operating Officer (“COO”) of Sonus, Inc. (the “Company”). Your duties as COO will be as determined by the Chief Executive Officer from time to time. In this position, you will receive:</w:t>
      </w:r>
    </w:p>
    <w:p>
      <w:pPr>
        <w:spacing w:after="0" w:line="181" w:lineRule="exact"/>
        <w:rPr>
          <w:sz w:val="20"/>
          <w:szCs w:val="20"/>
          <w:color w:val="auto"/>
        </w:rPr>
      </w:pPr>
    </w:p>
    <w:p>
      <w:pPr>
        <w:ind w:left="720" w:hanging="712"/>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w:t>
      </w:r>
      <w:r>
        <w:rPr>
          <w:rFonts w:ascii="Arial" w:cs="Arial" w:eastAsia="Arial" w:hAnsi="Arial"/>
          <w:sz w:val="16"/>
          <w:szCs w:val="16"/>
          <w:color w:val="auto"/>
        </w:rPr>
        <w:t>An increase in your base salary from $275,000 to $375,000, effective as of February 8, 2010.</w:t>
      </w:r>
    </w:p>
    <w:p>
      <w:pPr>
        <w:spacing w:after="0" w:line="225" w:lineRule="exact"/>
        <w:rPr>
          <w:rFonts w:ascii="Arial" w:cs="Arial" w:eastAsia="Arial" w:hAnsi="Arial"/>
          <w:sz w:val="18"/>
          <w:szCs w:val="18"/>
          <w:color w:val="auto"/>
        </w:rPr>
      </w:pPr>
    </w:p>
    <w:p>
      <w:pPr>
        <w:ind w:right="480" w:firstLine="8"/>
        <w:spacing w:after="0" w:line="277"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Target Bonus</w:t>
      </w:r>
      <w:r>
        <w:rPr>
          <w:rFonts w:ascii="Arial" w:cs="Arial" w:eastAsia="Arial" w:hAnsi="Arial"/>
          <w:sz w:val="18"/>
          <w:szCs w:val="18"/>
          <w:color w:val="auto"/>
        </w:rPr>
        <w:t>. Subject to the applicable plan or program in effect at the time, a bonus at target equal to seventy percent (70%) of your then current base salary.</w:t>
      </w:r>
    </w:p>
    <w:p>
      <w:pPr>
        <w:spacing w:after="0" w:line="170" w:lineRule="exact"/>
        <w:rPr>
          <w:rFonts w:ascii="Arial" w:cs="Arial" w:eastAsia="Arial" w:hAnsi="Arial"/>
          <w:sz w:val="18"/>
          <w:szCs w:val="18"/>
          <w:color w:val="auto"/>
        </w:rPr>
      </w:pPr>
    </w:p>
    <w:p>
      <w:pPr>
        <w:ind w:right="100" w:firstLine="8"/>
        <w:spacing w:after="0" w:line="288" w:lineRule="auto"/>
        <w:tabs>
          <w:tab w:leader="none" w:pos="72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Stock Option Grants</w:t>
      </w:r>
      <w:r>
        <w:rPr>
          <w:rFonts w:ascii="Arial" w:cs="Arial" w:eastAsia="Arial" w:hAnsi="Arial"/>
          <w:sz w:val="16"/>
          <w:szCs w:val="16"/>
          <w:color w:val="auto"/>
        </w:rPr>
        <w:t>. You will be granted non-qualified options to purchase 365,000 shares of common stock of the Company, $.001 par value per share (the “Common Stock”), under the Company’s 2007 Stock Incentive Plan, as Amended (the “Plan”), subject to the terms of the Plan and the terms of a stock option agreement to be entered into between you and the Company, which shall reflect the terms of this letter. The grant date will be on the earliest</w:t>
      </w:r>
    </w:p>
    <w:p>
      <w:pPr>
        <w:ind w:right="80"/>
        <w:spacing w:after="0" w:line="237" w:lineRule="auto"/>
        <w:rPr>
          <w:rFonts w:ascii="Arial" w:cs="Arial" w:eastAsia="Arial" w:hAnsi="Arial"/>
          <w:sz w:val="16"/>
          <w:szCs w:val="16"/>
          <w:color w:val="auto"/>
        </w:rPr>
      </w:pPr>
      <w:r>
        <w:rPr>
          <w:rFonts w:ascii="Arial" w:cs="Arial" w:eastAsia="Arial" w:hAnsi="Arial"/>
          <w:sz w:val="18"/>
          <w:szCs w:val="18"/>
          <w:color w:val="auto"/>
        </w:rPr>
        <w:t>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the month that next follows the Commencement Date or the first business day thereafter if that day is not a business day or is a bank holiday. The per share exercise price will be the per share closing price of the Common Stock on such grant date. Subject to the provisions of this letter, the option shall vest and become exercisable as follows: (i) 25% of the shares of Common Stock (91,250 shares) shall vest on the first anniversary of the Commencement Date and (ii) the remaining 75% of the shares of Common Stock (273,750 shares) shall vest in equal monthly increments thereafter through the fourth anniversary of the Commencement Date.</w:t>
      </w:r>
    </w:p>
    <w:p>
      <w:pPr>
        <w:spacing w:after="0" w:line="203" w:lineRule="exact"/>
        <w:rPr>
          <w:rFonts w:ascii="Arial" w:cs="Arial" w:eastAsia="Arial" w:hAnsi="Arial"/>
          <w:sz w:val="16"/>
          <w:szCs w:val="16"/>
          <w:color w:val="auto"/>
        </w:rPr>
      </w:pPr>
    </w:p>
    <w:p>
      <w:pPr>
        <w:ind w:left="720" w:hanging="712"/>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Restricted Stock Grants; Performance Stock Grants</w:t>
      </w:r>
      <w:r>
        <w:rPr>
          <w:rFonts w:ascii="Arial" w:cs="Arial" w:eastAsia="Arial" w:hAnsi="Arial"/>
          <w:sz w:val="18"/>
          <w:szCs w:val="18"/>
          <w:color w:val="auto"/>
        </w:rPr>
        <w:t>. You will be granted restricted shares of Common Stock as follows:</w:t>
      </w:r>
    </w:p>
    <w:p>
      <w:pPr>
        <w:spacing w:after="0" w:line="225" w:lineRule="exact"/>
        <w:rPr>
          <w:rFonts w:ascii="Arial" w:cs="Arial" w:eastAsia="Arial" w:hAnsi="Arial"/>
          <w:sz w:val="18"/>
          <w:szCs w:val="18"/>
          <w:color w:val="auto"/>
        </w:rPr>
      </w:pPr>
    </w:p>
    <w:p>
      <w:pPr>
        <w:ind w:right="180" w:firstLine="656"/>
        <w:spacing w:after="0" w:line="279" w:lineRule="auto"/>
        <w:tabs>
          <w:tab w:leader="none" w:pos="1343" w:val="left"/>
        </w:tabs>
        <w:numPr>
          <w:ilvl w:val="1"/>
          <w:numId w:val="51"/>
        </w:numPr>
        <w:rPr>
          <w:rFonts w:ascii="Arial" w:cs="Arial" w:eastAsia="Arial" w:hAnsi="Arial"/>
          <w:sz w:val="16"/>
          <w:szCs w:val="16"/>
          <w:color w:val="auto"/>
        </w:rPr>
      </w:pPr>
      <w:r>
        <w:rPr>
          <w:rFonts w:ascii="Arial" w:cs="Arial" w:eastAsia="Arial" w:hAnsi="Arial"/>
          <w:sz w:val="16"/>
          <w:szCs w:val="16"/>
          <w:color w:val="auto"/>
        </w:rPr>
        <w:t>You will be granted 175,000 restricted shares of Common Stock (the “Restricted Shares”) under the Plan, subject to the terms of the Plan and a restricted stock agreement to be entered into between you and the Company, which shall reflect the terms of this Agreement (the “Restricted Stock Agreement”). The grant date will be on the earliest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a month that next follows the Commencement Date or the first business day thereafter if that day is not a business day or is a bank holiday (the “Restricted Shares Grant Date”). The Restricted Shares shall vest as follows: (i) 25% of the Restricted Shares (43,750 shares) shall vest on the first anniversary of the Commencement Date and (ii) 75% of the Restricted Shares (131,250 shares) shall vest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six equal increments semi-annually thereafter through the fourth anniversary of the Commencement Date.</w:t>
      </w:r>
    </w:p>
    <w:p>
      <w:pPr>
        <w:spacing w:after="0" w:line="225" w:lineRule="exact"/>
        <w:rPr>
          <w:sz w:val="20"/>
          <w:szCs w:val="20"/>
          <w:color w:val="auto"/>
        </w:rPr>
      </w:pPr>
    </w:p>
    <w:p>
      <w:pPr>
        <w:ind w:right="20" w:firstLine="656"/>
        <w:spacing w:after="0" w:line="242" w:lineRule="auto"/>
        <w:tabs>
          <w:tab w:leader="none" w:pos="13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addition to the grant of Restricted Shares, you will also be eligible to receive 175,000 restricted shares of Common Stock (the “Performance Shares”), subject to the terms of the Plan and the Restricted Stock Agreement. The grant of Performance Shares shall be conditioned upon your achievement and/or the Company’s achievement (as determined by the Chief Executive Officer) of certain performance metrics during your employment with the Company. The grant date of Performance Shares, if applicable, will be on the earliest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a month that next follows the month that the performance metrics are determined to have been met, if at all, or the first business day thereafter if that day is not a business day or is a bank holiday. The Performance Shares shall vest in full on the date of such grant.</w:t>
      </w:r>
    </w:p>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You are, and will remain, an employee at will; nothing in this letter constitutes a guaranty of employment for any particular period. Except as modified by this letter, the terms of your employment letter dated December 11, 2008 shall remain in full force and effect.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Kathy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Kathy Harris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VP of Human Resources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Guru Pai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Guru Pai</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2/18/10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14605</wp:posOffset>
            </wp:positionV>
            <wp:extent cx="329311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9311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Sonus Networks, Inc.</w:t>
      </w:r>
    </w:p>
    <w:p>
      <w:pPr>
        <w:spacing w:after="0" w:line="27" w:lineRule="exact"/>
        <w:rPr>
          <w:sz w:val="20"/>
          <w:szCs w:val="20"/>
          <w:color w:val="auto"/>
        </w:rPr>
      </w:pPr>
    </w:p>
    <w:p>
      <w:pPr>
        <w:ind w:left="7980"/>
        <w:spacing w:after="0"/>
        <w:rPr>
          <w:sz w:val="20"/>
          <w:szCs w:val="20"/>
          <w:color w:val="auto"/>
        </w:rPr>
      </w:pPr>
      <w:r>
        <w:rPr>
          <w:rFonts w:ascii="Arial" w:cs="Arial" w:eastAsia="Arial" w:hAnsi="Arial"/>
          <w:sz w:val="16"/>
          <w:szCs w:val="16"/>
          <w:color w:val="auto"/>
        </w:rPr>
        <w:t>7 Technology Park Drive, Westford, MA 01886</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October 2,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Wayne Pastore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Executive Severance and Arbitration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Wayne: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am pleased to provide you this letter (the “</w:t>
      </w:r>
      <w:r>
        <w:rPr>
          <w:rFonts w:ascii="Arial" w:cs="Arial" w:eastAsia="Arial" w:hAnsi="Arial"/>
          <w:sz w:val="18"/>
          <w:szCs w:val="18"/>
          <w:i w:val="1"/>
          <w:iCs w:val="1"/>
          <w:color w:val="auto"/>
        </w:rPr>
        <w:t>Agreement</w:t>
      </w:r>
      <w:r>
        <w:rPr>
          <w:rFonts w:ascii="Arial" w:cs="Arial" w:eastAsia="Arial" w:hAnsi="Arial"/>
          <w:sz w:val="18"/>
          <w:szCs w:val="18"/>
          <w:color w:val="auto"/>
        </w:rPr>
        <w:t>”) pertaining to your relationship with Sonus Networks, Inc. (the “</w:t>
      </w:r>
      <w:r>
        <w:rPr>
          <w:rFonts w:ascii="Arial" w:cs="Arial" w:eastAsia="Arial" w:hAnsi="Arial"/>
          <w:sz w:val="18"/>
          <w:szCs w:val="18"/>
          <w:i w:val="1"/>
          <w:iCs w:val="1"/>
          <w:color w:val="auto"/>
        </w:rPr>
        <w:t>Company</w:t>
      </w:r>
      <w:r>
        <w:rPr>
          <w:rFonts w:ascii="Arial" w:cs="Arial" w:eastAsia="Arial" w:hAnsi="Arial"/>
          <w:sz w:val="18"/>
          <w:szCs w:val="18"/>
          <w:color w:val="auto"/>
        </w:rPr>
        <w:t>”).</w:t>
      </w:r>
    </w:p>
    <w:p>
      <w:pPr>
        <w:spacing w:after="0" w:line="225" w:lineRule="exact"/>
        <w:rPr>
          <w:sz w:val="20"/>
          <w:szCs w:val="20"/>
          <w:color w:val="auto"/>
        </w:rPr>
      </w:pPr>
    </w:p>
    <w:p>
      <w:pPr>
        <w:ind w:right="160" w:firstLine="8"/>
        <w:spacing w:after="0" w:line="342" w:lineRule="auto"/>
        <w:tabs>
          <w:tab w:leader="none" w:pos="720"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Position</w:t>
      </w:r>
      <w:r>
        <w:rPr>
          <w:rFonts w:ascii="Arial" w:cs="Arial" w:eastAsia="Arial" w:hAnsi="Arial"/>
          <w:sz w:val="16"/>
          <w:szCs w:val="16"/>
          <w:color w:val="auto"/>
        </w:rPr>
        <w:t>. You currently serve as the Company’s Vice President of Finance, Corporate Controller and report directly to the Chief Financial Officer. As a full-time employee of the Company, you are expected to devote all of your business time and energies to the business and affairs of the Company.</w:t>
      </w:r>
    </w:p>
    <w:p>
      <w:pPr>
        <w:spacing w:after="0" w:line="123" w:lineRule="exact"/>
        <w:rPr>
          <w:rFonts w:ascii="Arial" w:cs="Arial" w:eastAsia="Arial" w:hAnsi="Arial"/>
          <w:sz w:val="16"/>
          <w:szCs w:val="16"/>
          <w:color w:val="auto"/>
        </w:rPr>
      </w:pPr>
    </w:p>
    <w:p>
      <w:pPr>
        <w:jc w:val="both"/>
        <w:ind w:right="120" w:firstLine="8"/>
        <w:spacing w:after="0" w:line="342" w:lineRule="auto"/>
        <w:tabs>
          <w:tab w:leader="none" w:pos="720"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Nature of Relationship</w:t>
      </w:r>
      <w:r>
        <w:rPr>
          <w:rFonts w:ascii="Arial" w:cs="Arial" w:eastAsia="Arial" w:hAnsi="Arial"/>
          <w:sz w:val="16"/>
          <w:szCs w:val="16"/>
          <w:color w:val="auto"/>
        </w:rPr>
        <w:t>. Your employment is not for any specified period of time. Employment at Sonus Networks, Inc. is “at will” and either you or the Company may terminate the employment relationship at any time and for any reason or no reason upon written notice as described in Section 6 below.</w:t>
      </w:r>
    </w:p>
    <w:p>
      <w:pPr>
        <w:spacing w:after="0" w:line="123" w:lineRule="exact"/>
        <w:rPr>
          <w:rFonts w:ascii="Arial" w:cs="Arial" w:eastAsia="Arial" w:hAnsi="Arial"/>
          <w:sz w:val="16"/>
          <w:szCs w:val="16"/>
          <w:color w:val="auto"/>
        </w:rPr>
      </w:pPr>
    </w:p>
    <w:p>
      <w:pPr>
        <w:ind w:right="80" w:firstLine="8"/>
        <w:spacing w:after="0" w:line="255"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Restricted Stock Grant</w:t>
      </w:r>
      <w:r>
        <w:rPr>
          <w:rFonts w:ascii="Arial" w:cs="Arial" w:eastAsia="Arial" w:hAnsi="Arial"/>
          <w:sz w:val="18"/>
          <w:szCs w:val="18"/>
          <w:color w:val="auto"/>
        </w:rPr>
        <w:t>. On November 15, 2008 (the “</w:t>
      </w:r>
      <w:r>
        <w:rPr>
          <w:rFonts w:ascii="Arial" w:cs="Arial" w:eastAsia="Arial" w:hAnsi="Arial"/>
          <w:sz w:val="18"/>
          <w:szCs w:val="18"/>
          <w:i w:val="1"/>
          <w:iCs w:val="1"/>
          <w:color w:val="auto"/>
        </w:rPr>
        <w:t>Grant Date</w:t>
      </w:r>
      <w:r>
        <w:rPr>
          <w:rFonts w:ascii="Arial" w:cs="Arial" w:eastAsia="Arial" w:hAnsi="Arial"/>
          <w:sz w:val="18"/>
          <w:szCs w:val="18"/>
          <w:color w:val="auto"/>
        </w:rPr>
        <w:t>”), the Company will grant you 26,667 shares of the Company’s common stock $0.001 par value per share (“</w:t>
      </w:r>
      <w:r>
        <w:rPr>
          <w:rFonts w:ascii="Arial" w:cs="Arial" w:eastAsia="Arial" w:hAnsi="Arial"/>
          <w:sz w:val="18"/>
          <w:szCs w:val="18"/>
          <w:i w:val="1"/>
          <w:iCs w:val="1"/>
          <w:color w:val="auto"/>
        </w:rPr>
        <w:t>Restricted Shares</w:t>
      </w:r>
      <w:r>
        <w:rPr>
          <w:rFonts w:ascii="Arial" w:cs="Arial" w:eastAsia="Arial" w:hAnsi="Arial"/>
          <w:sz w:val="18"/>
          <w:szCs w:val="18"/>
          <w:color w:val="auto"/>
        </w:rPr>
        <w:t>”), under the Company’s 2007 Stock Plan, subject to the terms of the Company’s 2007 Stock Plan and the Company’s restricted stock agreement which shall reflect the terms of this Agreement. Provided that you continue in employment with the Company, the Restricted Shares shall vest as follows: (a) 25% of the Restricted Shares (6,667 Restricted Shares) shall vest on September 15, 2009, (b) an additional 25% of the Restricted Shares (6,667 Restricted Shares) shall vest on September 15, 2010, and the final 50% of the Restricted Shares (13,333 Restricted Shares) shall vest on September 15, 2011.</w:t>
      </w:r>
    </w:p>
    <w:p>
      <w:pPr>
        <w:spacing w:after="0" w:line="193" w:lineRule="exact"/>
        <w:rPr>
          <w:rFonts w:ascii="Arial" w:cs="Arial" w:eastAsia="Arial" w:hAnsi="Arial"/>
          <w:sz w:val="18"/>
          <w:szCs w:val="18"/>
          <w:color w:val="auto"/>
        </w:rPr>
      </w:pPr>
    </w:p>
    <w:p>
      <w:pPr>
        <w:ind w:right="40" w:firstLine="8"/>
        <w:spacing w:after="0" w:line="297" w:lineRule="auto"/>
        <w:tabs>
          <w:tab w:leader="none" w:pos="720"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Performance Stock Grant</w:t>
      </w:r>
      <w:r>
        <w:rPr>
          <w:rFonts w:ascii="Arial" w:cs="Arial" w:eastAsia="Arial" w:hAnsi="Arial"/>
          <w:sz w:val="16"/>
          <w:szCs w:val="16"/>
          <w:color w:val="auto"/>
        </w:rPr>
        <w:t>. In addition to the grant of Restricted Shares, you will be entitled to a grant of 13,333 shares of common stock upon the Company’s achieving, during your employment, certain performance metrics for the three fiscal years ended December 31, 2010, 2011 and 2012, as determined by the Compensation Committee of the Board of Directors. You shall be eligible to be granted 1/3 of such performance shares during each of such fiscal years. Subject to the achievement of such performance metrics for each of such fiscal years, a specified number of shares would be granted to you within thirty (30) days of the Company’s reporting of its financial results for such years. Any shares issued shall be fully vested on the date of grant.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3" w:lineRule="exact"/>
        <w:rPr>
          <w:rFonts w:ascii="Arial" w:cs="Arial" w:eastAsia="Arial" w:hAnsi="Arial"/>
          <w:sz w:val="16"/>
          <w:szCs w:val="16"/>
          <w:color w:val="auto"/>
        </w:rPr>
      </w:pPr>
    </w:p>
    <w:p>
      <w:pPr>
        <w:ind w:right="100" w:firstLine="8"/>
        <w:spacing w:after="0" w:line="312" w:lineRule="auto"/>
        <w:tabs>
          <w:tab w:leader="none" w:pos="630"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In the event of a Change in Control (defined below), (i) 100% of all unvested options granted to you to purchase the Company’s common stock shall accelerate and all such options shall immediately become vested and exercisable, and (ii) 100% of all Restricted Shares granted to you shall accelerate and become fully vested and any and all restrictions on such Restricted Shares shall be terminated and any and all legends shall be removed.</w:t>
      </w:r>
    </w:p>
    <w:p>
      <w:pPr>
        <w:spacing w:after="0" w:line="146" w:lineRule="exact"/>
        <w:rPr>
          <w:rFonts w:ascii="Arial" w:cs="Arial" w:eastAsia="Arial" w:hAnsi="Arial"/>
          <w:sz w:val="16"/>
          <w:szCs w:val="16"/>
          <w:color w:val="auto"/>
        </w:rPr>
      </w:pPr>
    </w:p>
    <w:p>
      <w:pPr>
        <w:ind w:right="160" w:firstLine="8"/>
        <w:spacing w:after="0" w:line="264" w:lineRule="auto"/>
        <w:tabs>
          <w:tab w:leader="none" w:pos="63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Termination and Eligibility for Severance</w:t>
      </w:r>
      <w:r>
        <w:rPr>
          <w:rFonts w:ascii="Arial" w:cs="Arial" w:eastAsia="Arial" w:hAnsi="Arial"/>
          <w:sz w:val="18"/>
          <w:szCs w:val="18"/>
          <w:color w:val="auto"/>
        </w:rPr>
        <w:t>. If your employment with the Company is terminated by the Company without Cause (as defined below) or you terminate your employment with the Company for Good Reason (as defined below), the Company will provide you the following severance and related post-termination benefits:</w:t>
      </w:r>
    </w:p>
    <w:p>
      <w:pPr>
        <w:spacing w:after="0" w:line="181" w:lineRule="exact"/>
        <w:rPr>
          <w:rFonts w:ascii="Arial" w:cs="Arial" w:eastAsia="Arial" w:hAnsi="Arial"/>
          <w:sz w:val="18"/>
          <w:szCs w:val="18"/>
          <w:color w:val="auto"/>
        </w:rPr>
      </w:pPr>
    </w:p>
    <w:p>
      <w:pPr>
        <w:ind w:left="1300" w:right="220" w:hanging="644"/>
        <w:spacing w:after="0" w:line="277" w:lineRule="auto"/>
        <w:tabs>
          <w:tab w:leader="none" w:pos="131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 lump sum payment equal to the sum of your then annual base salary and your then target annual bonus, less applicable state and federal withholdings;</w:t>
      </w:r>
    </w:p>
    <w:p>
      <w:pPr>
        <w:spacing w:after="0" w:line="170" w:lineRule="exact"/>
        <w:rPr>
          <w:rFonts w:ascii="Arial" w:cs="Arial" w:eastAsia="Arial" w:hAnsi="Arial"/>
          <w:sz w:val="18"/>
          <w:szCs w:val="18"/>
          <w:color w:val="auto"/>
        </w:rPr>
      </w:pPr>
    </w:p>
    <w:p>
      <w:pPr>
        <w:ind w:left="1300" w:right="340" w:hanging="644"/>
        <w:spacing w:after="0" w:line="297" w:lineRule="auto"/>
        <w:tabs>
          <w:tab w:leader="none" w:pos="1307" w:val="left"/>
        </w:tabs>
        <w:numPr>
          <w:ilvl w:val="1"/>
          <w:numId w:val="53"/>
        </w:numPr>
        <w:rPr>
          <w:rFonts w:ascii="Arial" w:cs="Arial" w:eastAsia="Arial" w:hAnsi="Arial"/>
          <w:sz w:val="16"/>
          <w:szCs w:val="16"/>
          <w:color w:val="auto"/>
        </w:rPr>
      </w:pPr>
      <w:r>
        <w:rPr>
          <w:rFonts w:ascii="Arial" w:cs="Arial" w:eastAsia="Arial" w:hAnsi="Arial"/>
          <w:sz w:val="16"/>
          <w:szCs w:val="16"/>
          <w:color w:val="auto"/>
        </w:rPr>
        <w:t>continuation of payment of the Company’s share of medical, dental and vision insurance premiums for you and your dependents for the twelve (12) month period following the termination of your employment; provided, that if immediately prior to the termination of your employment you were required to contribute towards the cost of such premiums as a condition of receiving such insurance, you may be required to continue contributing towards the cost of such premiums under the same terms and conditions as applied to you and your dependents immediately prior to the termination of your employment in order to receive such continued insurance coverage;</w:t>
      </w:r>
    </w:p>
    <w:p>
      <w:pPr>
        <w:spacing w:after="0" w:line="158" w:lineRule="exact"/>
        <w:rPr>
          <w:rFonts w:ascii="Arial" w:cs="Arial" w:eastAsia="Arial" w:hAnsi="Arial"/>
          <w:sz w:val="16"/>
          <w:szCs w:val="16"/>
          <w:color w:val="auto"/>
        </w:rPr>
      </w:pPr>
    </w:p>
    <w:p>
      <w:pPr>
        <w:ind w:left="1320" w:hanging="664"/>
        <w:spacing w:after="0"/>
        <w:tabs>
          <w:tab w:leader="none" w:pos="13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allowable unreimbursed expenses and any accrued but unused vacation pay owing to you at the time of termination;</w:t>
      </w:r>
    </w:p>
    <w:p>
      <w:pPr>
        <w:spacing w:after="0" w:line="225" w:lineRule="exact"/>
        <w:rPr>
          <w:rFonts w:ascii="Arial" w:cs="Arial" w:eastAsia="Arial" w:hAnsi="Arial"/>
          <w:sz w:val="18"/>
          <w:szCs w:val="18"/>
          <w:color w:val="auto"/>
        </w:rPr>
      </w:pPr>
    </w:p>
    <w:p>
      <w:pPr>
        <w:ind w:left="1300" w:right="20" w:hanging="644"/>
        <w:spacing w:after="0" w:line="259" w:lineRule="auto"/>
        <w:tabs>
          <w:tab w:leader="none" w:pos="1307"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stock options granted to you by the Company to purchase the Company’s common stock that are unvested as of the termination date and would vest during the twelve (12) months following your termination will accelerate and immediately vest and become exercisable upon termination, and your stock options that are or become vested will remain outstanding and exercisable for the shorter of three (3) years following your termination date or the original remaining life of the options; and</w:t>
      </w:r>
    </w:p>
    <w:p>
      <w:pPr>
        <w:spacing w:after="0" w:line="186" w:lineRule="exact"/>
        <w:rPr>
          <w:rFonts w:ascii="Arial" w:cs="Arial" w:eastAsia="Arial" w:hAnsi="Arial"/>
          <w:sz w:val="18"/>
          <w:szCs w:val="18"/>
          <w:color w:val="auto"/>
        </w:rPr>
      </w:pPr>
    </w:p>
    <w:p>
      <w:pPr>
        <w:ind w:left="1300" w:hanging="644"/>
        <w:spacing w:after="0" w:line="264" w:lineRule="auto"/>
        <w:tabs>
          <w:tab w:leader="none" w:pos="131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Restricted Shares granted to you by the Company that are unvested as of the termination date will accelerate and immediately vest upon termination, and any and all restrictions on such Restricted Shares shall be terminated and any and all legends shall be removed so that the shares be and are freely marketable.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-4105275</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provision of the benefits described in Section 6(a), (b), (d) and (e) above shall be contingent upon your execution of a release of all claims of any kind or nature in favor of the Company in a form to be provided by the Company (the “Release Agreement”). The lump sum payment described in Section 6(a) above shall be made after the Company’s receipt of the executed Release Agreement and the expiration of any revocation period described in the Release Agreement. The Company shall have no further obligation to you in the event your employment with the Company terminates at any time, other than those obligations specifically set forth in this Section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238" w:gutter="0" w:footer="0" w:header="0"/>
        </w:sectPr>
      </w:pPr>
    </w:p>
    <w:bookmarkStart w:id="111" w:name="page112"/>
    <w:bookmarkEnd w:id="111"/>
    <w:p>
      <w:pPr>
        <w:ind w:right="420"/>
        <w:spacing w:after="0" w:line="259" w:lineRule="auto"/>
        <w:rPr>
          <w:sz w:val="20"/>
          <w:szCs w:val="20"/>
          <w:color w:val="auto"/>
        </w:rPr>
      </w:pPr>
      <w:r>
        <w:rPr>
          <w:rFonts w:ascii="Arial" w:cs="Arial" w:eastAsia="Arial" w:hAnsi="Arial"/>
          <w:sz w:val="18"/>
          <w:szCs w:val="18"/>
          <w:color w:val="auto"/>
        </w:rPr>
        <w:t>The Company may terminate your employment at any time with or without Cause by written notice to you specifying the date of termination. You may terminate your employment with or without Good Reason by providing written notice to the Company at least thirty (30) days prior to the date of termination. If you seek to terminate your employment for Good Reason, the Company shall have ten (10) business days following its receipt of written notice of termination to cure the circumstance giving rise to Good Reason.</w:t>
      </w:r>
    </w:p>
    <w:p>
      <w:pPr>
        <w:spacing w:after="0" w:line="187" w:lineRule="exact"/>
        <w:rPr>
          <w:sz w:val="20"/>
          <w:szCs w:val="20"/>
          <w:color w:val="auto"/>
        </w:rPr>
      </w:pPr>
    </w:p>
    <w:p>
      <w:pPr>
        <w:ind w:left="640" w:hanging="632"/>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shall have the following meanings: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as used in this Agreement shall have the meaning set forth on Annex A attached hereto.</w:t>
      </w:r>
    </w:p>
    <w:p>
      <w:pPr>
        <w:spacing w:after="0" w:line="225" w:lineRule="exact"/>
        <w:rPr>
          <w:rFonts w:ascii="Arial" w:cs="Arial" w:eastAsia="Arial" w:hAnsi="Arial"/>
          <w:sz w:val="18"/>
          <w:szCs w:val="18"/>
          <w:color w:val="auto"/>
        </w:rPr>
      </w:pPr>
    </w:p>
    <w:p>
      <w:pPr>
        <w:ind w:left="1300" w:right="40" w:hanging="644"/>
        <w:spacing w:after="0" w:line="259" w:lineRule="auto"/>
        <w:tabs>
          <w:tab w:leader="none" w:pos="1307"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Good Reason</w:t>
      </w:r>
      <w:r>
        <w:rPr>
          <w:rFonts w:ascii="Arial" w:cs="Arial" w:eastAsia="Arial" w:hAnsi="Arial"/>
          <w:sz w:val="18"/>
          <w:szCs w:val="18"/>
          <w:color w:val="auto"/>
        </w:rPr>
        <w:t>” as used in this Agreement means the occurrence of any of the following without your consent: (A) a reduction in your annual base salary; (B) the assignment to you of a lower position in the organization in terms of your title, responsibility, authority or status unless agreed to in writing by you, or (C) the relocation of the Company to a location that is more than fifty (50) miles from the Company’s current headquarters location in Westford, MA.</w:t>
      </w:r>
    </w:p>
    <w:p>
      <w:pPr>
        <w:spacing w:after="0" w:line="186" w:lineRule="exact"/>
        <w:rPr>
          <w:rFonts w:ascii="Arial" w:cs="Arial" w:eastAsia="Arial" w:hAnsi="Arial"/>
          <w:sz w:val="18"/>
          <w:szCs w:val="18"/>
          <w:color w:val="auto"/>
        </w:rPr>
      </w:pPr>
    </w:p>
    <w:p>
      <w:pPr>
        <w:ind w:left="1300" w:right="40" w:hanging="644"/>
        <w:spacing w:after="0" w:line="271" w:lineRule="auto"/>
        <w:tabs>
          <w:tab w:leader="none" w:pos="1310" w:val="left"/>
        </w:tabs>
        <w:numPr>
          <w:ilvl w:val="1"/>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Cause</w:t>
      </w:r>
      <w:r>
        <w:rPr>
          <w:rFonts w:ascii="Arial" w:cs="Arial" w:eastAsia="Arial" w:hAnsi="Arial"/>
          <w:sz w:val="17"/>
          <w:szCs w:val="17"/>
          <w:color w:val="auto"/>
        </w:rPr>
        <w:t xml:space="preserve">” as used in this Agreement means the occurrence of any of the following: (i) your indictment for, formal admission to (including a plea of guilty or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or conviction of a felony, a crime of moral turpitude, dishonesty, breach of trust or unethical business conduct, or any crime involving the Company, (ii) gross negligence or willful misconduct by you in the performance of your duties that is likely to have an adverse affect on the Company or its reputation; (iii) your commission of an act of fraud or dishonesty in the performance of your duties; (iv) repeated failure by you to perform your duties which are reasonably and in good faith requested in writing by the Chief Executive Officer of the Company or the Board of Directors of the Company; (v) material breach of this Agreement by you, which you do not cure within ten (10) days following receipt by you of such written notice notifying you of such breach, or material breach by you of any confidentiality agreement with the Company.</w:t>
      </w:r>
    </w:p>
    <w:p>
      <w:pPr>
        <w:spacing w:after="0" w:line="178" w:lineRule="exact"/>
        <w:rPr>
          <w:rFonts w:ascii="Arial" w:cs="Arial" w:eastAsia="Arial" w:hAnsi="Arial"/>
          <w:sz w:val="17"/>
          <w:szCs w:val="17"/>
          <w:color w:val="auto"/>
        </w:rPr>
      </w:pPr>
    </w:p>
    <w:p>
      <w:pPr>
        <w:ind w:right="240" w:firstLine="8"/>
        <w:spacing w:after="0" w:line="259" w:lineRule="auto"/>
        <w:tabs>
          <w:tab w:leader="none" w:pos="63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Tax Implications of Termination Payments</w:t>
      </w:r>
      <w:r>
        <w:rPr>
          <w:rFonts w:ascii="Arial" w:cs="Arial" w:eastAsia="Arial" w:hAnsi="Arial"/>
          <w:sz w:val="18"/>
          <w:szCs w:val="18"/>
          <w:i w:val="1"/>
          <w:iCs w:val="1"/>
          <w:color w:val="auto"/>
        </w:rPr>
        <w:t>.</w:t>
      </w:r>
      <w:r>
        <w:rPr>
          <w:rFonts w:ascii="Arial" w:cs="Arial" w:eastAsia="Arial" w:hAnsi="Arial"/>
          <w:sz w:val="18"/>
          <w:szCs w:val="18"/>
          <w:color w:val="auto"/>
        </w:rPr>
        <w:t xml:space="preserve"> Subject to this Section 8, any payments or benefits under Section 6 shall begin only upon the date of a “separation from service” as defined under Section 409A of the U.S. Internal Revenue Code of 1986, as amended, and the guidance issued thereunder (“Section 409A”), which occurs on or after the date of termination under Section 6. The following rules shall apply with respect to distribution of the payments and benefits, if any, to be provided to you under Section 6:</w:t>
      </w:r>
    </w:p>
    <w:p>
      <w:pPr>
        <w:spacing w:after="0" w:line="186" w:lineRule="exact"/>
        <w:rPr>
          <w:rFonts w:ascii="Arial" w:cs="Arial" w:eastAsia="Arial" w:hAnsi="Arial"/>
          <w:sz w:val="18"/>
          <w:szCs w:val="18"/>
          <w:color w:val="auto"/>
        </w:rPr>
      </w:pPr>
    </w:p>
    <w:p>
      <w:pPr>
        <w:ind w:left="1300" w:right="260" w:hanging="644"/>
        <w:spacing w:after="0" w:line="264" w:lineRule="auto"/>
        <w:tabs>
          <w:tab w:leader="none" w:pos="131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It is intended that each installment of the payments and benefits provided under Section 6 shall be treated as a separate “payment” for purposes of Section 409A. Neither the Company nor you shall have the right to accelerate or defer the delivery of any such payments or benefits except to the extent specifically permitted or required by Section 409A.</w:t>
      </w:r>
    </w:p>
    <w:p>
      <w:pPr>
        <w:spacing w:after="0" w:line="181" w:lineRule="exact"/>
        <w:rPr>
          <w:rFonts w:ascii="Arial" w:cs="Arial" w:eastAsia="Arial" w:hAnsi="Arial"/>
          <w:sz w:val="18"/>
          <w:szCs w:val="18"/>
          <w:color w:val="auto"/>
        </w:rPr>
      </w:pPr>
    </w:p>
    <w:p>
      <w:pPr>
        <w:ind w:left="1300" w:right="400" w:hanging="644"/>
        <w:spacing w:after="0" w:line="342" w:lineRule="auto"/>
        <w:tabs>
          <w:tab w:leader="none" w:pos="1307" w:val="left"/>
        </w:tabs>
        <w:numPr>
          <w:ilvl w:val="1"/>
          <w:numId w:val="54"/>
        </w:numPr>
        <w:rPr>
          <w:rFonts w:ascii="Arial" w:cs="Arial" w:eastAsia="Arial" w:hAnsi="Arial"/>
          <w:sz w:val="16"/>
          <w:szCs w:val="16"/>
          <w:color w:val="auto"/>
        </w:rPr>
      </w:pPr>
      <w:r>
        <w:rPr>
          <w:rFonts w:ascii="Arial" w:cs="Arial" w:eastAsia="Arial" w:hAnsi="Arial"/>
          <w:sz w:val="16"/>
          <w:szCs w:val="16"/>
          <w:color w:val="auto"/>
        </w:rPr>
        <w:t>If, as of the date of your “separation from service” with the Company, you are not a “specified employee” (each within the meaning of Section 409A), then each installment of the payments and benefits shall be made on the dates and terms set forth in Section 6; and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1300" w:right="820" w:hanging="644"/>
        <w:spacing w:after="0" w:line="277" w:lineRule="auto"/>
        <w:tabs>
          <w:tab w:leader="none" w:pos="131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If, as of the date of your “separation from service” with the Company, you are a “specified employee” (each, for purposes of this Agreement, within the meaning of Section 409A), then:</w:t>
      </w:r>
    </w:p>
    <w:p>
      <w:pPr>
        <w:spacing w:after="0" w:line="170" w:lineRule="exact"/>
        <w:rPr>
          <w:rFonts w:ascii="Arial" w:cs="Arial" w:eastAsia="Arial" w:hAnsi="Arial"/>
          <w:sz w:val="18"/>
          <w:szCs w:val="18"/>
          <w:color w:val="auto"/>
        </w:rPr>
      </w:pPr>
    </w:p>
    <w:p>
      <w:pPr>
        <w:ind w:left="1960" w:right="60" w:hanging="655"/>
        <w:spacing w:after="0" w:line="255" w:lineRule="auto"/>
        <w:tabs>
          <w:tab w:leader="none" w:pos="1981" w:val="left"/>
        </w:tabs>
        <w:numPr>
          <w:ilvl w:val="2"/>
          <w:numId w:val="54"/>
        </w:numPr>
        <w:rPr>
          <w:rFonts w:ascii="Arial" w:cs="Arial" w:eastAsia="Arial" w:hAnsi="Arial"/>
          <w:sz w:val="18"/>
          <w:szCs w:val="18"/>
          <w:color w:val="auto"/>
        </w:rPr>
      </w:pPr>
      <w:r>
        <w:rPr>
          <w:rFonts w:ascii="Arial" w:cs="Arial" w:eastAsia="Arial" w:hAnsi="Arial"/>
          <w:sz w:val="18"/>
          <w:szCs w:val="18"/>
          <w:color w:val="auto"/>
        </w:rPr>
        <w:t>Each installment of the payments and benefits due under Section 6 that, in accordance with the dates and terms set forth herein, will in all circumstances, regardless of when the separation from service occurs, be paid within the Short-Term Deferral Period (as hereinafter defined) shall be treated as a short-term deferral within the meaning of Treasury Regulation Section 1.409A-1(b)(4) to the maximum extent permissible under Section 409A. For purposes of this Agreement, the “Short-Term Deferral Period” means the period ending on the later of the 15th day of the third month following the end of the tax year in which your separation from service occurs and the 15th day of the third month following the end of the Company’s tax year in which your separation from service occurs; and</w:t>
      </w:r>
    </w:p>
    <w:p>
      <w:pPr>
        <w:spacing w:after="0" w:line="189" w:lineRule="exact"/>
        <w:rPr>
          <w:rFonts w:ascii="Arial" w:cs="Arial" w:eastAsia="Arial" w:hAnsi="Arial"/>
          <w:sz w:val="18"/>
          <w:szCs w:val="18"/>
          <w:color w:val="auto"/>
        </w:rPr>
      </w:pPr>
    </w:p>
    <w:p>
      <w:pPr>
        <w:ind w:left="1960" w:hanging="655"/>
        <w:spacing w:after="0" w:line="283" w:lineRule="auto"/>
        <w:tabs>
          <w:tab w:leader="none" w:pos="1991" w:val="left"/>
        </w:tabs>
        <w:numPr>
          <w:ilvl w:val="2"/>
          <w:numId w:val="54"/>
        </w:numPr>
        <w:rPr>
          <w:rFonts w:ascii="Arial" w:cs="Arial" w:eastAsia="Arial" w:hAnsi="Arial"/>
          <w:sz w:val="16"/>
          <w:szCs w:val="16"/>
          <w:color w:val="auto"/>
        </w:rPr>
      </w:pPr>
      <w:r>
        <w:rPr>
          <w:rFonts w:ascii="Arial" w:cs="Arial" w:eastAsia="Arial" w:hAnsi="Arial"/>
          <w:sz w:val="16"/>
          <w:szCs w:val="16"/>
          <w:color w:val="auto"/>
        </w:rPr>
        <w:t>Each installment of the payments and benefits due under Section 6 that is not paid within the Short-Term Deferral Period or otherwise cannot be treated as a short-term deferral within the meaning of Treasury Regulation Section 1.409A-1(b)(4) and that would, absent this subsection, be paid within the six-month period following your “separation from service” with the Company shall not be paid until the date that is six months and one day after such separation from service (or, if earlier, your death), with any such installments that are required to be delayed being accumulated during the six-month period and paid in a lump sum on the date that is six months and one day following your separation from service and any subsequent installments, if any, being paid in accordance with the dates and terms set forth herein; provided, however, that the preceding provisions of this sentence shall not apply to any installment of payments if and to the maximum extent that that such installment is deemed to be paid under a separation pay plan that does not provide for a deferral of compensation by reason of the application of Treasury Regulation</w:t>
      </w:r>
    </w:p>
    <w:p>
      <w:pPr>
        <w:spacing w:after="0" w:line="6" w:lineRule="exact"/>
        <w:rPr>
          <w:rFonts w:ascii="Arial" w:cs="Arial" w:eastAsia="Arial" w:hAnsi="Arial"/>
          <w:sz w:val="16"/>
          <w:szCs w:val="16"/>
          <w:color w:val="auto"/>
        </w:rPr>
      </w:pPr>
    </w:p>
    <w:p>
      <w:pPr>
        <w:jc w:val="both"/>
        <w:ind w:left="1960" w:right="80"/>
        <w:spacing w:after="0" w:line="255" w:lineRule="auto"/>
        <w:rPr>
          <w:rFonts w:ascii="Arial" w:cs="Arial" w:eastAsia="Arial" w:hAnsi="Arial"/>
          <w:sz w:val="16"/>
          <w:szCs w:val="16"/>
          <w:color w:val="auto"/>
        </w:rPr>
      </w:pPr>
      <w:r>
        <w:rPr>
          <w:rFonts w:ascii="Arial" w:cs="Arial" w:eastAsia="Arial" w:hAnsi="Arial"/>
          <w:sz w:val="18"/>
          <w:szCs w:val="18"/>
          <w:color w:val="auto"/>
        </w:rPr>
        <w:t>1.409A-1(b)(9)(iii) (relating to separation pay upon an involuntary separation from service). Any installments that qualify for the exception under Treasury Regulation Section 1.409A-1(b)(9)(iii) must be paid no later than the last day of the second taxable year of following the taxable year of in which your separation from service occurs.</w:t>
      </w:r>
    </w:p>
    <w:p>
      <w:pPr>
        <w:spacing w:after="0" w:line="190" w:lineRule="exact"/>
        <w:rPr>
          <w:rFonts w:ascii="Arial" w:cs="Arial" w:eastAsia="Arial" w:hAnsi="Arial"/>
          <w:sz w:val="16"/>
          <w:szCs w:val="16"/>
          <w:color w:val="auto"/>
        </w:rPr>
      </w:pPr>
    </w:p>
    <w:p>
      <w:pPr>
        <w:ind w:right="200" w:firstLine="8"/>
        <w:spacing w:after="0" w:line="276" w:lineRule="auto"/>
        <w:tabs>
          <w:tab w:leader="none" w:pos="720"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Section 409A of the Code</w:t>
      </w:r>
      <w:r>
        <w:rPr>
          <w:rFonts w:ascii="Arial" w:cs="Arial" w:eastAsia="Arial" w:hAnsi="Arial"/>
          <w:sz w:val="17"/>
          <w:szCs w:val="17"/>
          <w:color w:val="auto"/>
        </w:rPr>
        <w:t>. This Agreement is intended to comply with the provisions of Section 409A and the Agreement shall, to the extent practicable, be construed in accordance therewith. Terms defined in the Agreement shall have the meanings given such terms under Section 409A if and to the extent required in order to comply with Section 409A. Notwithstanding the foregoing, to the extent that the Agreement or any payment or benefit hereunder shall be deemed not to comply with Section 409A, then neither the Company, the Board of Directors nor its or their designees or agents shall be liable to you or any other person for any actions, decisions or determinations made in good faith.</w:t>
      </w:r>
    </w:p>
    <w:p>
      <w:pPr>
        <w:spacing w:after="0" w:line="172" w:lineRule="exact"/>
        <w:rPr>
          <w:rFonts w:ascii="Arial" w:cs="Arial" w:eastAsia="Arial" w:hAnsi="Arial"/>
          <w:sz w:val="17"/>
          <w:szCs w:val="17"/>
          <w:color w:val="auto"/>
        </w:rPr>
      </w:pPr>
    </w:p>
    <w:p>
      <w:pPr>
        <w:ind w:right="120" w:firstLine="8"/>
        <w:spacing w:after="0" w:line="308" w:lineRule="auto"/>
        <w:tabs>
          <w:tab w:leader="none" w:pos="720"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Section 83(b) Election and Withholding Taxes</w:t>
      </w:r>
      <w:r>
        <w:rPr>
          <w:rFonts w:ascii="Arial" w:cs="Arial" w:eastAsia="Arial" w:hAnsi="Arial"/>
          <w:sz w:val="17"/>
          <w:szCs w:val="17"/>
          <w:color w:val="auto"/>
        </w:rPr>
        <w:t>. You may elect under Section 83(b) of the Internal Revenue Code of 1986, as amended, to be taxed at the time the Restricted Shares are acquired on the Grant Date (“Section 83(b) Election”). A Section 83(b) Election, if made, must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-4813300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84" w:right="259" w:bottom="426" w:gutter="0" w:footer="0" w:header="0"/>
        </w:sectPr>
      </w:pPr>
    </w:p>
    <w:bookmarkStart w:id="112" w:name="page113"/>
    <w:bookmarkEnd w:id="112"/>
    <w:p>
      <w:pPr>
        <w:spacing w:after="0"/>
        <w:rPr>
          <w:sz w:val="20"/>
          <w:szCs w:val="20"/>
          <w:color w:val="auto"/>
        </w:rPr>
      </w:pPr>
      <w:r>
        <w:rPr>
          <w:rFonts w:ascii="Arial" w:cs="Arial" w:eastAsia="Arial" w:hAnsi="Arial"/>
          <w:sz w:val="17"/>
          <w:szCs w:val="17"/>
          <w:color w:val="auto"/>
        </w:rPr>
        <w:t>be filed with the Internal Revenue Service within thirty (30) days of the Grant Date. You are obligated to pay to the Company the amount of any federal,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state, local or other taxes of any kind required by law to be withheld with respect to the granting (if a Section 83(b) Election is made) or vesting (if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83(b) Election is not made) of the shares. If you do not make a Section 83(b) Election, you shall satisfy such tax withholding obligations by delivery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Company, on each date on which shares vest, such number of shares that vest on such date as have a fair market value (calculated using the last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reported sale price of the common stock of the Company on the NASDAQ Global Select Market on the trading date immediately prior to such vesting date)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equal to the amount of the Company’s withholding obligation; provided, however, that the total tax withholding cannot exceed the Company’s minimum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statutory withholding obligations (based on minimum statutory withholding rates for federal and state tax purposes, including payroll taxes, that 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applicable to such supplemental taxable income). Such delivery of shares to the Company shall be deemed to happen automatically, without any action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required on your part, and the Company is hereby authorized to take such actions as are necessary to effect such delivery of shares to the Company.</w:t>
      </w:r>
    </w:p>
    <w:p>
      <w:pPr>
        <w:spacing w:after="0" w:line="222" w:lineRule="exact"/>
        <w:rPr>
          <w:sz w:val="20"/>
          <w:szCs w:val="20"/>
          <w:color w:val="auto"/>
        </w:rPr>
      </w:pPr>
    </w:p>
    <w:p>
      <w:pPr>
        <w:ind w:left="680" w:hanging="672"/>
        <w:spacing w:after="0"/>
        <w:tabs>
          <w:tab w:leader="none" w:pos="680"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This Agreement is personal in nature and neither of the parties hereto shall, without the written consent of the other, assign or</w:t>
      </w:r>
    </w:p>
    <w:p>
      <w:pPr>
        <w:spacing w:after="0" w:line="34" w:lineRule="exact"/>
        <w:rPr>
          <w:rFonts w:ascii="Arial" w:cs="Arial" w:eastAsia="Arial" w:hAnsi="Arial"/>
          <w:sz w:val="17"/>
          <w:szCs w:val="17"/>
          <w:color w:val="auto"/>
        </w:rPr>
      </w:pPr>
    </w:p>
    <w:p>
      <w:pPr>
        <w:jc w:val="both"/>
        <w:ind w:right="20"/>
        <w:spacing w:after="0" w:line="302" w:lineRule="auto"/>
        <w:rPr>
          <w:rFonts w:ascii="Arial" w:cs="Arial" w:eastAsia="Arial" w:hAnsi="Arial"/>
          <w:sz w:val="17"/>
          <w:szCs w:val="17"/>
          <w:color w:val="auto"/>
        </w:rPr>
      </w:pPr>
      <w:r>
        <w:rPr>
          <w:rFonts w:ascii="Arial" w:cs="Arial" w:eastAsia="Arial" w:hAnsi="Arial"/>
          <w:sz w:val="16"/>
          <w:szCs w:val="16"/>
          <w:color w:val="auto"/>
        </w:rPr>
        <w:t>otherwise transfer this Agreement or its obligations, duties and rights under this Agreement; provided, however, that in the event of the merger, consolidation, transfer or sale of all or substantially all of the assets of the Company, this Agreement shall, subject to the provisions hereof, be binding upon and inure to the benefit of such successor and such successor shall discharge and perform all of the promises, covenants, duties and obligations of the Company hereunder.</w:t>
      </w:r>
    </w:p>
    <w:p>
      <w:pPr>
        <w:spacing w:after="0" w:line="155" w:lineRule="exact"/>
        <w:rPr>
          <w:rFonts w:ascii="Arial" w:cs="Arial" w:eastAsia="Arial" w:hAnsi="Arial"/>
          <w:sz w:val="17"/>
          <w:szCs w:val="17"/>
          <w:color w:val="auto"/>
        </w:rPr>
      </w:pPr>
    </w:p>
    <w:p>
      <w:pPr>
        <w:ind w:left="680" w:hanging="672"/>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100" w:hanging="644"/>
        <w:spacing w:after="0" w:line="279" w:lineRule="auto"/>
        <w:tabs>
          <w:tab w:leader="none" w:pos="1310" w:val="left"/>
        </w:tabs>
        <w:numPr>
          <w:ilvl w:val="1"/>
          <w:numId w:val="55"/>
        </w:numPr>
        <w:rPr>
          <w:rFonts w:ascii="Arial" w:cs="Arial" w:eastAsia="Arial" w:hAnsi="Arial"/>
          <w:sz w:val="17"/>
          <w:szCs w:val="17"/>
          <w:color w:val="auto"/>
        </w:rPr>
      </w:pPr>
      <w:r>
        <w:rPr>
          <w:rFonts w:ascii="Arial" w:cs="Arial" w:eastAsia="Arial" w:hAnsi="Arial"/>
          <w:sz w:val="17"/>
          <w:szCs w:val="17"/>
          <w:u w:val="single" w:color="auto"/>
          <w:color w:val="auto"/>
        </w:rPr>
        <w:t>Entire Agreement; Modification</w:t>
      </w:r>
      <w:r>
        <w:rPr>
          <w:rFonts w:ascii="Arial" w:cs="Arial" w:eastAsia="Arial" w:hAnsi="Arial"/>
          <w:sz w:val="17"/>
          <w:szCs w:val="17"/>
          <w:i w:val="1"/>
          <w:iCs w:val="1"/>
          <w:color w:val="auto"/>
        </w:rPr>
        <w:t>.</w:t>
      </w:r>
      <w:r>
        <w:rPr>
          <w:rFonts w:ascii="Arial" w:cs="Arial" w:eastAsia="Arial" w:hAnsi="Arial"/>
          <w:sz w:val="17"/>
          <w:szCs w:val="17"/>
          <w:color w:val="auto"/>
        </w:rPr>
        <w:t xml:space="preserve"> This Agreement contains the entire agreement of the parties relating to the subject matter hereof, and the parties hereto have made no agreements, representations or warranties relating to the subject matter of this Agreement that are not set forth otherwise herein. This Agreement supersedes any and all prior agreements, written or oral, between you and the Company. No modification of this Agreement shall be valid unless made in writing and signed by the parties hereto.</w:t>
      </w:r>
    </w:p>
    <w:p>
      <w:pPr>
        <w:spacing w:after="0" w:line="171" w:lineRule="exact"/>
        <w:rPr>
          <w:rFonts w:ascii="Arial" w:cs="Arial" w:eastAsia="Arial" w:hAnsi="Arial"/>
          <w:sz w:val="17"/>
          <w:szCs w:val="17"/>
          <w:color w:val="auto"/>
        </w:rPr>
      </w:pPr>
    </w:p>
    <w:p>
      <w:pPr>
        <w:ind w:left="1300" w:hanging="644"/>
        <w:spacing w:after="0" w:line="342" w:lineRule="auto"/>
        <w:tabs>
          <w:tab w:leader="none" w:pos="1307"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Severable Provisions</w:t>
      </w:r>
      <w:r>
        <w:rPr>
          <w:rFonts w:ascii="Arial" w:cs="Arial" w:eastAsia="Arial" w:hAnsi="Arial"/>
          <w:sz w:val="16"/>
          <w:szCs w:val="16"/>
          <w:color w:val="auto"/>
        </w:rPr>
        <w:t>. This provisions of this Agreement are severable and if any one or more provisions may be determined to be illegal or otherwise unenforceable, in whole or in part, the remaining provisions of the Agreement shall nevertheless be binding and enforceable.</w:t>
      </w:r>
    </w:p>
    <w:p>
      <w:pPr>
        <w:spacing w:after="0" w:line="123" w:lineRule="exact"/>
        <w:rPr>
          <w:rFonts w:ascii="Arial" w:cs="Arial" w:eastAsia="Arial" w:hAnsi="Arial"/>
          <w:sz w:val="16"/>
          <w:szCs w:val="16"/>
          <w:color w:val="auto"/>
        </w:rPr>
      </w:pPr>
    </w:p>
    <w:p>
      <w:pPr>
        <w:ind w:left="1300" w:right="1080" w:hanging="644"/>
        <w:spacing w:after="0" w:line="277" w:lineRule="auto"/>
        <w:tabs>
          <w:tab w:leader="none" w:pos="1310"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interpreted in accordance with the laws of the Commonwealth of Massachusetts, without regard to the conflict of laws provisions hereof.</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right="60" w:hanging="655"/>
        <w:spacing w:after="0" w:line="259" w:lineRule="auto"/>
        <w:tabs>
          <w:tab w:leader="none" w:pos="1981" w:val="left"/>
        </w:tabs>
        <w:numPr>
          <w:ilvl w:val="2"/>
          <w:numId w:val="55"/>
        </w:numPr>
        <w:rPr>
          <w:rFonts w:ascii="Arial" w:cs="Arial" w:eastAsia="Arial" w:hAnsi="Arial"/>
          <w:sz w:val="18"/>
          <w:szCs w:val="18"/>
          <w:color w:val="auto"/>
        </w:rPr>
      </w:pPr>
      <w:r>
        <w:rPr>
          <w:rFonts w:ascii="Arial" w:cs="Arial" w:eastAsia="Arial" w:hAnsi="Arial"/>
          <w:sz w:val="18"/>
          <w:szCs w:val="18"/>
          <w:color w:val="auto"/>
        </w:rPr>
        <w:t>Any controversy, dispute or claim arising out of or relating to this Agreement or the breach hereof which cannot be settled by mutual agreement will be finally settled by binding arbitration in Massachusetts under the jurisdiction of the American Arbitration Association, before a single arbitrator appointed in accordance with the arbitration rules of the American Arbitration Association, modified only as herein expressly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provided. The arbitrator may enter a default decision against any party who fails to participate in the arbitration proceedings.</w:t>
      </w:r>
    </w:p>
    <w:p>
      <w:pPr>
        <w:spacing w:after="0" w:line="237" w:lineRule="exact"/>
        <w:rPr>
          <w:sz w:val="20"/>
          <w:szCs w:val="20"/>
          <w:color w:val="auto"/>
        </w:rPr>
      </w:pPr>
    </w:p>
    <w:p>
      <w:pPr>
        <w:ind w:left="1960" w:right="180" w:hanging="655"/>
        <w:spacing w:after="0" w:line="277" w:lineRule="auto"/>
        <w:tabs>
          <w:tab w:leader="none" w:pos="199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decision of the arbitrator on the points in dispute will be final, non-appealable and binding, and judgment on the award may be entered in any court having jurisdiction thereof.</w:t>
      </w:r>
    </w:p>
    <w:p>
      <w:pPr>
        <w:spacing w:after="0" w:line="170" w:lineRule="exact"/>
        <w:rPr>
          <w:rFonts w:ascii="Arial" w:cs="Arial" w:eastAsia="Arial" w:hAnsi="Arial"/>
          <w:sz w:val="18"/>
          <w:szCs w:val="18"/>
          <w:color w:val="auto"/>
        </w:rPr>
      </w:pPr>
    </w:p>
    <w:p>
      <w:pPr>
        <w:ind w:left="1960" w:right="140" w:hanging="655"/>
        <w:spacing w:after="0" w:line="277" w:lineRule="auto"/>
        <w:tabs>
          <w:tab w:leader="none" w:pos="2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fees and expenses of the arbitrator will be shared equally by the parties, and each party will bear the fees and expenses of its own attorney.</w:t>
      </w:r>
    </w:p>
    <w:p>
      <w:pPr>
        <w:spacing w:after="0" w:line="170" w:lineRule="exact"/>
        <w:rPr>
          <w:rFonts w:ascii="Arial" w:cs="Arial" w:eastAsia="Arial" w:hAnsi="Arial"/>
          <w:sz w:val="18"/>
          <w:szCs w:val="18"/>
          <w:color w:val="auto"/>
        </w:rPr>
      </w:pPr>
    </w:p>
    <w:p>
      <w:pPr>
        <w:ind w:left="1960" w:right="180" w:hanging="655"/>
        <w:spacing w:after="0" w:line="273" w:lineRule="auto"/>
        <w:tabs>
          <w:tab w:leader="none" w:pos="1977"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parties agree that this Section 12(d) has been included to resolve any disputes between them with respect to this Agreement, and that this Section 12(d) will be grounds for dismissal of any court action commenced by either party with respect to this Agreement, other than post-arbitration actions seeking to enforce an arbitration award or actions seeking an injunction or temporary restraining order. In the event that any court determines that this arbitration procedure is not binding, or otherwise allows any litigation regarding a dispute, claim, or controversy covered by this Agreement to proceed, the parties hereto hereby waive any and all right to a trial by jury in or with respect to such litigation.</w:t>
      </w:r>
    </w:p>
    <w:p>
      <w:pPr>
        <w:spacing w:after="0" w:line="178" w:lineRule="exact"/>
        <w:rPr>
          <w:rFonts w:ascii="Arial" w:cs="Arial" w:eastAsia="Arial" w:hAnsi="Arial"/>
          <w:sz w:val="17"/>
          <w:szCs w:val="17"/>
          <w:color w:val="auto"/>
        </w:rPr>
      </w:pPr>
    </w:p>
    <w:p>
      <w:pPr>
        <w:ind w:left="1960" w:right="420" w:hanging="655"/>
        <w:spacing w:after="0" w:line="308" w:lineRule="auto"/>
        <w:tabs>
          <w:tab w:leader="none" w:pos="1967"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parties will keep confidential, and will not disclose to any person, except as may be required by law, the existence of any controversy hereunder, the referral of any such controversy to arbitration or the status or resolution thereof.</w:t>
      </w:r>
    </w:p>
    <w:p>
      <w:pPr>
        <w:spacing w:after="0" w:line="147" w:lineRule="exact"/>
        <w:rPr>
          <w:sz w:val="20"/>
          <w:szCs w:val="20"/>
          <w:color w:val="auto"/>
        </w:rPr>
      </w:pPr>
    </w:p>
    <w:p>
      <w:pPr>
        <w:ind w:left="1300" w:right="20" w:hanging="644"/>
        <w:spacing w:after="0" w:line="288" w:lineRule="auto"/>
        <w:tabs>
          <w:tab w:leader="none" w:pos="131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i w:val="1"/>
          <w:iCs w:val="1"/>
          <w:color w:val="auto"/>
        </w:rPr>
        <w:t>.</w:t>
      </w:r>
      <w:r>
        <w:rPr>
          <w:rFonts w:ascii="Arial" w:cs="Arial" w:eastAsia="Arial" w:hAnsi="Arial"/>
          <w:sz w:val="16"/>
          <w:szCs w:val="16"/>
          <w:color w:val="auto"/>
        </w:rPr>
        <w:t xml:space="preserve"> All notices shall be in writing and shall be delivered personally (including by courier), sent by facsimile transmission (with appropriate documented receipt thereof), by overnight receipted courier service (such as UPS or FedEx) or sent by certified, registered or express mail, postage prepaid, to the Company at the following address: Chief Executive Officer, Sonus Networks, Inc., 7 Technology Park</w:t>
      </w:r>
    </w:p>
    <w:p>
      <w:pPr>
        <w:ind w:left="1300" w:right="100"/>
        <w:spacing w:after="0" w:line="254" w:lineRule="auto"/>
        <w:rPr>
          <w:sz w:val="20"/>
          <w:szCs w:val="20"/>
          <w:color w:val="auto"/>
        </w:rPr>
      </w:pPr>
      <w:r>
        <w:rPr>
          <w:rFonts w:ascii="Arial" w:cs="Arial" w:eastAsia="Arial" w:hAnsi="Arial"/>
          <w:sz w:val="18"/>
          <w:szCs w:val="18"/>
          <w:color w:val="auto"/>
        </w:rPr>
        <w:t>Drive, Westford, MA 01886, and to you at the following address: . Any such notice shall be deemed given when so delivered personally, or if sent by facsimile transmission, when transmitted, or, if by certified, registered or express mail, postage prepaid mailed, forty-eight (48) hours after the date of deposit in the mail. Any party may, by notice given in accordance with this paragraph to the other party, designate another address or person for receipt of notices hereunder.</w:t>
      </w:r>
    </w:p>
    <w:p>
      <w:pPr>
        <w:spacing w:after="0" w:line="190" w:lineRule="exact"/>
        <w:rPr>
          <w:sz w:val="20"/>
          <w:szCs w:val="20"/>
          <w:color w:val="auto"/>
        </w:rPr>
      </w:pPr>
    </w:p>
    <w:p>
      <w:pPr>
        <w:ind w:left="1300" w:hanging="644"/>
        <w:spacing w:after="0" w:line="277" w:lineRule="auto"/>
        <w:tabs>
          <w:tab w:leader="none" w:pos="1318"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i w:val="1"/>
          <w:iCs w:val="1"/>
          <w:color w:val="auto"/>
        </w:rPr>
        <w:t>.</w:t>
      </w:r>
      <w:r>
        <w:rPr>
          <w:rFonts w:ascii="Arial" w:cs="Arial" w:eastAsia="Arial" w:hAnsi="Arial"/>
          <w:sz w:val="18"/>
          <w:szCs w:val="18"/>
          <w:color w:val="auto"/>
        </w:rPr>
        <w:t xml:space="preserve"> This Agreement may be executed in more than one counterpart, each of which shall be deemed to be an original, and all such counterparts together shall constitute one and the same instrument.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You must confirm your acceptance of this Agreement in writing. Please sign and return a copy of this letter to me at the Company’s address above, or via e-mail at rnottenburg@sonusnet.com to evidence your agreement with the terms and conditions set forth herein.</w:t>
      </w:r>
    </w:p>
    <w:p>
      <w:pPr>
        <w:sectPr>
          <w:pgSz w:w="11900" w:h="16838" w:orient="portrait"/>
          <w:cols w:equalWidth="0" w:num="1">
            <w:col w:w="11400"/>
          </w:cols>
          <w:pgMar w:left="240" w:top="341" w:right="259" w:bottom="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Richard N. Nottenburg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591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Richard N. Nottenburg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Accepted by: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800" w:type="dxa"/>
            <w:vAlign w:val="bottom"/>
            <w:gridSpan w:val="2"/>
          </w:tcPr>
          <w:p>
            <w:pPr>
              <w:ind w:left="160"/>
              <w:spacing w:after="0"/>
              <w:rPr>
                <w:sz w:val="20"/>
                <w:szCs w:val="20"/>
                <w:color w:val="auto"/>
              </w:rPr>
            </w:pPr>
            <w:r>
              <w:rPr>
                <w:rFonts w:ascii="Arial" w:cs="Arial" w:eastAsia="Arial" w:hAnsi="Arial"/>
                <w:sz w:val="18"/>
                <w:szCs w:val="18"/>
                <w:color w:val="auto"/>
              </w:rPr>
              <w:t>/s/ Wayne Pastore</w:t>
            </w:r>
          </w:p>
        </w:tc>
        <w:tc>
          <w:tcPr>
            <w:tcW w:w="5600" w:type="dxa"/>
            <w:vAlign w:val="bottom"/>
          </w:tcPr>
          <w:p>
            <w:pPr>
              <w:jc w:val="right"/>
              <w:ind w:right="4770"/>
              <w:spacing w:after="0"/>
              <w:rPr>
                <w:sz w:val="20"/>
                <w:szCs w:val="20"/>
                <w:color w:val="auto"/>
              </w:rPr>
            </w:pPr>
            <w:r>
              <w:rPr>
                <w:rFonts w:ascii="Arial" w:cs="Arial" w:eastAsia="Arial" w:hAnsi="Arial"/>
                <w:sz w:val="18"/>
                <w:szCs w:val="18"/>
                <w:color w:val="auto"/>
              </w:rPr>
              <w:t>10/2/08</w:t>
            </w:r>
          </w:p>
        </w:tc>
        <w:tc>
          <w:tcPr>
            <w:tcW w:w="4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right"/>
              <w:ind w:right="5170"/>
              <w:spacing w:after="0"/>
              <w:rPr>
                <w:sz w:val="20"/>
                <w:szCs w:val="20"/>
                <w:color w:val="auto"/>
              </w:rPr>
            </w:pPr>
            <w:r>
              <w:rPr>
                <w:rFonts w:ascii="Arial" w:cs="Arial" w:eastAsia="Arial" w:hAnsi="Arial"/>
                <w:sz w:val="18"/>
                <w:szCs w:val="18"/>
                <w:color w:val="auto"/>
                <w:w w:val="84"/>
              </w:rPr>
              <w:t>Date</w:t>
            </w:r>
          </w:p>
        </w:tc>
        <w:tc>
          <w:tcPr>
            <w:tcW w:w="40" w:type="dxa"/>
            <w:vAlign w:val="bottom"/>
          </w:tcPr>
          <w:p>
            <w:pPr>
              <w:spacing w:after="0"/>
              <w:rPr>
                <w:sz w:val="19"/>
                <w:szCs w:val="19"/>
                <w:color w:val="auto"/>
              </w:rPr>
            </w:pPr>
          </w:p>
        </w:tc>
      </w:tr>
      <w:tr>
        <w:trPr>
          <w:trHeight w:val="334"/>
        </w:trPr>
        <w:tc>
          <w:tcPr>
            <w:tcW w:w="20" w:type="dxa"/>
            <w:vAlign w:val="bottom"/>
            <w:tcBorders>
              <w:bottom w:val="single" w:sz="8" w:color="010101"/>
            </w:tcBorders>
          </w:tcPr>
          <w:p>
            <w:pPr>
              <w:spacing w:after="0"/>
              <w:rPr>
                <w:sz w:val="24"/>
                <w:szCs w:val="24"/>
                <w:color w:val="auto"/>
              </w:rPr>
            </w:pPr>
          </w:p>
        </w:tc>
        <w:tc>
          <w:tcPr>
            <w:tcW w:w="560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56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Annex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“Change in Control” as used in the Agreement of which this Annex is a part shall mean the first to occur of any of the following:</w:t>
      </w:r>
    </w:p>
    <w:p>
      <w:pPr>
        <w:spacing w:after="0" w:line="225" w:lineRule="exact"/>
        <w:rPr>
          <w:sz w:val="20"/>
          <w:szCs w:val="20"/>
          <w:color w:val="auto"/>
        </w:rPr>
      </w:pPr>
    </w:p>
    <w:p>
      <w:pPr>
        <w:ind w:right="200" w:firstLine="656"/>
        <w:spacing w:after="0" w:line="279" w:lineRule="auto"/>
        <w:tabs>
          <w:tab w:leader="none" w:pos="893"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“person,” as such term is used in Sections 13(d) and 14(d) of the Securities Exchange Act of 1934, as amended (the “Exchange Act”) (other than the Company or its Affiliates), is or becomes the “beneficial owner” (as defined in Rule 1 3d-3 under the Exchange Act), directly or indirectly, of securities of the Company (not including in the securities beneficially owned by such person any securities acquired directly from the Company or you) representing fifty percent (50%) or more of the combined voting power of the Company’s then outstanding securities; or</w:t>
      </w:r>
    </w:p>
    <w:p>
      <w:pPr>
        <w:spacing w:after="0" w:line="171" w:lineRule="exact"/>
        <w:rPr>
          <w:rFonts w:ascii="Arial" w:cs="Arial" w:eastAsia="Arial" w:hAnsi="Arial"/>
          <w:sz w:val="17"/>
          <w:szCs w:val="17"/>
          <w:color w:val="auto"/>
        </w:rPr>
      </w:pPr>
    </w:p>
    <w:p>
      <w:pPr>
        <w:ind w:right="120" w:firstLine="656"/>
        <w:spacing w:after="0" w:line="259" w:lineRule="auto"/>
        <w:tabs>
          <w:tab w:leader="none" w:pos="903"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event that the individuals who as of the date hereof constitute the Board of Directors, and any new director whose election by the Board or nomination for election by the Company’s stockholders was approved by a vote of at least a majority of the Board then still in office who either were members of the Board as of the date hereof or whose election or nomination for election was previously so approved, cease for any reason to constitute at least a majority thereof; or</w:t>
      </w:r>
    </w:p>
    <w:p>
      <w:pPr>
        <w:spacing w:after="0" w:line="186" w:lineRule="exact"/>
        <w:rPr>
          <w:rFonts w:ascii="Arial" w:cs="Arial" w:eastAsia="Arial" w:hAnsi="Arial"/>
          <w:sz w:val="18"/>
          <w:szCs w:val="18"/>
          <w:color w:val="auto"/>
        </w:rPr>
      </w:pPr>
    </w:p>
    <w:p>
      <w:pPr>
        <w:ind w:right="100" w:firstLine="656"/>
        <w:spacing w:after="0" w:line="259" w:lineRule="auto"/>
        <w:tabs>
          <w:tab w:leader="none" w:pos="893"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consummation of a merger or consolidation of the Company with or the sale of the Company to any other entity and, in connection with such merger, consolidation or sale; individuals who constitute the Board immediately prior to the time any agreement to effect such merger or consolidation is entered into fail for any reason to constitute at least a majority of the board of directors of the surviving or acquiring corporation following the consummation of such merger, consolidation or sale;</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or</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consummation of the sale or disposition by the Company of all or substantially all of the Company’s assets to an entity not controlled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Mr. Wayne Pastore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 Technology Park Dr.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Westford, MA 01886</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18,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Wayne:</w:t>
      </w:r>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This letter confirms that, effective February 8, 2010, you have assumed the role of Interim Chief Financial Officer of Sonus, Inc. (the “Company”). Your duties as Interim CFO will be in addition to your current duties as Vice President, Finance, and Corporate Controller. In exchange for assuming these additional duties, you will receive:</w:t>
      </w:r>
    </w:p>
    <w:p>
      <w:pPr>
        <w:spacing w:after="0" w:line="181" w:lineRule="exact"/>
        <w:rPr>
          <w:sz w:val="20"/>
          <w:szCs w:val="20"/>
          <w:color w:val="auto"/>
        </w:rPr>
      </w:pPr>
    </w:p>
    <w:p>
      <w:pPr>
        <w:ind w:left="640" w:hanging="632"/>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w:t>
      </w:r>
      <w:r>
        <w:rPr>
          <w:rFonts w:ascii="Arial" w:cs="Arial" w:eastAsia="Arial" w:hAnsi="Arial"/>
          <w:sz w:val="16"/>
          <w:szCs w:val="16"/>
          <w:color w:val="auto"/>
        </w:rPr>
        <w:t>An increase in your base salary from $210,000 to $240,000, effective as of February 8, 2010.</w:t>
      </w:r>
    </w:p>
    <w:p>
      <w:pPr>
        <w:spacing w:after="0" w:line="225" w:lineRule="exact"/>
        <w:rPr>
          <w:rFonts w:ascii="Arial" w:cs="Arial" w:eastAsia="Arial" w:hAnsi="Arial"/>
          <w:sz w:val="18"/>
          <w:szCs w:val="18"/>
          <w:color w:val="auto"/>
        </w:rPr>
      </w:pPr>
    </w:p>
    <w:p>
      <w:pPr>
        <w:ind w:right="120" w:firstLine="8"/>
        <w:spacing w:after="0" w:line="277" w:lineRule="auto"/>
        <w:tabs>
          <w:tab w:leader="none" w:pos="63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Retention Bonus</w:t>
      </w:r>
      <w:r>
        <w:rPr>
          <w:rFonts w:ascii="Arial" w:cs="Arial" w:eastAsia="Arial" w:hAnsi="Arial"/>
          <w:sz w:val="18"/>
          <w:szCs w:val="18"/>
          <w:color w:val="auto"/>
        </w:rPr>
        <w:t>. The right to a bonus (in addition to whatever bonus you may receive pursuant to the Company’s 2010 cash incentive program) in the amount of $125,000, payable as follows:</w:t>
      </w:r>
    </w:p>
    <w:p>
      <w:pPr>
        <w:spacing w:after="0" w:line="170" w:lineRule="exact"/>
        <w:rPr>
          <w:rFonts w:ascii="Arial" w:cs="Arial" w:eastAsia="Arial" w:hAnsi="Arial"/>
          <w:sz w:val="18"/>
          <w:szCs w:val="18"/>
          <w:color w:val="auto"/>
        </w:rPr>
      </w:pPr>
    </w:p>
    <w:p>
      <w:pPr>
        <w:ind w:left="1300" w:right="220" w:hanging="644"/>
        <w:spacing w:after="0" w:line="277" w:lineRule="auto"/>
        <w:tabs>
          <w:tab w:leader="none" w:pos="1303" w:val="left"/>
        </w:tabs>
        <w:numPr>
          <w:ilvl w:val="1"/>
          <w:numId w:val="60"/>
        </w:numPr>
        <w:rPr>
          <w:rFonts w:ascii="Arial" w:cs="Arial" w:eastAsia="Arial" w:hAnsi="Arial"/>
          <w:sz w:val="18"/>
          <w:szCs w:val="18"/>
          <w:color w:val="auto"/>
        </w:rPr>
      </w:pPr>
      <w:r>
        <w:rPr>
          <w:rFonts w:ascii="Arial" w:cs="Arial" w:eastAsia="Arial" w:hAnsi="Arial"/>
          <w:sz w:val="18"/>
          <w:szCs w:val="18"/>
          <w:color w:val="auto"/>
        </w:rPr>
        <w:t>One-half ($62,500) on the earlier of (i) the first day of employment of a new permanent CFO or (ii) August 8, 2010 (i.e., six months from the effective date of your appointment as Interim CFO); and</w:t>
      </w:r>
    </w:p>
    <w:p>
      <w:pPr>
        <w:spacing w:after="0" w:line="170" w:lineRule="exact"/>
        <w:rPr>
          <w:rFonts w:ascii="Arial" w:cs="Arial" w:eastAsia="Arial" w:hAnsi="Arial"/>
          <w:sz w:val="18"/>
          <w:szCs w:val="18"/>
          <w:color w:val="auto"/>
        </w:rPr>
      </w:pPr>
    </w:p>
    <w:p>
      <w:pPr>
        <w:ind w:left="1300" w:right="180" w:hanging="644"/>
        <w:spacing w:after="0" w:line="264"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One-half ($62,500) upon successful transition to a new permanent CFO, which shall be not less than three but not more than six months after such appointment (unless you apply for and are accepted as the new permanent CFO, in which case the second half of the bonus will be paid upon your appointment).</w:t>
      </w:r>
    </w:p>
    <w:p>
      <w:pPr>
        <w:spacing w:after="0" w:line="181" w:lineRule="exact"/>
        <w:rPr>
          <w:rFonts w:ascii="Arial" w:cs="Arial" w:eastAsia="Arial" w:hAnsi="Arial"/>
          <w:sz w:val="18"/>
          <w:szCs w:val="18"/>
          <w:color w:val="auto"/>
        </w:rPr>
      </w:pPr>
    </w:p>
    <w:p>
      <w:pPr>
        <w:ind w:left="1300" w:right="300" w:hanging="644"/>
        <w:spacing w:after="0" w:line="264" w:lineRule="auto"/>
        <w:tabs>
          <w:tab w:leader="none" w:pos="1303" w:val="left"/>
        </w:tabs>
        <w:numPr>
          <w:ilvl w:val="1"/>
          <w:numId w:val="60"/>
        </w:numPr>
        <w:rPr>
          <w:rFonts w:ascii="Arial" w:cs="Arial" w:eastAsia="Arial" w:hAnsi="Arial"/>
          <w:sz w:val="18"/>
          <w:szCs w:val="18"/>
          <w:color w:val="auto"/>
        </w:rPr>
      </w:pPr>
      <w:r>
        <w:rPr>
          <w:rFonts w:ascii="Arial" w:cs="Arial" w:eastAsia="Arial" w:hAnsi="Arial"/>
          <w:sz w:val="18"/>
          <w:szCs w:val="18"/>
          <w:color w:val="auto"/>
        </w:rPr>
        <w:t>Whatever portion of the $125,000 that has not been paid previously will be paid to you upon the termination of your employment by the Company without Cause or by you for Good Reason pursuant to paragraph 6 of your employment letter dated October 2, 2008 (your “October 2008 Letter”)</w:t>
      </w:r>
    </w:p>
    <w:p>
      <w:pPr>
        <w:spacing w:after="0" w:line="181" w:lineRule="exact"/>
        <w:rPr>
          <w:rFonts w:ascii="Arial" w:cs="Arial" w:eastAsia="Arial" w:hAnsi="Arial"/>
          <w:sz w:val="18"/>
          <w:szCs w:val="18"/>
          <w:color w:val="auto"/>
        </w:rPr>
      </w:pPr>
    </w:p>
    <w:p>
      <w:pPr>
        <w:ind w:right="160" w:firstLine="8"/>
        <w:spacing w:after="0" w:line="277" w:lineRule="auto"/>
        <w:tabs>
          <w:tab w:leader="none" w:pos="63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you are relieved of the additional responsibilities of Interim CFO, such action will not constitute Good Reason as defined in paragraph 7(b)(B) of your October 2008 Letter.</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You are, and will remain, an employee at will; nothing in this letter constitutes a guaranty of employment for any particular period. Capitalized terms not defined herein have the meanings given to them in the October 2008 Letter. Except as modified by this letter, the terms of your October 2008 Letter remain in full force and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Kathy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Kathy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VP of Human Resources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Wayne Pastore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Wayne Pastore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2/19/10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32759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759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5" w:name="page116"/>
    <w:bookmarkEnd w:id="115"/>
    <w:p>
      <w:pPr>
        <w:spacing w:after="0"/>
        <w:rPr>
          <w:rFonts w:ascii="Arial" w:cs="Arial" w:eastAsia="Arial" w:hAnsi="Arial"/>
          <w:sz w:val="22"/>
          <w:szCs w:val="22"/>
          <w:color w:val="0000EE"/>
        </w:rPr>
      </w:pPr>
      <w:hyperlink w:anchor="page11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7700" w:type="dxa"/>
            <w:vAlign w:val="bottom"/>
            <w:gridSpan w:val="3"/>
          </w:tcPr>
          <w:p>
            <w:pPr>
              <w:jc w:val="center"/>
              <w:ind w:right="3700"/>
              <w:spacing w:after="0"/>
              <w:rPr>
                <w:sz w:val="20"/>
                <w:szCs w:val="20"/>
                <w:color w:val="auto"/>
              </w:rPr>
            </w:pPr>
            <w:r>
              <w:rPr>
                <w:rFonts w:ascii="Arial" w:cs="Arial" w:eastAsia="Arial" w:hAnsi="Arial"/>
                <w:sz w:val="18"/>
                <w:szCs w:val="18"/>
                <w:b w:val="1"/>
                <w:bCs w:val="1"/>
                <w:color w:val="auto"/>
                <w:w w:val="96"/>
              </w:rPr>
              <w:t>SONUS NETWORKS, INC.</w:t>
            </w:r>
          </w:p>
        </w:tc>
      </w:tr>
      <w:tr>
        <w:trPr>
          <w:trHeight w:val="228"/>
        </w:trPr>
        <w:tc>
          <w:tcPr>
            <w:tcW w:w="3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770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97"/>
              </w:rPr>
              <w:t>SUBSIDIARIES OF THE REGISTRANT</w:t>
            </w:r>
          </w:p>
        </w:tc>
      </w:tr>
      <w:tr>
        <w:trPr>
          <w:trHeight w:val="367"/>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Jurisdiction of Incorporation</w:t>
            </w:r>
          </w:p>
        </w:tc>
      </w:tr>
      <w:tr>
        <w:trPr>
          <w:trHeight w:val="216"/>
        </w:trPr>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0"/>
              </w:rPr>
              <w:t>Sonus</w:t>
            </w:r>
          </w:p>
        </w:tc>
        <w:tc>
          <w:tcPr>
            <w:tcW w:w="3340" w:type="dxa"/>
            <w:vAlign w:val="bottom"/>
          </w:tcPr>
          <w:p>
            <w:pPr>
              <w:ind w:left="100"/>
              <w:spacing w:after="0"/>
              <w:rPr>
                <w:sz w:val="20"/>
                <w:szCs w:val="20"/>
                <w:color w:val="auto"/>
              </w:rPr>
            </w:pPr>
            <w:r>
              <w:rPr>
                <w:rFonts w:ascii="Arial" w:cs="Arial" w:eastAsia="Arial" w:hAnsi="Arial"/>
                <w:sz w:val="18"/>
                <w:szCs w:val="18"/>
                <w:color w:val="auto"/>
              </w:rPr>
              <w:t>International, Inc.</w:t>
            </w:r>
          </w:p>
        </w:tc>
        <w:tc>
          <w:tcPr>
            <w:tcW w:w="2240" w:type="dxa"/>
            <w:vAlign w:val="bottom"/>
          </w:tcPr>
          <w:p>
            <w:pPr>
              <w:spacing w:after="0"/>
              <w:rPr>
                <w:sz w:val="18"/>
                <w:szCs w:val="18"/>
                <w:color w:val="auto"/>
              </w:rPr>
            </w:pPr>
          </w:p>
        </w:tc>
        <w:tc>
          <w:tcPr>
            <w:tcW w:w="1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18"/>
                <w:szCs w:val="18"/>
                <w:color w:val="auto"/>
              </w:rPr>
            </w:pPr>
          </w:p>
        </w:tc>
      </w:tr>
      <w:tr>
        <w:trPr>
          <w:trHeight w:val="451"/>
        </w:trPr>
        <w:tc>
          <w:tcPr>
            <w:tcW w:w="3720" w:type="dxa"/>
            <w:vAlign w:val="bottom"/>
            <w:gridSpan w:val="2"/>
          </w:tcPr>
          <w:p>
            <w:pPr>
              <w:spacing w:after="0"/>
              <w:rPr>
                <w:sz w:val="20"/>
                <w:szCs w:val="20"/>
                <w:color w:val="auto"/>
              </w:rPr>
            </w:pPr>
            <w:r>
              <w:rPr>
                <w:rFonts w:ascii="Arial" w:cs="Arial" w:eastAsia="Arial" w:hAnsi="Arial"/>
                <w:sz w:val="18"/>
                <w:szCs w:val="18"/>
                <w:color w:val="auto"/>
              </w:rPr>
              <w:t>Sonus Securities Corp.</w:t>
            </w:r>
          </w:p>
        </w:tc>
        <w:tc>
          <w:tcPr>
            <w:tcW w:w="22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Massachusetts</w:t>
            </w:r>
          </w:p>
        </w:tc>
      </w:tr>
      <w:tr>
        <w:trPr>
          <w:trHeight w:val="459"/>
        </w:trPr>
        <w:tc>
          <w:tcPr>
            <w:tcW w:w="3720" w:type="dxa"/>
            <w:vAlign w:val="bottom"/>
            <w:gridSpan w:val="2"/>
          </w:tcPr>
          <w:p>
            <w:pPr>
              <w:spacing w:after="0"/>
              <w:rPr>
                <w:sz w:val="20"/>
                <w:szCs w:val="20"/>
                <w:color w:val="auto"/>
              </w:rPr>
            </w:pPr>
            <w:r>
              <w:rPr>
                <w:rFonts w:ascii="Arial" w:cs="Arial" w:eastAsia="Arial" w:hAnsi="Arial"/>
                <w:sz w:val="18"/>
                <w:szCs w:val="18"/>
                <w:color w:val="auto"/>
              </w:rPr>
              <w:t>Sonus Networks (Austria) GmbH</w:t>
            </w:r>
          </w:p>
        </w:tc>
        <w:tc>
          <w:tcPr>
            <w:tcW w:w="22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459"/>
        </w:trPr>
        <w:tc>
          <w:tcPr>
            <w:tcW w:w="3720" w:type="dxa"/>
            <w:vAlign w:val="bottom"/>
            <w:gridSpan w:val="2"/>
          </w:tcPr>
          <w:p>
            <w:pPr>
              <w:spacing w:after="0"/>
              <w:rPr>
                <w:sz w:val="20"/>
                <w:szCs w:val="20"/>
                <w:color w:val="auto"/>
              </w:rPr>
            </w:pPr>
            <w:r>
              <w:rPr>
                <w:rFonts w:ascii="Arial" w:cs="Arial" w:eastAsia="Arial" w:hAnsi="Arial"/>
                <w:sz w:val="18"/>
                <w:szCs w:val="18"/>
                <w:color w:val="auto"/>
              </w:rPr>
              <w:t>Sonus Networks Limited</w:t>
            </w:r>
          </w:p>
        </w:tc>
        <w:tc>
          <w:tcPr>
            <w:tcW w:w="22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459"/>
        </w:trPr>
        <w:tc>
          <w:tcPr>
            <w:tcW w:w="3720" w:type="dxa"/>
            <w:vAlign w:val="bottom"/>
            <w:gridSpan w:val="2"/>
          </w:tcPr>
          <w:p>
            <w:pPr>
              <w:spacing w:after="0"/>
              <w:rPr>
                <w:sz w:val="20"/>
                <w:szCs w:val="20"/>
                <w:color w:val="auto"/>
              </w:rPr>
            </w:pPr>
            <w:r>
              <w:rPr>
                <w:rFonts w:ascii="Arial" w:cs="Arial" w:eastAsia="Arial" w:hAnsi="Arial"/>
                <w:sz w:val="18"/>
                <w:szCs w:val="18"/>
                <w:color w:val="auto"/>
              </w:rPr>
              <w:t>Sonus Networks Pte. Ltd.</w:t>
            </w:r>
          </w:p>
        </w:tc>
        <w:tc>
          <w:tcPr>
            <w:tcW w:w="22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459"/>
        </w:trPr>
        <w:tc>
          <w:tcPr>
            <w:tcW w:w="3720" w:type="dxa"/>
            <w:vAlign w:val="bottom"/>
            <w:gridSpan w:val="2"/>
          </w:tcPr>
          <w:p>
            <w:pPr>
              <w:spacing w:after="0"/>
              <w:rPr>
                <w:sz w:val="20"/>
                <w:szCs w:val="20"/>
                <w:color w:val="auto"/>
              </w:rPr>
            </w:pPr>
            <w:r>
              <w:rPr>
                <w:rFonts w:ascii="Arial" w:cs="Arial" w:eastAsia="Arial" w:hAnsi="Arial"/>
                <w:sz w:val="18"/>
                <w:szCs w:val="18"/>
                <w:color w:val="auto"/>
              </w:rPr>
              <w:t>Nihon Sonus Networks K.K.</w:t>
            </w:r>
          </w:p>
        </w:tc>
        <w:tc>
          <w:tcPr>
            <w:tcW w:w="22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459"/>
        </w:trPr>
        <w:tc>
          <w:tcPr>
            <w:tcW w:w="3720" w:type="dxa"/>
            <w:vAlign w:val="bottom"/>
            <w:gridSpan w:val="2"/>
          </w:tcPr>
          <w:p>
            <w:pPr>
              <w:spacing w:after="0"/>
              <w:rPr>
                <w:sz w:val="20"/>
                <w:szCs w:val="20"/>
                <w:color w:val="auto"/>
              </w:rPr>
            </w:pPr>
            <w:r>
              <w:rPr>
                <w:rFonts w:ascii="Arial" w:cs="Arial" w:eastAsia="Arial" w:hAnsi="Arial"/>
                <w:sz w:val="18"/>
                <w:szCs w:val="18"/>
                <w:color w:val="auto"/>
              </w:rPr>
              <w:t>Westford Networks Mexico, S. de R.L. de C.V.</w:t>
            </w:r>
          </w:p>
        </w:tc>
        <w:tc>
          <w:tcPr>
            <w:tcW w:w="22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459"/>
        </w:trPr>
        <w:tc>
          <w:tcPr>
            <w:tcW w:w="3720" w:type="dxa"/>
            <w:vAlign w:val="bottom"/>
            <w:gridSpan w:val="2"/>
          </w:tcPr>
          <w:p>
            <w:pPr>
              <w:spacing w:after="0"/>
              <w:rPr>
                <w:sz w:val="20"/>
                <w:szCs w:val="20"/>
                <w:color w:val="auto"/>
              </w:rPr>
            </w:pPr>
            <w:r>
              <w:rPr>
                <w:rFonts w:ascii="Arial" w:cs="Arial" w:eastAsia="Arial" w:hAnsi="Arial"/>
                <w:sz w:val="18"/>
                <w:szCs w:val="18"/>
                <w:color w:val="auto"/>
              </w:rPr>
              <w:t>Sonus Networks GmbH</w:t>
            </w:r>
          </w:p>
        </w:tc>
        <w:tc>
          <w:tcPr>
            <w:tcW w:w="22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459"/>
        </w:trPr>
        <w:tc>
          <w:tcPr>
            <w:tcW w:w="3720" w:type="dxa"/>
            <w:vAlign w:val="bottom"/>
            <w:gridSpan w:val="2"/>
          </w:tcPr>
          <w:p>
            <w:pPr>
              <w:spacing w:after="0"/>
              <w:rPr>
                <w:sz w:val="20"/>
                <w:szCs w:val="20"/>
                <w:color w:val="auto"/>
              </w:rPr>
            </w:pPr>
            <w:r>
              <w:rPr>
                <w:rFonts w:ascii="Arial" w:cs="Arial" w:eastAsia="Arial" w:hAnsi="Arial"/>
                <w:sz w:val="18"/>
                <w:szCs w:val="18"/>
                <w:color w:val="auto"/>
              </w:rPr>
              <w:t>Sonus Networks EURL</w:t>
            </w:r>
          </w:p>
        </w:tc>
        <w:tc>
          <w:tcPr>
            <w:tcW w:w="22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459"/>
        </w:trPr>
        <w:tc>
          <w:tcPr>
            <w:tcW w:w="3720" w:type="dxa"/>
            <w:vAlign w:val="bottom"/>
            <w:gridSpan w:val="2"/>
          </w:tcPr>
          <w:p>
            <w:pPr>
              <w:spacing w:after="0"/>
              <w:rPr>
                <w:sz w:val="20"/>
                <w:szCs w:val="20"/>
                <w:color w:val="auto"/>
              </w:rPr>
            </w:pPr>
            <w:r>
              <w:rPr>
                <w:rFonts w:ascii="Arial" w:cs="Arial" w:eastAsia="Arial" w:hAnsi="Arial"/>
                <w:sz w:val="18"/>
                <w:szCs w:val="18"/>
                <w:color w:val="auto"/>
              </w:rPr>
              <w:t>Sonus Networks España, S.R.L.</w:t>
            </w:r>
          </w:p>
        </w:tc>
        <w:tc>
          <w:tcPr>
            <w:tcW w:w="22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459"/>
        </w:trPr>
        <w:tc>
          <w:tcPr>
            <w:tcW w:w="3720" w:type="dxa"/>
            <w:vAlign w:val="bottom"/>
            <w:gridSpan w:val="2"/>
          </w:tcPr>
          <w:p>
            <w:pPr>
              <w:spacing w:after="0"/>
              <w:rPr>
                <w:sz w:val="20"/>
                <w:szCs w:val="20"/>
                <w:color w:val="auto"/>
              </w:rPr>
            </w:pPr>
            <w:r>
              <w:rPr>
                <w:rFonts w:ascii="Arial" w:cs="Arial" w:eastAsia="Arial" w:hAnsi="Arial"/>
                <w:sz w:val="18"/>
                <w:szCs w:val="18"/>
                <w:color w:val="auto"/>
              </w:rPr>
              <w:t>Sonus Networks India Private Limited</w:t>
            </w:r>
          </w:p>
        </w:tc>
        <w:tc>
          <w:tcPr>
            <w:tcW w:w="22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459"/>
        </w:trPr>
        <w:tc>
          <w:tcPr>
            <w:tcW w:w="3720" w:type="dxa"/>
            <w:vAlign w:val="bottom"/>
            <w:gridSpan w:val="2"/>
          </w:tcPr>
          <w:p>
            <w:pPr>
              <w:spacing w:after="0"/>
              <w:rPr>
                <w:sz w:val="20"/>
                <w:szCs w:val="20"/>
                <w:color w:val="auto"/>
              </w:rPr>
            </w:pPr>
            <w:r>
              <w:rPr>
                <w:rFonts w:ascii="Arial" w:cs="Arial" w:eastAsia="Arial" w:hAnsi="Arial"/>
                <w:sz w:val="18"/>
                <w:szCs w:val="18"/>
                <w:color w:val="auto"/>
              </w:rPr>
              <w:t>Sonus Networks Trading Private Limited</w:t>
            </w:r>
          </w:p>
        </w:tc>
        <w:tc>
          <w:tcPr>
            <w:tcW w:w="22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459"/>
        </w:trPr>
        <w:tc>
          <w:tcPr>
            <w:tcW w:w="3720" w:type="dxa"/>
            <w:vAlign w:val="bottom"/>
            <w:gridSpan w:val="2"/>
          </w:tcPr>
          <w:p>
            <w:pPr>
              <w:spacing w:after="0"/>
              <w:rPr>
                <w:sz w:val="20"/>
                <w:szCs w:val="20"/>
                <w:color w:val="auto"/>
              </w:rPr>
            </w:pPr>
            <w:r>
              <w:rPr>
                <w:rFonts w:ascii="Arial" w:cs="Arial" w:eastAsia="Arial" w:hAnsi="Arial"/>
                <w:sz w:val="18"/>
                <w:szCs w:val="18"/>
                <w:color w:val="auto"/>
              </w:rPr>
              <w:t>Sonus Networks (HK) Limited</w:t>
            </w:r>
          </w:p>
        </w:tc>
        <w:tc>
          <w:tcPr>
            <w:tcW w:w="22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459"/>
        </w:trPr>
        <w:tc>
          <w:tcPr>
            <w:tcW w:w="3720" w:type="dxa"/>
            <w:vAlign w:val="bottom"/>
            <w:gridSpan w:val="2"/>
          </w:tcPr>
          <w:p>
            <w:pPr>
              <w:spacing w:after="0"/>
              <w:rPr>
                <w:sz w:val="20"/>
                <w:szCs w:val="20"/>
                <w:color w:val="auto"/>
              </w:rPr>
            </w:pPr>
            <w:r>
              <w:rPr>
                <w:rFonts w:ascii="Arial" w:cs="Arial" w:eastAsia="Arial" w:hAnsi="Arial"/>
                <w:sz w:val="18"/>
                <w:szCs w:val="18"/>
                <w:color w:val="auto"/>
              </w:rPr>
              <w:t>Sonus Networks s.r.o.</w:t>
            </w:r>
          </w:p>
        </w:tc>
        <w:tc>
          <w:tcPr>
            <w:tcW w:w="22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Czech Republic</w:t>
            </w:r>
          </w:p>
        </w:tc>
      </w:tr>
      <w:tr>
        <w:trPr>
          <w:trHeight w:val="459"/>
        </w:trPr>
        <w:tc>
          <w:tcPr>
            <w:tcW w:w="3720" w:type="dxa"/>
            <w:vAlign w:val="bottom"/>
            <w:gridSpan w:val="2"/>
          </w:tcPr>
          <w:p>
            <w:pPr>
              <w:spacing w:after="0"/>
              <w:rPr>
                <w:sz w:val="20"/>
                <w:szCs w:val="20"/>
                <w:color w:val="auto"/>
              </w:rPr>
            </w:pPr>
            <w:r>
              <w:rPr>
                <w:rFonts w:ascii="Arial" w:cs="Arial" w:eastAsia="Arial" w:hAnsi="Arial"/>
                <w:sz w:val="18"/>
                <w:szCs w:val="18"/>
                <w:color w:val="auto"/>
              </w:rPr>
              <w:t>Sonus Networks Malaysia Sdn. Bhd.</w:t>
            </w:r>
          </w:p>
        </w:tc>
        <w:tc>
          <w:tcPr>
            <w:tcW w:w="22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459"/>
        </w:trPr>
        <w:tc>
          <w:tcPr>
            <w:tcW w:w="3720" w:type="dxa"/>
            <w:vAlign w:val="bottom"/>
            <w:gridSpan w:val="2"/>
          </w:tcPr>
          <w:p>
            <w:pPr>
              <w:spacing w:after="0"/>
              <w:rPr>
                <w:sz w:val="20"/>
                <w:szCs w:val="20"/>
                <w:color w:val="auto"/>
              </w:rPr>
            </w:pPr>
            <w:r>
              <w:rPr>
                <w:rFonts w:ascii="Arial" w:cs="Arial" w:eastAsia="Arial" w:hAnsi="Arial"/>
                <w:sz w:val="18"/>
                <w:szCs w:val="18"/>
                <w:color w:val="auto"/>
              </w:rPr>
              <w:t>Sonus Networks Corp.</w:t>
            </w:r>
          </w:p>
        </w:tc>
        <w:tc>
          <w:tcPr>
            <w:tcW w:w="22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459"/>
        </w:trPr>
        <w:tc>
          <w:tcPr>
            <w:tcW w:w="3720" w:type="dxa"/>
            <w:vAlign w:val="bottom"/>
            <w:gridSpan w:val="2"/>
          </w:tcPr>
          <w:p>
            <w:pPr>
              <w:spacing w:after="0"/>
              <w:rPr>
                <w:sz w:val="20"/>
                <w:szCs w:val="20"/>
                <w:color w:val="auto"/>
              </w:rPr>
            </w:pPr>
            <w:r>
              <w:rPr>
                <w:rFonts w:ascii="Arial" w:cs="Arial" w:eastAsia="Arial" w:hAnsi="Arial"/>
                <w:sz w:val="18"/>
                <w:szCs w:val="18"/>
                <w:color w:val="auto"/>
              </w:rPr>
              <w:t>Sonus Networks AB</w:t>
            </w:r>
          </w:p>
        </w:tc>
        <w:tc>
          <w:tcPr>
            <w:tcW w:w="22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Sweden</w:t>
            </w:r>
          </w:p>
        </w:tc>
      </w:tr>
      <w:tr>
        <w:trPr>
          <w:trHeight w:val="120"/>
        </w:trPr>
        <w:tc>
          <w:tcPr>
            <w:tcW w:w="380" w:type="dxa"/>
            <w:vAlign w:val="bottom"/>
            <w:tcBorders>
              <w:bottom w:val="single" w:sz="8" w:color="808080"/>
            </w:tcBorders>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16" w:name="page117"/>
    <w:bookmarkEnd w:id="11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EXHIBIT 21.1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16">
        <w:r>
          <w:rPr>
            <w:rFonts w:ascii="Arial" w:cs="Arial" w:eastAsia="Arial" w:hAnsi="Arial"/>
            <w:sz w:val="16"/>
            <w:szCs w:val="16"/>
            <w:u w:val="single" w:color="auto"/>
            <w:color w:val="0000EE"/>
          </w:rPr>
          <w:t>SONUS NETWORKS, INC. SUBSIDIARIES OF THE REGISTRANT</w:t>
        </w:r>
      </w:hyperlink>
    </w:p>
    <w:p>
      <w:pPr>
        <w:sectPr>
          <w:pgSz w:w="11900" w:h="16838" w:orient="portrait"/>
          <w:cols w:equalWidth="0" w:num="1">
            <w:col w:w="10219"/>
          </w:cols>
          <w:pgMar w:left="240" w:top="820" w:right="1440" w:bottom="1440" w:gutter="0" w:footer="0" w:header="0"/>
        </w:sectPr>
      </w:pPr>
    </w:p>
    <w:bookmarkStart w:id="117" w:name="page118"/>
    <w:bookmarkEnd w:id="117"/>
    <w:p>
      <w:pPr>
        <w:spacing w:after="0"/>
        <w:rPr>
          <w:rFonts w:ascii="Arial" w:cs="Arial" w:eastAsia="Arial" w:hAnsi="Arial"/>
          <w:sz w:val="22"/>
          <w:szCs w:val="22"/>
          <w:color w:val="0000EE"/>
        </w:rPr>
      </w:pPr>
      <w:hyperlink w:anchor="page11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consent to the incorporation by reference in Registration Statement Nos. 333-61940 and 333-66982 on Form S-3 and Registration Statement Nos. 333-43334, 333-53970, 333-54932, 333-105215, 333-124777, 333-150022 and 333-163684 on Form S-8 of our reports dated February 25, 2010, relating to the consolidated financial statements of Sonus Networks, Inc., and the effectiveness of Sonus Networks, Inc.'s internal control over financial reporting, appearing in this Annual Report on Form 10-K of Sonus Networks, Inc. for the year ended December 31, 2009.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18" w:name="page119"/>
    <w:bookmarkEnd w:id="11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18">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19" w:name="page120"/>
    <w:bookmarkEnd w:id="119"/>
    <w:p>
      <w:pPr>
        <w:spacing w:after="0"/>
        <w:rPr>
          <w:rFonts w:ascii="Arial" w:cs="Arial" w:eastAsia="Arial" w:hAnsi="Arial"/>
          <w:sz w:val="22"/>
          <w:szCs w:val="22"/>
          <w:color w:val="0000EE"/>
        </w:rPr>
      </w:pPr>
      <w:hyperlink w:anchor="page12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Richard N. Nottenburg, certify that:</w:t>
      </w:r>
    </w:p>
    <w:p>
      <w:pPr>
        <w:spacing w:after="0" w:line="225" w:lineRule="exact"/>
        <w:rPr>
          <w:sz w:val="20"/>
          <w:szCs w:val="20"/>
          <w:color w:val="auto"/>
        </w:rPr>
      </w:pPr>
    </w:p>
    <w:p>
      <w:pPr>
        <w:ind w:left="1260" w:hanging="361"/>
        <w:spacing w:after="0"/>
        <w:tabs>
          <w:tab w:leader="none" w:pos="1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Sonus Networks, Inc.;</w:t>
      </w:r>
    </w:p>
    <w:p>
      <w:pPr>
        <w:spacing w:after="0" w:line="225" w:lineRule="exact"/>
        <w:rPr>
          <w:rFonts w:ascii="Arial" w:cs="Arial" w:eastAsia="Arial" w:hAnsi="Arial"/>
          <w:sz w:val="18"/>
          <w:szCs w:val="18"/>
          <w:color w:val="auto"/>
        </w:rPr>
      </w:pPr>
    </w:p>
    <w:p>
      <w:pPr>
        <w:ind w:left="540" w:right="180" w:firstLine="359"/>
        <w:spacing w:after="0" w:line="259" w:lineRule="auto"/>
        <w:tabs>
          <w:tab w:leader="none" w:pos="1242"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540" w:right="140" w:firstLine="359"/>
        <w:spacing w:after="0" w:line="332" w:lineRule="auto"/>
        <w:tabs>
          <w:tab w:leader="none" w:pos="1242"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39"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sz w:val="20"/>
          <w:szCs w:val="20"/>
          <w:color w:val="auto"/>
        </w:rPr>
      </w:pPr>
    </w:p>
    <w:p>
      <w:pPr>
        <w:ind w:left="540" w:right="200" w:firstLine="359"/>
        <w:spacing w:after="0" w:line="259" w:lineRule="auto"/>
        <w:tabs>
          <w:tab w:leader="none" w:pos="1218"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0"/>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sz w:val="20"/>
          <w:szCs w:val="20"/>
          <w:color w:val="auto"/>
        </w:rPr>
      </w:pPr>
    </w:p>
    <w:p>
      <w:pPr>
        <w:ind w:left="540" w:right="80" w:firstLine="359"/>
        <w:spacing w:after="0" w:line="332" w:lineRule="auto"/>
        <w:tabs>
          <w:tab w:leader="none" w:pos="1239"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39" w:lineRule="exact"/>
        <w:rPr>
          <w:sz w:val="20"/>
          <w:szCs w:val="20"/>
          <w:color w:val="auto"/>
        </w:rPr>
      </w:pPr>
    </w:p>
    <w:p>
      <w:pPr>
        <w:ind w:left="540" w:right="100" w:firstLine="359"/>
        <w:spacing w:after="0" w:line="268" w:lineRule="auto"/>
        <w:tabs>
          <w:tab w:leader="none" w:pos="1208"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2010</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RICHARD N. NOTTENBURG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71120</wp:posOffset>
            </wp:positionV>
            <wp:extent cx="279590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Richard N. Nottenburg</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20">
        <w:r>
          <w:rPr>
            <w:rFonts w:ascii="Arial" w:cs="Arial" w:eastAsia="Arial" w:hAnsi="Arial"/>
            <w:sz w:val="16"/>
            <w:szCs w:val="16"/>
            <w:u w:val="single" w:color="auto"/>
            <w:color w:val="0000EE"/>
          </w:rPr>
          <w:t>CERTIFICATION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121" w:name="page122"/>
    <w:bookmarkEnd w:id="121"/>
    <w:p>
      <w:pPr>
        <w:spacing w:after="0"/>
        <w:rPr>
          <w:rFonts w:ascii="Arial" w:cs="Arial" w:eastAsia="Arial" w:hAnsi="Arial"/>
          <w:sz w:val="22"/>
          <w:szCs w:val="22"/>
          <w:color w:val="0000EE"/>
        </w:rPr>
      </w:pPr>
      <w:hyperlink w:anchor="page12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Wayne Pastore, certify that:</w:t>
      </w:r>
    </w:p>
    <w:p>
      <w:pPr>
        <w:spacing w:after="0" w:line="225" w:lineRule="exact"/>
        <w:rPr>
          <w:sz w:val="20"/>
          <w:szCs w:val="20"/>
          <w:color w:val="auto"/>
        </w:rPr>
      </w:pPr>
    </w:p>
    <w:p>
      <w:pPr>
        <w:ind w:left="1260" w:hanging="361"/>
        <w:spacing w:after="0"/>
        <w:tabs>
          <w:tab w:leader="none" w:pos="1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Sonus Networks, Inc.;</w:t>
      </w:r>
    </w:p>
    <w:p>
      <w:pPr>
        <w:spacing w:after="0" w:line="225" w:lineRule="exact"/>
        <w:rPr>
          <w:rFonts w:ascii="Arial" w:cs="Arial" w:eastAsia="Arial" w:hAnsi="Arial"/>
          <w:sz w:val="18"/>
          <w:szCs w:val="18"/>
          <w:color w:val="auto"/>
        </w:rPr>
      </w:pPr>
    </w:p>
    <w:p>
      <w:pPr>
        <w:ind w:left="540" w:right="180" w:firstLine="359"/>
        <w:spacing w:after="0" w:line="259" w:lineRule="auto"/>
        <w:tabs>
          <w:tab w:leader="none" w:pos="1242"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540" w:right="140" w:firstLine="359"/>
        <w:spacing w:after="0" w:line="332" w:lineRule="auto"/>
        <w:tabs>
          <w:tab w:leader="none" w:pos="1242"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3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1080" w:right="240" w:firstLine="360"/>
        <w:spacing w:after="0" w:line="306" w:lineRule="auto"/>
        <w:tabs>
          <w:tab w:leader="none" w:pos="1758" w:val="left"/>
        </w:tabs>
        <w:numPr>
          <w:ilvl w:val="1"/>
          <w:numId w:val="6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6"/>
          <w:szCs w:val="16"/>
          <w:color w:val="auto"/>
        </w:rPr>
      </w:pPr>
    </w:p>
    <w:p>
      <w:pPr>
        <w:jc w:val="both"/>
        <w:ind w:left="1080" w:right="20" w:firstLine="360"/>
        <w:spacing w:after="0" w:line="259" w:lineRule="auto"/>
        <w:tabs>
          <w:tab w:leader="none" w:pos="1768"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080" w:right="160" w:firstLine="360"/>
        <w:spacing w:after="0" w:line="332" w:lineRule="auto"/>
        <w:tabs>
          <w:tab w:leader="none" w:pos="1758"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1080" w:right="140" w:firstLine="360"/>
        <w:spacing w:after="0" w:line="259" w:lineRule="auto"/>
        <w:tabs>
          <w:tab w:leader="none" w:pos="1768"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540" w:right="80" w:firstLine="359"/>
        <w:spacing w:after="0" w:line="332" w:lineRule="auto"/>
        <w:tabs>
          <w:tab w:leader="none" w:pos="1239"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1080" w:right="360" w:firstLine="360"/>
        <w:spacing w:after="0" w:line="332" w:lineRule="auto"/>
        <w:tabs>
          <w:tab w:leader="none" w:pos="1748"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080" w:right="80" w:firstLine="360"/>
        <w:spacing w:after="0" w:line="268" w:lineRule="auto"/>
        <w:tabs>
          <w:tab w:leader="none" w:pos="1758"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2010</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WAYNE PASTORE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71120</wp:posOffset>
            </wp:positionV>
            <wp:extent cx="279590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Wayne Pastore</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Vice President of Finance, Corporate Controller and Chief</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Accounting Officer (Principal Accounting Officer) and</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Interim 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2" w:name="page123"/>
    <w:bookmarkEnd w:id="12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22">
        <w:r>
          <w:rPr>
            <w:rFonts w:ascii="Arial" w:cs="Arial" w:eastAsia="Arial" w:hAnsi="Arial"/>
            <w:sz w:val="16"/>
            <w:szCs w:val="16"/>
            <w:u w:val="single" w:color="auto"/>
            <w:color w:val="0000EE"/>
          </w:rPr>
          <w:t>CERTIFICATION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right="300" w:firstLine="351"/>
        <w:spacing w:after="0" w:line="335" w:lineRule="auto"/>
        <w:rPr>
          <w:sz w:val="20"/>
          <w:szCs w:val="20"/>
          <w:color w:val="auto"/>
        </w:rPr>
      </w:pPr>
      <w:r>
        <w:rPr>
          <w:rFonts w:ascii="Arial" w:cs="Arial" w:eastAsia="Arial" w:hAnsi="Arial"/>
          <w:sz w:val="15"/>
          <w:szCs w:val="15"/>
          <w:color w:val="auto"/>
        </w:rPr>
        <w:t>In connection with the Annual Report on Form 10-K of Sonus Networks, Inc. (the "Company") for the period ended December 31, 2009 as filed with the Securities and Exchange Commission on the date hereof (the "Report"), the undersigned, Richard N. Nottenburg, President and Chief Executive Officer of the Company, hereby certifies, pursuant to 18 U.S.C. Section 1350, as adopted pursuant to Section 906 of the Sarbanes-Oxley Act of 2002, that to his knowledge:</w:t>
      </w:r>
    </w:p>
    <w:p>
      <w:pPr>
        <w:spacing w:after="0" w:line="142" w:lineRule="exact"/>
        <w:rPr>
          <w:sz w:val="20"/>
          <w:szCs w:val="20"/>
          <w:color w:val="auto"/>
        </w:rPr>
      </w:pPr>
    </w:p>
    <w:p>
      <w:pPr>
        <w:ind w:left="1240" w:hanging="341"/>
        <w:spacing w:after="0"/>
        <w:tabs>
          <w:tab w:leader="none" w:pos="1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60" w:firstLine="899"/>
        <w:spacing w:after="0" w:line="501" w:lineRule="auto"/>
        <w:tabs>
          <w:tab w:leader="none" w:pos="122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25, 2010</w:t>
      </w:r>
    </w:p>
    <w:p>
      <w:pPr>
        <w:jc w:val="center"/>
        <w:ind w:left="4760"/>
        <w:spacing w:after="0"/>
        <w:rPr>
          <w:sz w:val="20"/>
          <w:szCs w:val="20"/>
          <w:color w:val="auto"/>
        </w:rPr>
      </w:pPr>
      <w:r>
        <w:rPr>
          <w:rFonts w:ascii="Arial" w:cs="Arial" w:eastAsia="Arial" w:hAnsi="Arial"/>
          <w:sz w:val="18"/>
          <w:szCs w:val="18"/>
          <w:color w:val="auto"/>
        </w:rPr>
        <w:t>/s/ RICHARD N. NOTTENBURG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71120</wp:posOffset>
            </wp:positionV>
            <wp:extent cx="279590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Richard N. Nottenburg</w:t>
      </w:r>
    </w:p>
    <w:p>
      <w:pPr>
        <w:spacing w:after="0" w:line="15"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4" w:name="page125"/>
    <w:bookmarkEnd w:id="12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connection with the Annual Report on Form 10-K of Sonus Networks, Inc. (the "Company") for the period ended December 31, 2009 as filed with the Securities and Exchange Commission on the date hereof (the "Report"), the undersigned, Wayne Pastore, Interim Chief Financial Officer of the Company, hereby certifies, pursuant to 18 U.S.C. Section 1350, as adopted pursuant to Section 906 of the Sarbanes-Oxley Act of 2002, that to his knowledge:</w:t>
      </w:r>
    </w:p>
    <w:p>
      <w:pPr>
        <w:spacing w:after="0" w:line="161" w:lineRule="exact"/>
        <w:rPr>
          <w:sz w:val="20"/>
          <w:szCs w:val="20"/>
          <w:color w:val="auto"/>
        </w:rPr>
      </w:pPr>
    </w:p>
    <w:p>
      <w:pPr>
        <w:ind w:left="1240" w:hanging="341"/>
        <w:spacing w:after="0"/>
        <w:tabs>
          <w:tab w:leader="none" w:pos="12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60" w:firstLine="899"/>
        <w:spacing w:after="0" w:line="501" w:lineRule="auto"/>
        <w:tabs>
          <w:tab w:leader="none" w:pos="12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25, 2010</w:t>
      </w:r>
    </w:p>
    <w:p>
      <w:pPr>
        <w:jc w:val="center"/>
        <w:ind w:left="4760"/>
        <w:spacing w:after="0"/>
        <w:rPr>
          <w:sz w:val="20"/>
          <w:szCs w:val="20"/>
          <w:color w:val="auto"/>
        </w:rPr>
      </w:pPr>
      <w:r>
        <w:rPr>
          <w:rFonts w:ascii="Arial" w:cs="Arial" w:eastAsia="Arial" w:hAnsi="Arial"/>
          <w:sz w:val="18"/>
          <w:szCs w:val="18"/>
          <w:color w:val="auto"/>
        </w:rPr>
        <w:t>/s/ WAYNE PASTORE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71120</wp:posOffset>
            </wp:positionV>
            <wp:extent cx="279590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Wayne Pastore</w:t>
      </w:r>
    </w:p>
    <w:p>
      <w:pPr>
        <w:spacing w:after="0" w:line="15" w:lineRule="exact"/>
        <w:rPr>
          <w:sz w:val="20"/>
          <w:szCs w:val="20"/>
          <w:color w:val="auto"/>
        </w:rPr>
      </w:pPr>
    </w:p>
    <w:p>
      <w:pPr>
        <w:jc w:val="center"/>
        <w:ind w:left="4760"/>
        <w:spacing w:after="0"/>
        <w:rPr>
          <w:sz w:val="20"/>
          <w:szCs w:val="20"/>
          <w:color w:val="auto"/>
        </w:rPr>
      </w:pPr>
      <w:r>
        <w:rPr>
          <w:rFonts w:ascii="Arial" w:cs="Arial" w:eastAsia="Arial" w:hAnsi="Arial"/>
          <w:sz w:val="18"/>
          <w:szCs w:val="18"/>
          <w:i w:val="1"/>
          <w:iCs w:val="1"/>
          <w:color w:val="auto"/>
        </w:rPr>
        <w:t>Vice President of Finance, Corporate Controller and Chief</w:t>
      </w:r>
    </w:p>
    <w:p>
      <w:pPr>
        <w:spacing w:after="0" w:line="9" w:lineRule="exact"/>
        <w:rPr>
          <w:sz w:val="20"/>
          <w:szCs w:val="20"/>
          <w:color w:val="auto"/>
        </w:rPr>
      </w:pPr>
    </w:p>
    <w:p>
      <w:pPr>
        <w:jc w:val="center"/>
        <w:ind w:left="4760"/>
        <w:spacing w:after="0"/>
        <w:rPr>
          <w:sz w:val="20"/>
          <w:szCs w:val="20"/>
          <w:color w:val="auto"/>
        </w:rPr>
      </w:pPr>
      <w:r>
        <w:rPr>
          <w:rFonts w:ascii="Arial" w:cs="Arial" w:eastAsia="Arial" w:hAnsi="Arial"/>
          <w:sz w:val="18"/>
          <w:szCs w:val="18"/>
          <w:i w:val="1"/>
          <w:iCs w:val="1"/>
          <w:color w:val="auto"/>
        </w:rPr>
        <w:t>Accounting Officer (Principal Accounting Officer) and</w:t>
      </w:r>
    </w:p>
    <w:p>
      <w:pPr>
        <w:spacing w:after="0" w:line="9" w:lineRule="exact"/>
        <w:rPr>
          <w:sz w:val="20"/>
          <w:szCs w:val="20"/>
          <w:color w:val="auto"/>
        </w:rPr>
      </w:pPr>
    </w:p>
    <w:p>
      <w:pPr>
        <w:jc w:val="center"/>
        <w:ind w:left="4760"/>
        <w:spacing w:after="0"/>
        <w:rPr>
          <w:sz w:val="20"/>
          <w:szCs w:val="20"/>
          <w:color w:val="auto"/>
        </w:rPr>
      </w:pPr>
      <w:r>
        <w:rPr>
          <w:rFonts w:ascii="Arial" w:cs="Arial" w:eastAsia="Arial" w:hAnsi="Arial"/>
          <w:sz w:val="18"/>
          <w:szCs w:val="18"/>
          <w:i w:val="1"/>
          <w:iCs w:val="1"/>
          <w:color w:val="auto"/>
        </w:rPr>
        <w:t>Interim 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6" w:name="page127"/>
    <w:bookmarkEnd w:id="1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o"/>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1)"/>
      <w:numFmt w:val="decimal"/>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1)"/>
      <w:numFmt w:val="decimal"/>
      <w:start w:val="2"/>
    </w:lvl>
  </w:abstractNum>
  <w:abstractNum w:abstractNumId="28">
    <w:nsid w:val="7644A45C"/>
    <w:multiLevelType w:val="hybridMultilevel"/>
    <w:lvl w:ilvl="0">
      <w:lvlJc w:val="left"/>
      <w:lvlText w:val="(%1)"/>
      <w:numFmt w:val="decimal"/>
      <w:start w:val="2"/>
    </w:lvl>
  </w:abstractNum>
  <w:abstractNum w:abstractNumId="29">
    <w:nsid w:val="32FFF902"/>
    <w:multiLevelType w:val="hybridMultilevel"/>
    <w:lvl w:ilvl="0">
      <w:lvlJc w:val="left"/>
      <w:lvlText w:val="(%1)"/>
      <w:numFmt w:val="decimal"/>
      <w:start w:val="2"/>
    </w:lvl>
  </w:abstractNum>
  <w:abstractNum w:abstractNumId="30">
    <w:nsid w:val="684A481A"/>
    <w:multiLevelType w:val="hybridMultilevel"/>
    <w:lvl w:ilvl="0">
      <w:lvlJc w:val="left"/>
      <w:lvlText w:val="(%1)"/>
      <w:numFmt w:val="decimal"/>
      <w:start w:val="9"/>
    </w:lvl>
  </w:abstractNum>
  <w:abstractNum w:abstractNumId="31">
    <w:nsid w:val="579478FE"/>
    <w:multiLevelType w:val="hybridMultilevel"/>
    <w:lvl w:ilvl="0">
      <w:lvlJc w:val="left"/>
      <w:lvlText w:val="(%1)"/>
      <w:numFmt w:val="decimal"/>
      <w:start w:val="12"/>
    </w:lvl>
  </w:abstractNum>
  <w:abstractNum w:abstractNumId="32">
    <w:nsid w:val="749ABB43"/>
    <w:multiLevelType w:val="hybridMultilevel"/>
    <w:lvl w:ilvl="0">
      <w:lvlJc w:val="left"/>
      <w:lvlText w:val="(%1)"/>
      <w:numFmt w:val="decimal"/>
      <w:start w:val="14"/>
    </w:lvl>
  </w:abstractNum>
  <w:abstractNum w:abstractNumId="33">
    <w:nsid w:val="3DC240FB"/>
    <w:multiLevelType w:val="hybridMultilevel"/>
    <w:lvl w:ilvl="0">
      <w:lvlJc w:val="left"/>
      <w:lvlText w:val="(%1)"/>
      <w:numFmt w:val="decimal"/>
      <w:start w:val="14"/>
    </w:lvl>
  </w:abstractNum>
  <w:abstractNum w:abstractNumId="34">
    <w:nsid w:val="1BA026FA"/>
    <w:multiLevelType w:val="hybridMultilevel"/>
    <w:lvl w:ilvl="0">
      <w:lvlJc w:val="left"/>
      <w:lvlText w:val="(%1)"/>
      <w:numFmt w:val="decimal"/>
      <w:start w:val="14"/>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1)"/>
      <w:numFmt w:val="decimal"/>
      <w:start w:val="14"/>
    </w:lvl>
  </w:abstractNum>
  <w:abstractNum w:abstractNumId="37">
    <w:nsid w:val="12E685FB"/>
    <w:multiLevelType w:val="hybridMultilevel"/>
    <w:lvl w:ilvl="0">
      <w:lvlJc w:val="left"/>
      <w:lvlText w:val="(%1)"/>
      <w:numFmt w:val="decimal"/>
      <w:start w:val="17"/>
    </w:lvl>
  </w:abstractNum>
  <w:abstractNum w:abstractNumId="38">
    <w:nsid w:val="70C6A529"/>
    <w:multiLevelType w:val="hybridMultilevel"/>
    <w:lvl w:ilvl="0">
      <w:lvlJc w:val="left"/>
      <w:lvlText w:val="(%1)"/>
      <w:numFmt w:val="decimal"/>
      <w:start w:val="17"/>
    </w:lvl>
  </w:abstractNum>
  <w:abstractNum w:abstractNumId="39">
    <w:nsid w:val="520EEDD1"/>
    <w:multiLevelType w:val="hybridMultilevel"/>
    <w:lvl w:ilvl="0">
      <w:lvlJc w:val="left"/>
      <w:lvlText w:val="(%1)"/>
      <w:numFmt w:val="decimal"/>
      <w:start w:val="17"/>
    </w:lvl>
  </w:abstractNum>
  <w:abstractNum w:abstractNumId="40">
    <w:nsid w:val="374A3FE6"/>
    <w:multiLevelType w:val="hybridMultilevel"/>
    <w:lvl w:ilvl="0">
      <w:lvlJc w:val="left"/>
      <w:lvlText w:val="(%1)"/>
      <w:numFmt w:val="decimal"/>
      <w:start w:val="20"/>
    </w:lvl>
  </w:abstractNum>
  <w:abstractNum w:abstractNumId="41">
    <w:nsid w:val="4F4EF005"/>
    <w:multiLevelType w:val="hybridMultilevel"/>
    <w:lvl w:ilvl="0">
      <w:lvlJc w:val="left"/>
      <w:lvlText w:val="(%1)"/>
      <w:numFmt w:val="decimal"/>
      <w:start w:val="22"/>
    </w:lvl>
  </w:abstractNum>
  <w:abstractNum w:abstractNumId="42">
    <w:nsid w:val="23F9C13C"/>
    <w:multiLevelType w:val="hybridMultilevel"/>
    <w:lvl w:ilvl="0">
      <w:lvlJc w:val="left"/>
      <w:lvlText w:val="(%1)"/>
      <w:numFmt w:val="decimal"/>
      <w:start w:val="1"/>
    </w:lvl>
  </w:abstractNum>
  <w:abstractNum w:abstractNumId="43">
    <w:nsid w:val="649BB77C"/>
    <w:multiLevelType w:val="hybridMultilevel"/>
    <w:lvl w:ilvl="0">
      <w:lvlJc w:val="left"/>
      <w:lvlText w:val="(%1)"/>
      <w:numFmt w:val="decimal"/>
      <w:start w:val="1"/>
    </w:lvl>
  </w:abstractNum>
  <w:abstractNum w:abstractNumId="44">
    <w:nsid w:val="275AC794"/>
    <w:multiLevelType w:val="hybridMultilevel"/>
    <w:lvl w:ilvl="0">
      <w:lvlJc w:val="left"/>
      <w:lvlText w:val="%1)"/>
      <w:numFmt w:val="decimal"/>
      <w:start w:val="1"/>
    </w:lvl>
  </w:abstractNum>
  <w:abstractNum w:abstractNumId="45">
    <w:nsid w:val="39386575"/>
    <w:multiLevelType w:val="hybridMultilevel"/>
    <w:lvl w:ilvl="0">
      <w:lvlJc w:val="left"/>
      <w:lvlText w:val="%1)"/>
      <w:numFmt w:val="decimal"/>
      <w:start w:val="2"/>
    </w:lvl>
  </w:abstractNum>
  <w:abstractNum w:abstractNumId="46">
    <w:nsid w:val="1CF10FD8"/>
    <w:multiLevelType w:val="hybridMultilevel"/>
    <w:lvl w:ilvl="0">
      <w:lvlJc w:val="left"/>
      <w:lvlText w:val="%1)"/>
      <w:numFmt w:val="decimal"/>
      <w:start w:val="3"/>
    </w:lvl>
  </w:abstractNum>
  <w:abstractNum w:abstractNumId="47">
    <w:nsid w:val="180115BE"/>
    <w:multiLevelType w:val="hybridMultilevel"/>
    <w:lvl w:ilvl="0">
      <w:lvlJc w:val="left"/>
      <w:lvlText w:val="(%1)"/>
      <w:numFmt w:val="lowerLetter"/>
      <w:start w:val="1"/>
    </w:lvl>
  </w:abstractNum>
  <w:abstractNum w:abstractNumId="48">
    <w:nsid w:val="235BA861"/>
    <w:multiLevelType w:val="hybridMultilevel"/>
    <w:lvl w:ilvl="0">
      <w:lvlJc w:val="left"/>
      <w:lvlText w:val="(%1)"/>
      <w:numFmt w:val="lowerLetter"/>
      <w:start w:val="14"/>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1."/>
      <w:numFmt w:val="decimal"/>
      <w:start w:val="1"/>
    </w:lvl>
    <w:lvl w:ilvl="1">
      <w:lvlJc w:val="left"/>
      <w:lvlText w:val="(%2)"/>
      <w:numFmt w:val="lowerLetter"/>
      <w:start w:val="1"/>
    </w:lvl>
  </w:abstractNum>
  <w:abstractNum w:abstractNumId="51">
    <w:nsid w:val="15B5AF5C"/>
    <w:multiLevelType w:val="hybridMultilevel"/>
    <w:lvl w:ilvl="0">
      <w:lvlJc w:val="left"/>
      <w:lvlText w:val="(%1)"/>
      <w:numFmt w:val="lowerLetter"/>
      <w:start w:val="2"/>
    </w:lvl>
  </w:abstractNum>
  <w:abstractNum w:abstractNumId="52">
    <w:nsid w:val="741226BB"/>
    <w:multiLevelType w:val="hybridMultilevel"/>
    <w:lvl w:ilvl="0">
      <w:lvlJc w:val="left"/>
      <w:lvlText w:val="%1."/>
      <w:numFmt w:val="decimal"/>
      <w:start w:val="1"/>
    </w:lvl>
    <w:lvl w:ilvl="1">
      <w:lvlJc w:val="left"/>
      <w:lvlText w:val="(%2)"/>
      <w:numFmt w:val="lowerLetter"/>
      <w:start w:val="1"/>
    </w:lvl>
  </w:abstractNum>
  <w:abstractNum w:abstractNumId="53">
    <w:nsid w:val="D34B6A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4">
    <w:nsid w:val="10233C99"/>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9"/>
    </w:lvl>
  </w:abstractNum>
  <w:abstractNum w:abstractNumId="55">
    <w:nsid w:val="3F6AB60F"/>
    <w:multiLevelType w:val="hybridMultilevel"/>
    <w:lvl w:ilvl="0">
      <w:lvlJc w:val="left"/>
      <w:lvlText w:val="(%1)"/>
      <w:numFmt w:val="lowerRoman"/>
      <w:start w:val="2"/>
    </w:lvl>
  </w:abstractNum>
  <w:abstractNum w:abstractNumId="56">
    <w:nsid w:val="61574095"/>
    <w:multiLevelType w:val="hybridMultilevel"/>
    <w:lvl w:ilvl="0">
      <w:lvlJc w:val="left"/>
      <w:lvlText w:val="(%1)"/>
      <w:numFmt w:val="lowerLetter"/>
      <w:start w:val="5"/>
    </w:lvl>
  </w:abstractNum>
  <w:abstractNum w:abstractNumId="57">
    <w:nsid w:val="7E0C57B1"/>
    <w:multiLevelType w:val="hybridMultilevel"/>
    <w:lvl w:ilvl="0">
      <w:lvlJc w:val="left"/>
      <w:lvlText w:val="(%1)"/>
      <w:numFmt w:val="lowerLetter"/>
      <w:start w:val="6"/>
    </w:lvl>
  </w:abstractNum>
  <w:abstractNum w:abstractNumId="58">
    <w:nsid w:val="77AE35EB"/>
    <w:multiLevelType w:val="hybridMultilevel"/>
    <w:lvl w:ilvl="0">
      <w:lvlJc w:val="left"/>
      <w:lvlText w:val="(%1)"/>
      <w:numFmt w:val="lowerLetter"/>
      <w:start w:val="1"/>
    </w:lvl>
  </w:abstractNum>
  <w:abstractNum w:abstractNumId="59">
    <w:nsid w:val="579BE4F1"/>
    <w:multiLevelType w:val="hybridMultilevel"/>
    <w:lvl w:ilvl="0">
      <w:lvlJc w:val="left"/>
      <w:lvlText w:val="%1."/>
      <w:numFmt w:val="decimal"/>
      <w:start w:val="1"/>
    </w:lvl>
    <w:lvl w:ilvl="1">
      <w:lvlJc w:val="left"/>
      <w:lvlText w:val="%2."/>
      <w:numFmt w:val="lowerLetter"/>
      <w:start w:val="1"/>
    </w:lvl>
  </w:abstractNum>
  <w:abstractNum w:abstractNumId="60">
    <w:nsid w:val="310C50B3"/>
    <w:multiLevelType w:val="hybridMultilevel"/>
    <w:lvl w:ilvl="0">
      <w:lvlJc w:val="left"/>
      <w:lvlText w:val="%1."/>
      <w:numFmt w:val="decimal"/>
      <w:start w:val="1"/>
    </w:lvl>
  </w:abstractNum>
  <w:abstractNum w:abstractNumId="61">
    <w:nsid w:val="5FF87E05"/>
    <w:multiLevelType w:val="hybridMultilevel"/>
    <w:lvl w:ilvl="0">
      <w:lvlJc w:val="left"/>
      <w:lvlText w:val="(%1)"/>
      <w:numFmt w:val="lowerLetter"/>
      <w:start w:val="1"/>
    </w:lvl>
  </w:abstractNum>
  <w:abstractNum w:abstractNumId="62">
    <w:nsid w:val="2F305DEF"/>
    <w:multiLevelType w:val="hybridMultilevel"/>
    <w:lvl w:ilvl="0">
      <w:lvlJc w:val="left"/>
      <w:lvlText w:val="%1."/>
      <w:numFmt w:val="decimal"/>
      <w:start w:val="5"/>
    </w:lvl>
  </w:abstractNum>
  <w:abstractNum w:abstractNumId="63">
    <w:nsid w:val="25A70BF7"/>
    <w:multiLevelType w:val="hybridMultilevel"/>
    <w:lvl w:ilvl="0">
      <w:lvlJc w:val="left"/>
      <w:lvlText w:val="(%1)"/>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2019-12-10T19:18:52Z</dcterms:created>
  <dcterms:modified xsi:type="dcterms:W3CDTF">2019-12-10T19:18:52Z</dcterms:modified>
</cp:coreProperties>
</file>