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RIBBON COMMUNICATIONS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3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001-38267</w:t>
      </w:r>
    </w:p>
    <w:p>
      <w:pPr>
        <w:spacing w:after="0" w:line="36"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82-1669692</w:t>
      </w:r>
    </w:p>
    <w:p>
      <w:pPr>
        <w:spacing w:after="0" w:line="3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300"/>
          </w:cols>
          <w:pgMar w:left="320" w:top="754"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6500 Chase Oaks Blvd., Suite 100, Plano, TX 75023</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(978) 614-8100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80"/>
          </w:cols>
          <w:pgMar w:left="320" w:top="754" w:right="499" w:bottom="1440" w:gutter="0" w:footer="0" w:header="0"/>
          <w:type w:val="continuous"/>
        </w:sectPr>
      </w:pPr>
    </w:p>
    <w:p>
      <w:pPr>
        <w:spacing w:after="0" w:line="26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4200" w:space="720"/>
            <w:col w:w="1800" w:space="720"/>
            <w:col w:w="3640"/>
          </w:cols>
          <w:pgMar w:left="320" w:top="754" w:right="49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Common Stock, par value $0.0001</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7"/>
          <w:szCs w:val="17"/>
          <w:color w:val="auto"/>
        </w:rPr>
        <w:t>RBBN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760" w:space="720"/>
            <w:col w:w="3200"/>
          </w:cols>
          <w:pgMar w:left="320" w:top="754" w:right="499" w:bottom="1440" w:gutter="0" w:footer="0" w:header="0"/>
          <w:type w:val="continuous"/>
        </w:sectPr>
      </w:pPr>
    </w:p>
    <w:p>
      <w:pPr>
        <w:spacing w:after="0" w:line="5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Ribbon Communications Inc. (the “Company”) held its annual meeting of stockholders on June 3, 2026 (the “Annual Meeting”). At the Annual Meeting, the Company’s stockholders considered and voted upon the matters listed below. A total of 163,724,665 shares of common stock were present in person or represented by proxy at the Annual Meeting, representing approximately 93% of the Company’s outstanding common stock as of the April 6, 2026 record date. The following are the voting results for the proposals considered and voted upon at the Annual Meeting, each of which were described in the Proxy Statement.</w:t>
      </w:r>
    </w:p>
    <w:p>
      <w:pPr>
        <w:spacing w:after="0" w:line="181"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Item 1 </w:t>
      </w:r>
      <w:r>
        <w:rPr>
          <w:rFonts w:ascii="Times New Roman" w:cs="Times New Roman" w:eastAsia="Times New Roman" w:hAnsi="Times New Roman"/>
          <w:sz w:val="18"/>
          <w:szCs w:val="18"/>
          <w:color w:val="auto"/>
        </w:rPr>
        <w:t>– Election of nine directors for a term of office expiring on the date of the annual meeting of stockholders in 2027 and until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have been duly elected and qualified.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 Stewart Ewing, Jr.</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146,551,668</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526,752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Bruns H. Grayson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146,208,271</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925,393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525,744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Beatriz V. Infante</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140,967,587</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6,167,837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523,984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Mair</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146,568,172</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565,390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525,846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W. McClelland</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146,407,178</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724,725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527,505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Shaul Shani</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146,237,876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896,484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525,048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Silver</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146,380,850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747,357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531,201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W. Smith</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146,215,664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912,891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530,853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Tanya Tamone</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146,198,151</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928,158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533,099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16,363,552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nominees named above were elected, having received more votes cast “for” their election than “against” their election.</w:t>
      </w:r>
    </w:p>
    <w:p>
      <w:pPr>
        <w:spacing w:after="0" w:line="22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Item 2 </w:t>
      </w:r>
      <w:r>
        <w:rPr>
          <w:rFonts w:ascii="Times New Roman" w:cs="Times New Roman" w:eastAsia="Times New Roman" w:hAnsi="Times New Roman"/>
          <w:sz w:val="18"/>
          <w:szCs w:val="18"/>
          <w:color w:val="auto"/>
        </w:rPr>
        <w:t>– Ratification of the appointment of Deloitte &amp; Touche LLP to serve as the Company’s independent registered public accounting firm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fiscal year ending December 31, 2026.</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162,346,373</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367,109</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1,309,478</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foregoing vote, Item 2 was approved.</w:t>
      </w:r>
    </w:p>
    <w:p>
      <w:pPr>
        <w:spacing w:after="0" w:line="223" w:lineRule="exact"/>
        <w:rPr>
          <w:sz w:val="20"/>
          <w:szCs w:val="20"/>
          <w:color w:val="auto"/>
        </w:rPr>
      </w:pPr>
    </w:p>
    <w:p>
      <w:pPr>
        <w:ind w:right="4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Item 3 </w:t>
      </w:r>
      <w:r>
        <w:rPr>
          <w:rFonts w:ascii="Times New Roman" w:cs="Times New Roman" w:eastAsia="Times New Roman" w:hAnsi="Times New Roman"/>
          <w:sz w:val="18"/>
          <w:szCs w:val="18"/>
          <w:color w:val="auto"/>
        </w:rPr>
        <w:t>– The non-binding advisory vote on the compensation of the Company’s named executive officers, as disclosed in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section and the accompanying compensation tables and related narratives contained in the proxy statement for the Annual Meeting.</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98,595,579</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43,428,949</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5,634,880</w:t>
            </w: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16,363,552</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foregoing vote, Item 3 was approved.</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of Directors of the Company will consider the outcome of the advisory vote when making future compensation decisions relating to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ibbon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Patrick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Patrick W. Macken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2026-06-05T15:19:58Z</dcterms:created>
  <dcterms:modified xsi:type="dcterms:W3CDTF">2026-06-05T15:19:58Z</dcterms:modified>
</cp:coreProperties>
</file>