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1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-1270</wp:posOffset>
            </wp:positionH>
            <wp:positionV relativeFrom="paragraph">
              <wp:posOffset>360045</wp:posOffset>
            </wp:positionV>
            <wp:extent cx="6497955"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497955" cy="342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33" w:lineRule="exact"/>
        <w:rPr>
          <w:sz w:val="24"/>
          <w:szCs w:val="24"/>
          <w:color w:val="auto"/>
        </w:rPr>
      </w:pPr>
    </w:p>
    <w:p>
      <w:pPr>
        <w:jc w:val="center"/>
        <w:ind w:right="-69"/>
        <w:spacing w:after="0"/>
        <w:rPr>
          <w:sz w:val="20"/>
          <w:szCs w:val="20"/>
          <w:color w:val="auto"/>
        </w:rPr>
      </w:pPr>
      <w:r>
        <w:rPr>
          <w:rFonts w:ascii="Times New Roman" w:cs="Times New Roman" w:eastAsia="Times New Roman" w:hAnsi="Times New Roman"/>
          <w:sz w:val="23"/>
          <w:szCs w:val="23"/>
          <w:b w:val="1"/>
          <w:bCs w:val="1"/>
          <w:color w:val="auto"/>
        </w:rPr>
        <w:t>UNITED STATES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-1270</wp:posOffset>
            </wp:positionH>
            <wp:positionV relativeFrom="paragraph">
              <wp:posOffset>-153035</wp:posOffset>
            </wp:positionV>
            <wp:extent cx="649795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497955" cy="8255"/>
                    </a:xfrm>
                    <a:prstGeom prst="rect">
                      <a:avLst/>
                    </a:prstGeom>
                    <a:noFill/>
                  </pic:spPr>
                </pic:pic>
              </a:graphicData>
            </a:graphic>
          </wp:anchor>
        </w:drawing>
      </w:r>
    </w:p>
    <w:p>
      <w:pPr>
        <w:spacing w:after="0" w:line="16" w:lineRule="exact"/>
        <w:rPr>
          <w:sz w:val="24"/>
          <w:szCs w:val="24"/>
          <w:color w:val="auto"/>
        </w:rPr>
      </w:pPr>
    </w:p>
    <w:p>
      <w:pPr>
        <w:jc w:val="center"/>
        <w:ind w:right="-69"/>
        <w:spacing w:after="0"/>
        <w:rPr>
          <w:sz w:val="20"/>
          <w:szCs w:val="20"/>
          <w:color w:val="auto"/>
        </w:rPr>
      </w:pPr>
      <w:r>
        <w:rPr>
          <w:rFonts w:ascii="Times New Roman" w:cs="Times New Roman" w:eastAsia="Times New Roman" w:hAnsi="Times New Roman"/>
          <w:sz w:val="23"/>
          <w:szCs w:val="23"/>
          <w:b w:val="1"/>
          <w:bCs w:val="1"/>
          <w:color w:val="auto"/>
        </w:rPr>
        <w:t>SECURITIES AND EXCHANGE COMMISSION</w:t>
      </w:r>
    </w:p>
    <w:p>
      <w:pPr>
        <w:spacing w:after="0" w:line="14" w:lineRule="exact"/>
        <w:rPr>
          <w:sz w:val="24"/>
          <w:szCs w:val="24"/>
          <w:color w:val="auto"/>
        </w:rPr>
      </w:pPr>
    </w:p>
    <w:p>
      <w:pPr>
        <w:jc w:val="center"/>
        <w:ind w:right="-69"/>
        <w:spacing w:after="0"/>
        <w:rPr>
          <w:sz w:val="20"/>
          <w:szCs w:val="20"/>
          <w:color w:val="auto"/>
        </w:rPr>
      </w:pPr>
      <w:r>
        <w:rPr>
          <w:rFonts w:ascii="Times New Roman" w:cs="Times New Roman" w:eastAsia="Times New Roman" w:hAnsi="Times New Roman"/>
          <w:sz w:val="16"/>
          <w:szCs w:val="16"/>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2432685</wp:posOffset>
            </wp:positionH>
            <wp:positionV relativeFrom="paragraph">
              <wp:posOffset>147320</wp:posOffset>
            </wp:positionV>
            <wp:extent cx="1628775"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628775" cy="17145"/>
                    </a:xfrm>
                    <a:prstGeom prst="rect">
                      <a:avLst/>
                    </a:prstGeom>
                    <a:noFill/>
                  </pic:spPr>
                </pic:pic>
              </a:graphicData>
            </a:graphic>
          </wp:anchor>
        </w:drawing>
      </w:r>
    </w:p>
    <w:p>
      <w:pPr>
        <w:spacing w:after="0" w:line="392" w:lineRule="exact"/>
        <w:rPr>
          <w:sz w:val="24"/>
          <w:szCs w:val="24"/>
          <w:color w:val="auto"/>
        </w:rPr>
      </w:pPr>
    </w:p>
    <w:p>
      <w:pPr>
        <w:jc w:val="center"/>
        <w:ind w:right="-69"/>
        <w:spacing w:after="0"/>
        <w:rPr>
          <w:sz w:val="20"/>
          <w:szCs w:val="20"/>
          <w:color w:val="auto"/>
        </w:rPr>
      </w:pPr>
      <w:r>
        <w:rPr>
          <w:rFonts w:ascii="Times New Roman" w:cs="Times New Roman" w:eastAsia="Times New Roman" w:hAnsi="Times New Roman"/>
          <w:sz w:val="23"/>
          <w:szCs w:val="23"/>
          <w:b w:val="1"/>
          <w:bCs w:val="1"/>
          <w:color w:val="auto"/>
        </w:rPr>
        <w:t>FORM 10-Q</w:t>
      </w:r>
    </w:p>
    <w:p>
      <w:pPr>
        <w:spacing w:after="0" w:line="147" w:lineRule="exact"/>
        <w:rPr>
          <w:sz w:val="24"/>
          <w:szCs w:val="24"/>
          <w:color w:val="auto"/>
        </w:rPr>
      </w:pPr>
    </w:p>
    <w:p>
      <w:pPr>
        <w:ind w:left="10"/>
        <w:spacing w:after="0"/>
        <w:rPr>
          <w:sz w:val="20"/>
          <w:szCs w:val="20"/>
          <w:color w:val="auto"/>
        </w:rPr>
      </w:pPr>
      <w:r>
        <w:rPr>
          <w:rFonts w:ascii="Times New Roman" w:cs="Times New Roman" w:eastAsia="Times New Roman" w:hAnsi="Times New Roman"/>
          <w:sz w:val="16"/>
          <w:szCs w:val="16"/>
          <w:b w:val="1"/>
          <w:bCs w:val="1"/>
          <w:color w:val="auto"/>
        </w:rPr>
        <w:t>(Mark One)</w:t>
      </w:r>
    </w:p>
    <w:p>
      <w:pPr>
        <w:spacing w:after="0" w:line="129" w:lineRule="exact"/>
        <w:rPr>
          <w:sz w:val="24"/>
          <w:szCs w:val="24"/>
          <w:color w:val="auto"/>
        </w:rPr>
      </w:pPr>
    </w:p>
    <w:p>
      <w:pPr>
        <w:ind w:left="330" w:right="560" w:hanging="330"/>
        <w:spacing w:after="0" w:line="273" w:lineRule="auto"/>
        <w:tabs>
          <w:tab w:leader="none" w:pos="330" w:val="left"/>
        </w:tabs>
        <w:numPr>
          <w:ilvl w:val="0"/>
          <w:numId w:val="1"/>
        </w:numPr>
        <w:rPr>
          <w:rFonts w:ascii="MS PGothic" w:cs="MS PGothic" w:eastAsia="MS PGothic" w:hAnsi="MS PGothic"/>
          <w:sz w:val="20"/>
          <w:szCs w:val="20"/>
          <w:color w:val="auto"/>
        </w:rPr>
      </w:pPr>
      <w:r>
        <w:rPr>
          <w:rFonts w:ascii="Times New Roman" w:cs="Times New Roman" w:eastAsia="Times New Roman" w:hAnsi="Times New Roman"/>
          <w:sz w:val="20"/>
          <w:szCs w:val="20"/>
          <w:b w:val="1"/>
          <w:bCs w:val="1"/>
          <w:color w:val="auto"/>
        </w:rPr>
        <w:t>QUARTERLY REPORT PURSUANT TO SECTION 13 OR 15(d) OF THE SECURITIES EXCHANGE ACT OF 1934</w:t>
      </w:r>
    </w:p>
    <w:p>
      <w:pPr>
        <w:spacing w:after="0" w:line="68" w:lineRule="exact"/>
        <w:rPr>
          <w:sz w:val="24"/>
          <w:szCs w:val="24"/>
          <w:color w:val="auto"/>
        </w:rPr>
      </w:pPr>
    </w:p>
    <w:p>
      <w:pPr>
        <w:jc w:val="center"/>
        <w:ind w:right="-69"/>
        <w:spacing w:after="0"/>
        <w:rPr>
          <w:sz w:val="20"/>
          <w:szCs w:val="20"/>
          <w:color w:val="auto"/>
        </w:rPr>
      </w:pPr>
      <w:r>
        <w:rPr>
          <w:rFonts w:ascii="Times New Roman" w:cs="Times New Roman" w:eastAsia="Times New Roman" w:hAnsi="Times New Roman"/>
          <w:sz w:val="16"/>
          <w:szCs w:val="16"/>
          <w:b w:val="1"/>
          <w:bCs w:val="1"/>
          <w:color w:val="auto"/>
        </w:rPr>
        <w:t>For the quarterly period ended March 31, 2026</w:t>
      </w:r>
    </w:p>
    <w:p>
      <w:pPr>
        <w:spacing w:after="0" w:line="221" w:lineRule="exact"/>
        <w:rPr>
          <w:sz w:val="24"/>
          <w:szCs w:val="24"/>
          <w:color w:val="auto"/>
        </w:rPr>
      </w:pPr>
    </w:p>
    <w:p>
      <w:pPr>
        <w:jc w:val="center"/>
        <w:ind w:right="-69"/>
        <w:spacing w:after="0"/>
        <w:rPr>
          <w:sz w:val="20"/>
          <w:szCs w:val="20"/>
          <w:color w:val="auto"/>
        </w:rPr>
      </w:pPr>
      <w:r>
        <w:rPr>
          <w:rFonts w:ascii="Times New Roman" w:cs="Times New Roman" w:eastAsia="Times New Roman" w:hAnsi="Times New Roman"/>
          <w:sz w:val="16"/>
          <w:szCs w:val="16"/>
          <w:b w:val="1"/>
          <w:bCs w:val="1"/>
          <w:color w:val="auto"/>
        </w:rPr>
        <w:t>or</w:t>
      </w:r>
    </w:p>
    <w:p>
      <w:pPr>
        <w:spacing w:after="0" w:line="210" w:lineRule="exact"/>
        <w:rPr>
          <w:sz w:val="24"/>
          <w:szCs w:val="24"/>
          <w:color w:val="auto"/>
        </w:rPr>
      </w:pPr>
    </w:p>
    <w:p>
      <w:pPr>
        <w:ind w:left="330" w:right="540" w:hanging="330"/>
        <w:spacing w:after="0" w:line="273" w:lineRule="auto"/>
        <w:tabs>
          <w:tab w:leader="none" w:pos="330" w:val="left"/>
        </w:tabs>
        <w:numPr>
          <w:ilvl w:val="0"/>
          <w:numId w:val="2"/>
        </w:numPr>
        <w:rPr>
          <w:rFonts w:ascii="MS PGothic" w:cs="MS PGothic" w:eastAsia="MS PGothic" w:hAnsi="MS PGothic"/>
          <w:sz w:val="20"/>
          <w:szCs w:val="20"/>
          <w:color w:val="auto"/>
        </w:rPr>
      </w:pPr>
      <w:r>
        <w:rPr>
          <w:rFonts w:ascii="Times New Roman" w:cs="Times New Roman" w:eastAsia="Times New Roman" w:hAnsi="Times New Roman"/>
          <w:sz w:val="20"/>
          <w:szCs w:val="20"/>
          <w:b w:val="1"/>
          <w:bCs w:val="1"/>
          <w:color w:val="auto"/>
        </w:rPr>
        <w:t>TRANSITION REPORT PURSUANT TO SECTION 13 OR 15(d) OF THE SECURITIES EXCHANGE ACT OF 1934</w:t>
      </w:r>
    </w:p>
    <w:p>
      <w:pPr>
        <w:spacing w:after="0" w:line="68" w:lineRule="exact"/>
        <w:rPr>
          <w:sz w:val="24"/>
          <w:szCs w:val="24"/>
          <w:color w:val="auto"/>
        </w:rPr>
      </w:pPr>
    </w:p>
    <w:p>
      <w:pPr>
        <w:ind w:left="650"/>
        <w:spacing w:after="0"/>
        <w:tabs>
          <w:tab w:leader="none" w:pos="3410" w:val="left"/>
        </w:tabs>
        <w:rPr>
          <w:sz w:val="20"/>
          <w:szCs w:val="20"/>
          <w:color w:val="auto"/>
        </w:rPr>
      </w:pPr>
      <w:r>
        <w:rPr>
          <w:rFonts w:ascii="Times New Roman" w:cs="Times New Roman" w:eastAsia="Times New Roman" w:hAnsi="Times New Roman"/>
          <w:sz w:val="16"/>
          <w:szCs w:val="16"/>
          <w:b w:val="1"/>
          <w:bCs w:val="1"/>
          <w:color w:val="auto"/>
        </w:rPr>
        <w:t>For the transition period from</w:t>
      </w:r>
      <w:r>
        <w:rPr>
          <w:sz w:val="20"/>
          <w:szCs w:val="20"/>
          <w:color w:val="auto"/>
        </w:rPr>
        <w:tab/>
      </w:r>
      <w:r>
        <w:rPr>
          <w:rFonts w:ascii="Times New Roman" w:cs="Times New Roman" w:eastAsia="Times New Roman" w:hAnsi="Times New Roman"/>
          <w:sz w:val="16"/>
          <w:szCs w:val="16"/>
          <w:b w:val="1"/>
          <w:bCs w:val="1"/>
          <w:color w:val="auto"/>
        </w:rPr>
        <w:t>to</w:t>
      </w:r>
    </w:p>
    <w:p>
      <w:pPr>
        <w:spacing w:after="0" w:line="140" w:lineRule="exact"/>
        <w:rPr>
          <w:sz w:val="24"/>
          <w:szCs w:val="24"/>
          <w:color w:val="auto"/>
        </w:rPr>
      </w:pPr>
    </w:p>
    <w:p>
      <w:pPr>
        <w:jc w:val="center"/>
        <w:ind w:right="-69"/>
        <w:spacing w:after="0"/>
        <w:rPr>
          <w:sz w:val="20"/>
          <w:szCs w:val="20"/>
          <w:color w:val="auto"/>
        </w:rPr>
      </w:pPr>
      <w:r>
        <w:rPr>
          <w:rFonts w:ascii="Times New Roman" w:cs="Times New Roman" w:eastAsia="Times New Roman" w:hAnsi="Times New Roman"/>
          <w:sz w:val="16"/>
          <w:szCs w:val="16"/>
          <w:b w:val="1"/>
          <w:bCs w:val="1"/>
          <w:color w:val="auto"/>
        </w:rPr>
        <w:t>Commission File Number 001-38267</w:t>
      </w:r>
    </w:p>
    <w:p>
      <w:pPr>
        <w:spacing w:after="0" w:line="28" w:lineRule="exact"/>
        <w:rPr>
          <w:sz w:val="24"/>
          <w:szCs w:val="24"/>
          <w:color w:val="auto"/>
        </w:rPr>
      </w:pPr>
    </w:p>
    <w:p>
      <w:pPr>
        <w:jc w:val="center"/>
        <w:ind w:right="-69"/>
        <w:spacing w:after="0"/>
        <w:rPr>
          <w:sz w:val="20"/>
          <w:szCs w:val="20"/>
          <w:color w:val="auto"/>
        </w:rPr>
      </w:pPr>
      <w:r>
        <w:rPr>
          <w:rFonts w:ascii="Times New Roman" w:cs="Times New Roman" w:eastAsia="Times New Roman" w:hAnsi="Times New Roman"/>
          <w:sz w:val="31"/>
          <w:szCs w:val="31"/>
          <w:b w:val="1"/>
          <w:bCs w:val="1"/>
          <w:color w:val="auto"/>
        </w:rPr>
        <w:t>RIBBON COMMUNICATIONS INC.</w:t>
      </w:r>
    </w:p>
    <w:p>
      <w:pPr>
        <w:spacing w:after="0" w:line="5" w:lineRule="exact"/>
        <w:rPr>
          <w:sz w:val="24"/>
          <w:szCs w:val="24"/>
          <w:color w:val="auto"/>
        </w:rPr>
      </w:pPr>
    </w:p>
    <w:p>
      <w:pPr>
        <w:jc w:val="center"/>
        <w:ind w:right="-69"/>
        <w:spacing w:after="0"/>
        <w:rPr>
          <w:sz w:val="20"/>
          <w:szCs w:val="20"/>
          <w:color w:val="auto"/>
        </w:rPr>
      </w:pPr>
      <w:r>
        <w:rPr>
          <w:rFonts w:ascii="Times New Roman" w:cs="Times New Roman" w:eastAsia="Times New Roman" w:hAnsi="Times New Roman"/>
          <w:sz w:val="16"/>
          <w:szCs w:val="16"/>
          <w:color w:val="auto"/>
        </w:rPr>
        <w:t>(Exact name of Registrant as specified in its charter)</w:t>
      </w:r>
    </w:p>
    <w:p>
      <w:pPr>
        <w:sectPr>
          <w:pgSz w:w="11900" w:h="16838" w:orient="portrait"/>
          <w:cols w:equalWidth="0" w:num="1">
            <w:col w:w="10170"/>
          </w:cols>
          <w:pgMar w:left="830" w:top="661" w:right="899" w:bottom="1440" w:gutter="0" w:footer="0" w:header="0"/>
        </w:sectPr>
      </w:pPr>
    </w:p>
    <w:p>
      <w:pPr>
        <w:spacing w:after="0" w:line="134" w:lineRule="exact"/>
        <w:rPr>
          <w:sz w:val="24"/>
          <w:szCs w:val="24"/>
          <w:color w:val="auto"/>
        </w:rPr>
      </w:pPr>
    </w:p>
    <w:p>
      <w:pPr>
        <w:jc w:val="center"/>
        <w:ind w:left="670"/>
        <w:spacing w:after="0"/>
        <w:rPr>
          <w:sz w:val="20"/>
          <w:szCs w:val="20"/>
          <w:color w:val="auto"/>
        </w:rPr>
      </w:pPr>
      <w:r>
        <w:rPr>
          <w:rFonts w:ascii="Times New Roman" w:cs="Times New Roman" w:eastAsia="Times New Roman" w:hAnsi="Times New Roman"/>
          <w:sz w:val="16"/>
          <w:szCs w:val="16"/>
          <w:b w:val="1"/>
          <w:bCs w:val="1"/>
          <w:color w:val="auto"/>
        </w:rPr>
        <w:t>Delaware</w:t>
      </w:r>
    </w:p>
    <w:p>
      <w:pPr>
        <w:spacing w:after="0" w:line="28" w:lineRule="exact"/>
        <w:rPr>
          <w:sz w:val="24"/>
          <w:szCs w:val="24"/>
          <w:color w:val="auto"/>
        </w:rPr>
      </w:pPr>
    </w:p>
    <w:p>
      <w:pPr>
        <w:ind w:left="1570"/>
        <w:spacing w:after="0"/>
        <w:rPr>
          <w:sz w:val="20"/>
          <w:szCs w:val="20"/>
          <w:color w:val="auto"/>
        </w:rPr>
      </w:pPr>
      <w:r>
        <w:rPr>
          <w:rFonts w:ascii="Times New Roman" w:cs="Times New Roman" w:eastAsia="Times New Roman" w:hAnsi="Times New Roman"/>
          <w:sz w:val="16"/>
          <w:szCs w:val="16"/>
          <w:color w:val="auto"/>
        </w:rPr>
        <w:t>(State or other jurisdiction of</w:t>
      </w:r>
    </w:p>
    <w:p>
      <w:pPr>
        <w:spacing w:after="0" w:line="19" w:lineRule="exact"/>
        <w:rPr>
          <w:sz w:val="24"/>
          <w:szCs w:val="24"/>
          <w:color w:val="auto"/>
        </w:rPr>
      </w:pPr>
    </w:p>
    <w:p>
      <w:pPr>
        <w:ind w:left="1530"/>
        <w:spacing w:after="0"/>
        <w:rPr>
          <w:sz w:val="20"/>
          <w:szCs w:val="20"/>
          <w:color w:val="auto"/>
        </w:rPr>
      </w:pPr>
      <w:r>
        <w:rPr>
          <w:rFonts w:ascii="Times New Roman" w:cs="Times New Roman" w:eastAsia="Times New Roman" w:hAnsi="Times New Roman"/>
          <w:sz w:val="16"/>
          <w:szCs w:val="16"/>
          <w:color w:val="auto"/>
        </w:rPr>
        <w:t>incorporation or organization)</w:t>
      </w:r>
    </w:p>
    <w:p>
      <w:pPr>
        <w:spacing w:after="0" w:line="157" w:lineRule="exact"/>
        <w:rPr>
          <w:sz w:val="24"/>
          <w:szCs w:val="24"/>
          <w:color w:val="auto"/>
        </w:rPr>
      </w:pPr>
    </w:p>
    <w:p>
      <w:pPr>
        <w:jc w:val="center"/>
        <w:ind w:left="670"/>
        <w:spacing w:after="0"/>
        <w:rPr>
          <w:sz w:val="20"/>
          <w:szCs w:val="20"/>
          <w:color w:val="auto"/>
        </w:rPr>
      </w:pPr>
      <w:r>
        <w:rPr>
          <w:rFonts w:ascii="Times New Roman" w:cs="Times New Roman" w:eastAsia="Times New Roman" w:hAnsi="Times New Roman"/>
          <w:sz w:val="16"/>
          <w:szCs w:val="16"/>
          <w:b w:val="1"/>
          <w:bCs w:val="1"/>
          <w:color w:val="auto"/>
        </w:rPr>
        <w:t>6500 Chase Oaks Boulevard, Suite 100, Plano, Texas</w:t>
      </w:r>
    </w:p>
    <w:p>
      <w:pPr>
        <w:spacing w:after="0" w:line="48" w:lineRule="exact"/>
        <w:rPr>
          <w:sz w:val="24"/>
          <w:szCs w:val="24"/>
          <w:color w:val="auto"/>
        </w:rPr>
      </w:pPr>
    </w:p>
    <w:p>
      <w:pPr>
        <w:jc w:val="center"/>
        <w:ind w:left="670"/>
        <w:spacing w:after="0"/>
        <w:rPr>
          <w:sz w:val="20"/>
          <w:szCs w:val="20"/>
          <w:color w:val="auto"/>
        </w:rPr>
      </w:pPr>
      <w:r>
        <w:rPr>
          <w:rFonts w:ascii="Times New Roman" w:cs="Times New Roman" w:eastAsia="Times New Roman" w:hAnsi="Times New Roman"/>
          <w:sz w:val="16"/>
          <w:szCs w:val="16"/>
          <w:color w:val="auto"/>
        </w:rPr>
        <w:t>(Address of principal executive offices)</w:t>
      </w:r>
    </w:p>
    <w:p>
      <w:pPr>
        <w:spacing w:after="0" w:line="20" w:lineRule="exact"/>
        <w:rPr>
          <w:sz w:val="24"/>
          <w:szCs w:val="24"/>
          <w:color w:val="auto"/>
        </w:rPr>
      </w:pPr>
      <w:r>
        <w:rPr>
          <w:sz w:val="24"/>
          <w:szCs w:val="24"/>
          <w:color w:val="auto"/>
        </w:rPr>
        <w:br w:type="column"/>
      </w:r>
    </w:p>
    <w:p>
      <w:pPr>
        <w:spacing w:after="0" w:line="114"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05"/>
        </w:trPr>
        <w:tc>
          <w:tcPr>
            <w:tcW w:w="780" w:type="dxa"/>
            <w:vAlign w:val="bottom"/>
          </w:tcPr>
          <w:p>
            <w:pPr>
              <w:spacing w:after="0"/>
              <w:rPr>
                <w:sz w:val="20"/>
                <w:szCs w:val="20"/>
                <w:color w:val="auto"/>
              </w:rPr>
            </w:pPr>
            <w:r>
              <w:rPr>
                <w:rFonts w:ascii="Times New Roman" w:cs="Times New Roman" w:eastAsia="Times New Roman" w:hAnsi="Times New Roman"/>
                <w:sz w:val="13"/>
                <w:szCs w:val="13"/>
                <w:color w:val="auto"/>
              </w:rPr>
              <w:t>​​​</w:t>
            </w:r>
          </w:p>
        </w:tc>
        <w:tc>
          <w:tcPr>
            <w:tcW w:w="3040" w:type="dxa"/>
            <w:vAlign w:val="bottom"/>
          </w:tcPr>
          <w:p>
            <w:pPr>
              <w:jc w:val="right"/>
              <w:ind w:right="699"/>
              <w:spacing w:after="0"/>
              <w:rPr>
                <w:sz w:val="20"/>
                <w:szCs w:val="20"/>
                <w:color w:val="auto"/>
              </w:rPr>
            </w:pPr>
            <w:r>
              <w:rPr>
                <w:rFonts w:ascii="Times New Roman" w:cs="Times New Roman" w:eastAsia="Times New Roman" w:hAnsi="Times New Roman"/>
                <w:sz w:val="16"/>
                <w:szCs w:val="16"/>
                <w:b w:val="1"/>
                <w:bCs w:val="1"/>
                <w:color w:val="auto"/>
              </w:rPr>
              <w:t>82-1669692</w:t>
            </w:r>
          </w:p>
        </w:tc>
      </w:tr>
      <w:tr>
        <w:trPr>
          <w:trHeight w:val="210"/>
        </w:trPr>
        <w:tc>
          <w:tcPr>
            <w:tcW w:w="780" w:type="dxa"/>
            <w:vAlign w:val="bottom"/>
          </w:tcPr>
          <w:p>
            <w:pPr>
              <w:spacing w:after="0"/>
              <w:rPr>
                <w:sz w:val="18"/>
                <w:szCs w:val="18"/>
                <w:color w:val="auto"/>
              </w:rPr>
            </w:pPr>
          </w:p>
        </w:tc>
        <w:tc>
          <w:tcPr>
            <w:tcW w:w="3040" w:type="dxa"/>
            <w:vAlign w:val="bottom"/>
          </w:tcPr>
          <w:p>
            <w:pPr>
              <w:jc w:val="center"/>
              <w:ind w:left="619"/>
              <w:spacing w:after="0"/>
              <w:rPr>
                <w:sz w:val="20"/>
                <w:szCs w:val="20"/>
                <w:color w:val="auto"/>
              </w:rPr>
            </w:pPr>
            <w:r>
              <w:rPr>
                <w:rFonts w:ascii="Times New Roman" w:cs="Times New Roman" w:eastAsia="Times New Roman" w:hAnsi="Times New Roman"/>
                <w:sz w:val="16"/>
                <w:szCs w:val="16"/>
                <w:color w:val="auto"/>
              </w:rPr>
              <w:t>(I.R.S. Employer Identification No.)</w:t>
            </w:r>
          </w:p>
        </w:tc>
      </w:tr>
    </w:tbl>
    <w:p>
      <w:pPr>
        <w:spacing w:after="0" w:line="341" w:lineRule="exact"/>
        <w:rPr>
          <w:sz w:val="24"/>
          <w:szCs w:val="24"/>
          <w:color w:val="auto"/>
        </w:rPr>
      </w:pPr>
    </w:p>
    <w:tbl>
      <w:tblPr>
        <w:tblLayout w:type="fixed"/>
        <w:tblInd w:w="0" w:type="dxa"/>
        <w:tblCellMar>
          <w:top w:w="0" w:type="dxa"/>
          <w:left w:w="0" w:type="dxa"/>
          <w:bottom w:w="0" w:type="dxa"/>
          <w:right w:w="0" w:type="dxa"/>
        </w:tblCellMar>
      </w:tblPr>
      <w:tr>
        <w:trPr>
          <w:trHeight w:val="229"/>
        </w:trPr>
        <w:tc>
          <w:tcPr>
            <w:tcW w:w="1200" w:type="dxa"/>
            <w:vAlign w:val="bottom"/>
          </w:tcPr>
          <w:p>
            <w:pPr>
              <w:spacing w:after="0"/>
              <w:rPr>
                <w:sz w:val="20"/>
                <w:szCs w:val="20"/>
                <w:color w:val="auto"/>
              </w:rPr>
            </w:pPr>
            <w:r>
              <w:rPr>
                <w:rFonts w:ascii="Times New Roman" w:cs="Times New Roman" w:eastAsia="Times New Roman" w:hAnsi="Times New Roman"/>
                <w:sz w:val="13"/>
                <w:szCs w:val="13"/>
                <w:color w:val="auto"/>
              </w:rPr>
              <w:t>​​​</w:t>
            </w:r>
          </w:p>
        </w:tc>
        <w:tc>
          <w:tcPr>
            <w:tcW w:w="1780" w:type="dxa"/>
            <w:vAlign w:val="bottom"/>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75023</w:t>
            </w:r>
          </w:p>
        </w:tc>
      </w:tr>
      <w:tr>
        <w:trPr>
          <w:trHeight w:val="213"/>
        </w:trPr>
        <w:tc>
          <w:tcPr>
            <w:tcW w:w="1200" w:type="dxa"/>
            <w:vAlign w:val="bottom"/>
          </w:tcPr>
          <w:p>
            <w:pPr>
              <w:spacing w:after="0"/>
              <w:rPr>
                <w:sz w:val="18"/>
                <w:szCs w:val="18"/>
                <w:color w:val="auto"/>
              </w:rPr>
            </w:pPr>
          </w:p>
        </w:tc>
        <w:tc>
          <w:tcPr>
            <w:tcW w:w="1780" w:type="dxa"/>
            <w:vAlign w:val="bottom"/>
          </w:tcPr>
          <w:p>
            <w:pPr>
              <w:jc w:val="center"/>
              <w:ind w:left="1019"/>
              <w:spacing w:after="0"/>
              <w:rPr>
                <w:sz w:val="20"/>
                <w:szCs w:val="20"/>
                <w:color w:val="auto"/>
              </w:rPr>
            </w:pPr>
            <w:r>
              <w:rPr>
                <w:rFonts w:ascii="Times New Roman" w:cs="Times New Roman" w:eastAsia="Times New Roman" w:hAnsi="Times New Roman"/>
                <w:sz w:val="16"/>
                <w:szCs w:val="16"/>
                <w:color w:val="auto"/>
              </w:rPr>
              <w:t>(Zip code)</w:t>
            </w:r>
          </w:p>
        </w:tc>
      </w:tr>
    </w:tbl>
    <w:p>
      <w:pPr>
        <w:spacing w:after="0" w:line="200" w:lineRule="exact"/>
        <w:rPr>
          <w:sz w:val="24"/>
          <w:szCs w:val="24"/>
          <w:color w:val="auto"/>
        </w:rPr>
      </w:pPr>
    </w:p>
    <w:p>
      <w:pPr>
        <w:sectPr>
          <w:pgSz w:w="11900" w:h="16838" w:orient="portrait"/>
          <w:cols w:equalWidth="0" w:num="2">
            <w:col w:w="4350" w:space="720"/>
            <w:col w:w="5100"/>
          </w:cols>
          <w:pgMar w:left="830" w:top="661" w:right="899" w:bottom="1440" w:gutter="0" w:footer="0" w:header="0"/>
          <w:type w:val="continuous"/>
        </w:sectPr>
      </w:pPr>
    </w:p>
    <w:p>
      <w:pPr>
        <w:spacing w:after="0" w:line="6" w:lineRule="exact"/>
        <w:rPr>
          <w:sz w:val="24"/>
          <w:szCs w:val="24"/>
          <w:color w:val="auto"/>
        </w:rPr>
      </w:pPr>
    </w:p>
    <w:p>
      <w:pPr>
        <w:jc w:val="center"/>
        <w:ind w:right="-49"/>
        <w:spacing w:after="0"/>
        <w:rPr>
          <w:sz w:val="20"/>
          <w:szCs w:val="20"/>
          <w:color w:val="auto"/>
        </w:rPr>
      </w:pPr>
      <w:r>
        <w:rPr>
          <w:rFonts w:ascii="Times New Roman" w:cs="Times New Roman" w:eastAsia="Times New Roman" w:hAnsi="Times New Roman"/>
          <w:sz w:val="16"/>
          <w:szCs w:val="16"/>
          <w:b w:val="1"/>
          <w:bCs w:val="1"/>
          <w:color w:val="auto"/>
        </w:rPr>
        <w:t>(978) 614-8100</w:t>
      </w:r>
    </w:p>
    <w:p>
      <w:pPr>
        <w:spacing w:after="0" w:line="28" w:lineRule="exact"/>
        <w:rPr>
          <w:sz w:val="24"/>
          <w:szCs w:val="24"/>
          <w:color w:val="auto"/>
        </w:rPr>
      </w:pPr>
    </w:p>
    <w:p>
      <w:pPr>
        <w:jc w:val="center"/>
        <w:ind w:right="-49"/>
        <w:spacing w:after="0"/>
        <w:rPr>
          <w:sz w:val="20"/>
          <w:szCs w:val="20"/>
          <w:color w:val="auto"/>
        </w:rPr>
      </w:pPr>
      <w:r>
        <w:rPr>
          <w:rFonts w:ascii="Times New Roman" w:cs="Times New Roman" w:eastAsia="Times New Roman" w:hAnsi="Times New Roman"/>
          <w:sz w:val="16"/>
          <w:szCs w:val="16"/>
          <w:color w:val="auto"/>
        </w:rPr>
        <w:t>(Registrant’s telephone number, including area code)</w:t>
      </w:r>
    </w:p>
    <w:p>
      <w:pPr>
        <w:spacing w:after="0" w:line="132" w:lineRule="exact"/>
        <w:rPr>
          <w:sz w:val="24"/>
          <w:szCs w:val="24"/>
          <w:color w:val="auto"/>
        </w:rPr>
      </w:pPr>
    </w:p>
    <w:p>
      <w:pPr>
        <w:jc w:val="center"/>
        <w:ind w:right="-49"/>
        <w:spacing w:after="0"/>
        <w:rPr>
          <w:sz w:val="20"/>
          <w:szCs w:val="20"/>
          <w:color w:val="auto"/>
        </w:rPr>
      </w:pPr>
      <w:r>
        <w:rPr>
          <w:rFonts w:ascii="Times New Roman" w:cs="Times New Roman" w:eastAsia="Times New Roman" w:hAnsi="Times New Roman"/>
          <w:sz w:val="16"/>
          <w:szCs w:val="16"/>
          <w:color w:val="auto"/>
        </w:rPr>
        <w:t>N/A</w:t>
      </w:r>
    </w:p>
    <w:p>
      <w:pPr>
        <w:spacing w:after="0" w:line="26" w:lineRule="exact"/>
        <w:rPr>
          <w:sz w:val="24"/>
          <w:szCs w:val="24"/>
          <w:color w:val="auto"/>
        </w:rPr>
      </w:pPr>
    </w:p>
    <w:p>
      <w:pPr>
        <w:jc w:val="center"/>
        <w:ind w:right="-49"/>
        <w:spacing w:after="0"/>
        <w:rPr>
          <w:sz w:val="20"/>
          <w:szCs w:val="20"/>
          <w:color w:val="auto"/>
        </w:rPr>
      </w:pPr>
      <w:r>
        <w:rPr>
          <w:rFonts w:ascii="Times New Roman" w:cs="Times New Roman" w:eastAsia="Times New Roman" w:hAnsi="Times New Roman"/>
          <w:sz w:val="16"/>
          <w:szCs w:val="16"/>
          <w:color w:val="auto"/>
        </w:rPr>
        <w:t>(Former name, former address and former fiscal year, if changed since last report)</w:t>
      </w:r>
    </w:p>
    <w:p>
      <w:pPr>
        <w:spacing w:after="0" w:line="130" w:lineRule="exact"/>
        <w:rPr>
          <w:sz w:val="24"/>
          <w:szCs w:val="24"/>
          <w:color w:val="auto"/>
        </w:rPr>
      </w:pPr>
    </w:p>
    <w:p>
      <w:pPr>
        <w:jc w:val="center"/>
        <w:ind w:right="-49"/>
        <w:spacing w:after="0"/>
        <w:rPr>
          <w:sz w:val="20"/>
          <w:szCs w:val="20"/>
          <w:color w:val="auto"/>
        </w:rPr>
      </w:pPr>
      <w:r>
        <w:rPr>
          <w:rFonts w:ascii="Times New Roman" w:cs="Times New Roman" w:eastAsia="Times New Roman" w:hAnsi="Times New Roman"/>
          <w:sz w:val="16"/>
          <w:szCs w:val="16"/>
          <w:b w:val="1"/>
          <w:bCs w:val="1"/>
          <w:color w:val="auto"/>
        </w:rPr>
        <w:t>Securities registered pursuant to Section 12(b) of the Act:</w:t>
      </w:r>
    </w:p>
    <w:p>
      <w:pPr>
        <w:spacing w:after="0" w:line="145" w:lineRule="exact"/>
        <w:rPr>
          <w:sz w:val="24"/>
          <w:szCs w:val="24"/>
          <w:color w:val="auto"/>
        </w:rPr>
      </w:pPr>
    </w:p>
    <w:p>
      <w:pPr>
        <w:ind w:left="1170"/>
        <w:spacing w:after="0"/>
        <w:tabs>
          <w:tab w:leader="none" w:pos="4450" w:val="left"/>
          <w:tab w:leader="none" w:pos="7070" w:val="left"/>
        </w:tabs>
        <w:rPr>
          <w:sz w:val="20"/>
          <w:szCs w:val="20"/>
          <w:color w:val="auto"/>
        </w:rPr>
      </w:pPr>
      <w:r>
        <w:rPr>
          <w:rFonts w:ascii="Times New Roman" w:cs="Times New Roman" w:eastAsia="Times New Roman" w:hAnsi="Times New Roman"/>
          <w:sz w:val="14"/>
          <w:szCs w:val="14"/>
          <w:b w:val="1"/>
          <w:bCs w:val="1"/>
          <w:color w:val="auto"/>
        </w:rPr>
        <w:t>Title of each class</w:t>
      </w:r>
      <w:r>
        <w:rPr>
          <w:sz w:val="20"/>
          <w:szCs w:val="20"/>
          <w:color w:val="auto"/>
        </w:rPr>
        <w:tab/>
      </w:r>
      <w:r>
        <w:rPr>
          <w:rFonts w:ascii="Times New Roman" w:cs="Times New Roman" w:eastAsia="Times New Roman" w:hAnsi="Times New Roman"/>
          <w:sz w:val="14"/>
          <w:szCs w:val="14"/>
          <w:b w:val="1"/>
          <w:bCs w:val="1"/>
          <w:color w:val="auto"/>
        </w:rPr>
        <w:t>Trading Symbol(s)</w:t>
      </w:r>
      <w:r>
        <w:rPr>
          <w:sz w:val="20"/>
          <w:szCs w:val="20"/>
          <w:color w:val="auto"/>
        </w:rPr>
        <w:tab/>
      </w:r>
      <w:r>
        <w:rPr>
          <w:rFonts w:ascii="Times New Roman" w:cs="Times New Roman" w:eastAsia="Times New Roman" w:hAnsi="Times New Roman"/>
          <w:sz w:val="14"/>
          <w:szCs w:val="14"/>
          <w:b w:val="1"/>
          <w:bCs w:val="1"/>
          <w:color w:val="auto"/>
        </w:rPr>
        <w:t>Name of each exchange on which registered</w:t>
      </w:r>
    </w:p>
    <w:p>
      <w:pPr>
        <w:spacing w:after="0" w:line="6" w:lineRule="exact"/>
        <w:rPr>
          <w:sz w:val="24"/>
          <w:szCs w:val="24"/>
          <w:color w:val="auto"/>
        </w:rPr>
      </w:pPr>
    </w:p>
    <w:p>
      <w:pPr>
        <w:ind w:left="710"/>
        <w:spacing w:after="0"/>
        <w:tabs>
          <w:tab w:leader="none" w:pos="4810" w:val="left"/>
          <w:tab w:leader="none" w:pos="7430" w:val="left"/>
        </w:tabs>
        <w:rPr>
          <w:sz w:val="20"/>
          <w:szCs w:val="20"/>
          <w:color w:val="auto"/>
        </w:rPr>
      </w:pPr>
      <w:r>
        <w:rPr>
          <w:rFonts w:ascii="Times New Roman" w:cs="Times New Roman" w:eastAsia="Times New Roman" w:hAnsi="Times New Roman"/>
          <w:sz w:val="14"/>
          <w:szCs w:val="14"/>
          <w:color w:val="auto"/>
        </w:rPr>
        <w:t>Common Stock, par value $0.0001</w:t>
      </w:r>
      <w:r>
        <w:rPr>
          <w:sz w:val="20"/>
          <w:szCs w:val="20"/>
          <w:color w:val="auto"/>
        </w:rPr>
        <w:tab/>
      </w:r>
      <w:r>
        <w:rPr>
          <w:rFonts w:ascii="Times New Roman" w:cs="Times New Roman" w:eastAsia="Times New Roman" w:hAnsi="Times New Roman"/>
          <w:sz w:val="14"/>
          <w:szCs w:val="14"/>
          <w:color w:val="auto"/>
        </w:rPr>
        <w:t>RBBN</w:t>
      </w:r>
      <w:r>
        <w:rPr>
          <w:sz w:val="20"/>
          <w:szCs w:val="20"/>
          <w:color w:val="auto"/>
        </w:rPr>
        <w:tab/>
      </w:r>
      <w:r>
        <w:rPr>
          <w:rFonts w:ascii="Times New Roman" w:cs="Times New Roman" w:eastAsia="Times New Roman" w:hAnsi="Times New Roman"/>
          <w:sz w:val="14"/>
          <w:szCs w:val="14"/>
          <w:color w:val="auto"/>
        </w:rPr>
        <w:t>The Nasdaq Global Select Market</w:t>
      </w:r>
    </w:p>
    <w:p>
      <w:pPr>
        <w:spacing w:after="0" w:line="196" w:lineRule="exact"/>
        <w:rPr>
          <w:sz w:val="24"/>
          <w:szCs w:val="24"/>
          <w:color w:val="auto"/>
        </w:rPr>
      </w:pPr>
    </w:p>
    <w:p>
      <w:pPr>
        <w:ind w:left="10" w:firstLine="324"/>
        <w:spacing w:after="0" w:line="214"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p>
    <w:p>
      <w:pPr>
        <w:spacing w:after="0" w:line="90" w:lineRule="exact"/>
        <w:rPr>
          <w:sz w:val="24"/>
          <w:szCs w:val="24"/>
          <w:color w:val="auto"/>
        </w:rPr>
      </w:pPr>
    </w:p>
    <w:p>
      <w:pPr>
        <w:ind w:left="10" w:right="60" w:firstLine="324"/>
        <w:spacing w:after="0" w:line="214"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p>
    <w:p>
      <w:pPr>
        <w:spacing w:after="0" w:line="90" w:lineRule="exact"/>
        <w:rPr>
          <w:sz w:val="24"/>
          <w:szCs w:val="24"/>
          <w:color w:val="auto"/>
        </w:rPr>
      </w:pPr>
    </w:p>
    <w:p>
      <w:pPr>
        <w:ind w:left="10" w:right="120" w:firstLine="324"/>
        <w:spacing w:after="0" w:line="281" w:lineRule="auto"/>
        <w:rPr>
          <w:sz w:val="20"/>
          <w:szCs w:val="20"/>
          <w:color w:val="auto"/>
        </w:rPr>
      </w:pPr>
      <w:r>
        <w:rPr>
          <w:rFonts w:ascii="Times New Roman" w:cs="Times New Roman" w:eastAsia="Times New Roman" w:hAnsi="Times New Roman"/>
          <w:sz w:val="16"/>
          <w:szCs w:val="16"/>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pacing w:after="0" w:line="70" w:lineRule="exact"/>
        <w:rPr>
          <w:sz w:val="24"/>
          <w:szCs w:val="24"/>
          <w:color w:val="auto"/>
        </w:rPr>
      </w:pPr>
    </w:p>
    <w:p>
      <w:pPr>
        <w:ind w:left="770"/>
        <w:spacing w:after="0" w:line="161" w:lineRule="exact"/>
        <w:tabs>
          <w:tab w:leader="none" w:pos="3170" w:val="left"/>
          <w:tab w:leader="none" w:pos="4470" w:val="left"/>
          <w:tab w:leader="none" w:pos="6630" w:val="left"/>
          <w:tab w:leader="none" w:pos="7690" w:val="left"/>
          <w:tab w:leader="none" w:pos="9750" w:val="left"/>
        </w:tabs>
        <w:rPr>
          <w:sz w:val="20"/>
          <w:szCs w:val="20"/>
          <w:color w:val="auto"/>
        </w:rPr>
      </w:pPr>
      <w:r>
        <w:rPr>
          <w:rFonts w:ascii="Times New Roman" w:cs="Times New Roman" w:eastAsia="Times New Roman" w:hAnsi="Times New Roman"/>
          <w:sz w:val="14"/>
          <w:szCs w:val="14"/>
          <w:color w:val="auto"/>
        </w:rPr>
        <w:t>Large accelerated filer</w:t>
      </w:r>
      <w:r>
        <w:rPr>
          <w:sz w:val="20"/>
          <w:szCs w:val="20"/>
          <w:color w:val="auto"/>
        </w:rPr>
        <w:tab/>
      </w:r>
      <w:r>
        <w:rPr>
          <w:rFonts w:ascii="MS PGothic" w:cs="MS PGothic" w:eastAsia="MS PGothic" w:hAnsi="MS PGothic"/>
          <w:sz w:val="14"/>
          <w:szCs w:val="14"/>
          <w:color w:val="auto"/>
        </w:rPr>
        <w:t>☐</w:t>
      </w:r>
      <w:r>
        <w:rPr>
          <w:sz w:val="20"/>
          <w:szCs w:val="20"/>
          <w:color w:val="auto"/>
        </w:rPr>
        <w:tab/>
      </w:r>
      <w:r>
        <w:rPr>
          <w:rFonts w:ascii="Times New Roman" w:cs="Times New Roman" w:eastAsia="Times New Roman" w:hAnsi="Times New Roman"/>
          <w:sz w:val="14"/>
          <w:szCs w:val="14"/>
          <w:color w:val="auto"/>
        </w:rPr>
        <w:t>Accelerated filer</w:t>
      </w:r>
      <w:r>
        <w:rPr>
          <w:sz w:val="20"/>
          <w:szCs w:val="20"/>
          <w:color w:val="auto"/>
        </w:rPr>
        <w:tab/>
      </w:r>
      <w:r>
        <w:rPr>
          <w:rFonts w:ascii="MS PGothic" w:cs="MS PGothic" w:eastAsia="MS PGothic" w:hAnsi="MS PGothic"/>
          <w:sz w:val="14"/>
          <w:szCs w:val="14"/>
          <w:color w:val="auto"/>
        </w:rPr>
        <w:t>☒</w:t>
      </w:r>
      <w:r>
        <w:rPr>
          <w:sz w:val="20"/>
          <w:szCs w:val="20"/>
          <w:color w:val="auto"/>
        </w:rPr>
        <w:tab/>
      </w:r>
      <w:r>
        <w:rPr>
          <w:rFonts w:ascii="Times New Roman" w:cs="Times New Roman" w:eastAsia="Times New Roman" w:hAnsi="Times New Roman"/>
          <w:sz w:val="14"/>
          <w:szCs w:val="14"/>
          <w:color w:val="auto"/>
        </w:rPr>
        <w:t>Non-accelerated filer</w:t>
      </w:r>
      <w:r>
        <w:rPr>
          <w:sz w:val="20"/>
          <w:szCs w:val="20"/>
          <w:color w:val="auto"/>
        </w:rPr>
        <w:tab/>
      </w:r>
      <w:r>
        <w:rPr>
          <w:rFonts w:ascii="MS PGothic" w:cs="MS PGothic" w:eastAsia="MS PGothic" w:hAnsi="MS PGothic"/>
          <w:sz w:val="14"/>
          <w:szCs w:val="14"/>
          <w:color w:val="auto"/>
        </w:rPr>
        <w:t>☐</w:t>
      </w:r>
    </w:p>
    <w:p>
      <w:pPr>
        <w:spacing w:after="0" w:line="48" w:lineRule="exact"/>
        <w:rPr>
          <w:sz w:val="24"/>
          <w:szCs w:val="24"/>
          <w:color w:val="auto"/>
        </w:rPr>
      </w:pPr>
    </w:p>
    <w:p>
      <w:pPr>
        <w:ind w:left="630"/>
        <w:spacing w:after="0" w:line="161" w:lineRule="exact"/>
        <w:tabs>
          <w:tab w:leader="none" w:pos="3170" w:val="left"/>
          <w:tab w:leader="none" w:pos="4150" w:val="left"/>
          <w:tab w:leader="none" w:pos="6630" w:val="left"/>
        </w:tabs>
        <w:rPr>
          <w:sz w:val="20"/>
          <w:szCs w:val="20"/>
          <w:color w:val="auto"/>
        </w:rPr>
      </w:pPr>
      <w:r>
        <w:rPr>
          <w:rFonts w:ascii="Times New Roman" w:cs="Times New Roman" w:eastAsia="Times New Roman" w:hAnsi="Times New Roman"/>
          <w:sz w:val="14"/>
          <w:szCs w:val="14"/>
          <w:color w:val="auto"/>
        </w:rPr>
        <w:t>Smaller reporting company</w:t>
      </w:r>
      <w:r>
        <w:rPr>
          <w:sz w:val="20"/>
          <w:szCs w:val="20"/>
          <w:color w:val="auto"/>
        </w:rPr>
        <w:tab/>
      </w:r>
      <w:r>
        <w:rPr>
          <w:rFonts w:ascii="MS PGothic" w:cs="MS PGothic" w:eastAsia="MS PGothic" w:hAnsi="MS PGothic"/>
          <w:sz w:val="14"/>
          <w:szCs w:val="14"/>
          <w:color w:val="auto"/>
        </w:rPr>
        <w:t>☐</w:t>
      </w:r>
      <w:r>
        <w:rPr>
          <w:sz w:val="20"/>
          <w:szCs w:val="20"/>
          <w:color w:val="auto"/>
        </w:rPr>
        <w:tab/>
      </w:r>
      <w:r>
        <w:rPr>
          <w:rFonts w:ascii="Times New Roman" w:cs="Times New Roman" w:eastAsia="Times New Roman" w:hAnsi="Times New Roman"/>
          <w:sz w:val="14"/>
          <w:szCs w:val="14"/>
          <w:color w:val="auto"/>
        </w:rPr>
        <w:t>Emerging growth company</w:t>
      </w:r>
      <w:r>
        <w:rPr>
          <w:sz w:val="20"/>
          <w:szCs w:val="20"/>
          <w:color w:val="auto"/>
        </w:rPr>
        <w:tab/>
      </w:r>
      <w:r>
        <w:rPr>
          <w:rFonts w:ascii="MS PGothic" w:cs="MS PGothic" w:eastAsia="MS PGothic" w:hAnsi="MS PGothic"/>
          <w:sz w:val="12"/>
          <w:szCs w:val="12"/>
          <w:color w:val="auto"/>
        </w:rPr>
        <w:t>☐</w:t>
      </w:r>
    </w:p>
    <w:p>
      <w:pPr>
        <w:spacing w:after="0" w:line="102" w:lineRule="exact"/>
        <w:rPr>
          <w:sz w:val="24"/>
          <w:szCs w:val="24"/>
          <w:color w:val="auto"/>
        </w:rPr>
      </w:pPr>
    </w:p>
    <w:p>
      <w:pPr>
        <w:ind w:left="10" w:right="200" w:firstLine="324"/>
        <w:spacing w:after="0" w:line="220" w:lineRule="exact"/>
        <w:rPr>
          <w:sz w:val="20"/>
          <w:szCs w:val="20"/>
          <w:color w:val="auto"/>
        </w:rPr>
      </w:pPr>
      <w:r>
        <w:rPr>
          <w:rFonts w:ascii="Times New Roman" w:cs="Times New Roman" w:eastAsia="Times New Roman" w:hAnsi="Times New Roman"/>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52" w:lineRule="exact"/>
        <w:rPr>
          <w:sz w:val="24"/>
          <w:szCs w:val="24"/>
          <w:color w:val="auto"/>
        </w:rPr>
      </w:pPr>
    </w:p>
    <w:p>
      <w:pPr>
        <w:jc w:val="both"/>
        <w:ind w:left="330" w:right="1480"/>
        <w:spacing w:after="0" w:line="224"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is a shell company (as defined in Rule 12b-2 of the Exchange Act).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As of April 27, 2026, there were 176,139,067 shares of the registrant’s common stock, $0.0001 par value per share,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-1270</wp:posOffset>
            </wp:positionH>
            <wp:positionV relativeFrom="paragraph">
              <wp:posOffset>561975</wp:posOffset>
            </wp:positionV>
            <wp:extent cx="6497955" cy="260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497955" cy="26035"/>
                    </a:xfrm>
                    <a:prstGeom prst="rect">
                      <a:avLst/>
                    </a:prstGeom>
                    <a:noFill/>
                  </pic:spPr>
                </pic:pic>
              </a:graphicData>
            </a:graphic>
          </wp:anchor>
        </w:drawing>
        <w:drawing>
          <wp:anchor simplePos="0" relativeHeight="251657728" behindDoc="1" locked="0" layoutInCell="0" allowOverlap="1">
            <wp:simplePos x="0" y="0"/>
            <wp:positionH relativeFrom="column">
              <wp:posOffset>-1270</wp:posOffset>
            </wp:positionH>
            <wp:positionV relativeFrom="paragraph">
              <wp:posOffset>81915</wp:posOffset>
            </wp:positionV>
            <wp:extent cx="649795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497955" cy="8890"/>
                    </a:xfrm>
                    <a:prstGeom prst="rect">
                      <a:avLst/>
                    </a:prstGeom>
                    <a:noFill/>
                  </pic:spPr>
                </pic:pic>
              </a:graphicData>
            </a:graphic>
          </wp:anchor>
        </w:drawing>
        <w:drawing>
          <wp:anchor simplePos="0" relativeHeight="251657728" behindDoc="1" locked="0" layoutInCell="0" allowOverlap="1">
            <wp:simplePos x="0" y="0"/>
            <wp:positionH relativeFrom="column">
              <wp:posOffset>-1270</wp:posOffset>
            </wp:positionH>
            <wp:positionV relativeFrom="paragraph">
              <wp:posOffset>124460</wp:posOffset>
            </wp:positionV>
            <wp:extent cx="6497955" cy="342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497955" cy="34290"/>
                    </a:xfrm>
                    <a:prstGeom prst="rect">
                      <a:avLst/>
                    </a:prstGeom>
                    <a:noFill/>
                  </pic:spPr>
                </pic:pic>
              </a:graphicData>
            </a:graphic>
          </wp:anchor>
        </w:drawing>
      </w:r>
    </w:p>
    <w:p>
      <w:pPr>
        <w:sectPr>
          <w:pgSz w:w="11900" w:h="16838" w:orient="portrait"/>
          <w:cols w:equalWidth="0" w:num="1">
            <w:col w:w="10170"/>
          </w:cols>
          <w:pgMar w:left="830" w:top="661" w:right="899" w:bottom="1440" w:gutter="0" w:footer="0" w:header="0"/>
          <w:type w:val="continuous"/>
        </w:sectPr>
      </w:pPr>
    </w:p>
    <w:bookmarkStart w:id="1" w:name="page2"/>
    <w:bookmarkEnd w:id="1"/>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RIBBON COMMUNICATIONS INC.</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FORM 10-Q</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QUARTERLY PERIOD ENDED MARCH 31, 2026</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TABLE OF CONTENTS</w:t>
      </w:r>
    </w:p>
    <w:p>
      <w:pPr>
        <w:spacing w:after="0" w:line="214" w:lineRule="exact"/>
        <w:rPr>
          <w:sz w:val="20"/>
          <w:szCs w:val="20"/>
          <w:color w:val="auto"/>
        </w:rPr>
      </w:pPr>
    </w:p>
    <w:tbl>
      <w:tblPr>
        <w:tblLayout w:type="fixed"/>
        <w:tblInd w:w="60" w:type="dxa"/>
        <w:tblCellMar>
          <w:top w:w="0" w:type="dxa"/>
          <w:left w:w="0" w:type="dxa"/>
          <w:bottom w:w="0" w:type="dxa"/>
          <w:right w:w="0" w:type="dxa"/>
        </w:tblCellMar>
      </w:tblPr>
      <w:tr>
        <w:trPr>
          <w:trHeight w:val="173"/>
        </w:trPr>
        <w:tc>
          <w:tcPr>
            <w:tcW w:w="840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Item</w:t>
            </w:r>
          </w:p>
        </w:tc>
        <w:tc>
          <w:tcPr>
            <w:tcW w:w="4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Page</w:t>
            </w:r>
          </w:p>
        </w:tc>
      </w:tr>
      <w:tr>
        <w:trPr>
          <w:trHeight w:val="385"/>
        </w:trPr>
        <w:tc>
          <w:tcPr>
            <w:tcW w:w="400" w:type="dxa"/>
            <w:vAlign w:val="bottom"/>
          </w:tcPr>
          <w:p>
            <w:pPr>
              <w:spacing w:after="0"/>
              <w:rPr>
                <w:sz w:val="24"/>
                <w:szCs w:val="24"/>
                <w:color w:val="auto"/>
              </w:rPr>
            </w:pPr>
          </w:p>
        </w:tc>
        <w:tc>
          <w:tcPr>
            <w:tcW w:w="8000" w:type="dxa"/>
            <w:vAlign w:val="bottom"/>
            <w:gridSpan w:val="2"/>
          </w:tcPr>
          <w:p>
            <w:pPr>
              <w:spacing w:after="0"/>
              <w:rPr>
                <w:sz w:val="20"/>
                <w:szCs w:val="20"/>
                <w:color w:val="auto"/>
              </w:rPr>
            </w:pPr>
            <w:r>
              <w:rPr>
                <w:rFonts w:ascii="Times New Roman" w:cs="Times New Roman" w:eastAsia="Times New Roman" w:hAnsi="Times New Roman"/>
                <w:sz w:val="18"/>
                <w:szCs w:val="18"/>
                <w:color w:val="0000EE"/>
              </w:rPr>
              <w:t>Cautionary Note Regarding Forward-Looking Statements</w:t>
            </w:r>
          </w:p>
        </w:tc>
        <w:tc>
          <w:tcPr>
            <w:tcW w:w="480" w:type="dxa"/>
            <w:vAlign w:val="bottom"/>
          </w:tcPr>
          <w:p>
            <w:pPr>
              <w:jc w:val="right"/>
              <w:ind w:right="119"/>
              <w:spacing w:after="0"/>
              <w:rPr>
                <w:sz w:val="20"/>
                <w:szCs w:val="20"/>
                <w:color w:val="auto"/>
              </w:rPr>
            </w:pPr>
            <w:r>
              <w:rPr>
                <w:rFonts w:ascii="Times New Roman" w:cs="Times New Roman" w:eastAsia="Times New Roman" w:hAnsi="Times New Roman"/>
                <w:sz w:val="18"/>
                <w:szCs w:val="18"/>
                <w:color w:val="auto"/>
              </w:rPr>
              <w:t>3</w:t>
            </w:r>
          </w:p>
        </w:tc>
      </w:tr>
      <w:tr>
        <w:trPr>
          <w:trHeight w:val="20"/>
        </w:trPr>
        <w:tc>
          <w:tcPr>
            <w:tcW w:w="400" w:type="dxa"/>
            <w:vAlign w:val="bottom"/>
          </w:tcPr>
          <w:p>
            <w:pPr>
              <w:spacing w:after="0" w:line="20" w:lineRule="exact"/>
              <w:rPr>
                <w:sz w:val="1"/>
                <w:szCs w:val="1"/>
                <w:color w:val="auto"/>
              </w:rPr>
            </w:pPr>
          </w:p>
        </w:tc>
        <w:tc>
          <w:tcPr>
            <w:tcW w:w="4140" w:type="dxa"/>
            <w:vAlign w:val="bottom"/>
            <w:shd w:val="clear" w:color="auto" w:fill="0000EE"/>
          </w:tcPr>
          <w:p>
            <w:pPr>
              <w:spacing w:after="0" w:line="20" w:lineRule="exact"/>
              <w:rPr>
                <w:sz w:val="1"/>
                <w:szCs w:val="1"/>
                <w:color w:val="auto"/>
              </w:rPr>
            </w:pPr>
          </w:p>
        </w:tc>
        <w:tc>
          <w:tcPr>
            <w:tcW w:w="38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r>
    </w:tbl>
    <w:p>
      <w:pPr>
        <w:spacing w:after="0" w:line="22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u w:val="single" w:color="auto"/>
          <w:color w:val="0000EE"/>
        </w:rPr>
        <w:t>PART I FINANCIAL INFORMATION</w:t>
      </w:r>
    </w:p>
    <w:p>
      <w:pPr>
        <w:spacing w:after="0" w:line="229" w:lineRule="exact"/>
        <w:rPr>
          <w:sz w:val="20"/>
          <w:szCs w:val="20"/>
          <w:color w:val="auto"/>
        </w:rPr>
      </w:pPr>
    </w:p>
    <w:p>
      <w:pPr>
        <w:ind w:left="460" w:hanging="410"/>
        <w:spacing w:after="0"/>
        <w:tabs>
          <w:tab w:leader="none" w:pos="460" w:val="left"/>
        </w:tabs>
        <w:numPr>
          <w:ilvl w:val="0"/>
          <w:numId w:val="3"/>
        </w:numPr>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u w:val="single" w:color="auto"/>
          <w:color w:val="0000EE"/>
        </w:rPr>
        <w:t>Financial Statements</w:t>
      </w:r>
    </w:p>
    <w:p>
      <w:pPr>
        <w:spacing w:after="0" w:line="212" w:lineRule="exact"/>
        <w:rPr>
          <w:sz w:val="20"/>
          <w:szCs w:val="20"/>
          <w:color w:val="auto"/>
        </w:rPr>
      </w:pPr>
    </w:p>
    <w:tbl>
      <w:tblPr>
        <w:tblLayout w:type="fixed"/>
        <w:tblInd w:w="4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40" w:type="dxa"/>
            <w:vAlign w:val="bottom"/>
            <w:gridSpan w:val="15"/>
          </w:tcPr>
          <w:p>
            <w:pPr>
              <w:spacing w:after="0"/>
              <w:rPr>
                <w:sz w:val="20"/>
                <w:szCs w:val="20"/>
                <w:color w:val="auto"/>
              </w:rPr>
            </w:pPr>
            <w:r>
              <w:rPr>
                <w:rFonts w:ascii="Times New Roman" w:cs="Times New Roman" w:eastAsia="Times New Roman" w:hAnsi="Times New Roman"/>
                <w:sz w:val="18"/>
                <w:szCs w:val="18"/>
                <w:color w:val="0000EE"/>
              </w:rPr>
              <w:t>Condensed Consolidated Balance Sheets as of March 31, 2026 and December 31, 2025 (unaudited)</w:t>
            </w:r>
          </w:p>
        </w:tc>
        <w:tc>
          <w:tcPr>
            <w:tcW w:w="4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4</w:t>
            </w:r>
          </w:p>
        </w:tc>
      </w:tr>
      <w:tr>
        <w:trPr>
          <w:trHeight w:val="20"/>
        </w:trPr>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right w:val="single" w:sz="8" w:color="0000EE"/>
            </w:tcBorders>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22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60" w:type="dxa"/>
            <w:vAlign w:val="bottom"/>
            <w:tcBorders>
              <w:left w:val="single" w:sz="8" w:color="0000EE"/>
            </w:tcBorders>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2020" w:type="dxa"/>
            <w:vAlign w:val="bottom"/>
            <w:shd w:val="clear" w:color="auto" w:fill="0000EE"/>
          </w:tcPr>
          <w:p>
            <w:pPr>
              <w:spacing w:after="0" w:line="20" w:lineRule="exact"/>
              <w:rPr>
                <w:sz w:val="1"/>
                <w:szCs w:val="1"/>
                <w:color w:val="auto"/>
              </w:rPr>
            </w:pPr>
          </w:p>
        </w:tc>
        <w:tc>
          <w:tcPr>
            <w:tcW w:w="520" w:type="dxa"/>
            <w:vAlign w:val="bottom"/>
            <w:tcBorders>
              <w:left w:val="single" w:sz="8" w:color="0000EE"/>
            </w:tcBorders>
            <w:shd w:val="clear" w:color="auto" w:fill="0000EE"/>
          </w:tcPr>
          <w:p>
            <w:pPr>
              <w:spacing w:after="0" w:line="20" w:lineRule="exact"/>
              <w:rPr>
                <w:sz w:val="1"/>
                <w:szCs w:val="1"/>
                <w:color w:val="auto"/>
              </w:rPr>
            </w:pPr>
          </w:p>
        </w:tc>
        <w:tc>
          <w:tcPr>
            <w:tcW w:w="1600" w:type="dxa"/>
            <w:vAlign w:val="bottom"/>
            <w:shd w:val="clear" w:color="auto" w:fill="0000EE"/>
          </w:tcPr>
          <w:p>
            <w:pPr>
              <w:spacing w:after="0" w:line="20" w:lineRule="exact"/>
              <w:rPr>
                <w:sz w:val="1"/>
                <w:szCs w:val="1"/>
                <w:color w:val="auto"/>
              </w:rPr>
            </w:pPr>
          </w:p>
        </w:tc>
        <w:tc>
          <w:tcPr>
            <w:tcW w:w="680" w:type="dxa"/>
            <w:vAlign w:val="bottom"/>
            <w:shd w:val="clear" w:color="auto" w:fill="0000EE"/>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r>
      <w:tr>
        <w:trPr>
          <w:trHeight w:val="412"/>
        </w:trPr>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620" w:type="dxa"/>
            <w:vAlign w:val="bottom"/>
            <w:tcBorders>
              <w:bottom w:val="single" w:sz="8" w:color="0000EE"/>
            </w:tcBorders>
            <w:gridSpan w:val="12"/>
          </w:tcPr>
          <w:p>
            <w:pPr>
              <w:spacing w:after="0"/>
              <w:rPr>
                <w:sz w:val="20"/>
                <w:szCs w:val="20"/>
                <w:color w:val="auto"/>
              </w:rPr>
            </w:pPr>
            <w:r>
              <w:rPr>
                <w:rFonts w:ascii="Times New Roman" w:cs="Times New Roman" w:eastAsia="Times New Roman" w:hAnsi="Times New Roman"/>
                <w:sz w:val="18"/>
                <w:szCs w:val="18"/>
                <w:color w:val="0000EE"/>
                <w:w w:val="99"/>
              </w:rPr>
              <w:t>Condensed Consolidated Statements of Operations for the Three Months Ended March 31, 2026 and 2025</w:t>
            </w:r>
          </w:p>
        </w:tc>
        <w:tc>
          <w:tcPr>
            <w:tcW w:w="420" w:type="dxa"/>
            <w:vAlign w:val="bottom"/>
            <w:gridSpan w:val="3"/>
          </w:tcPr>
          <w:p>
            <w:pPr>
              <w:spacing w:after="0"/>
              <w:rPr>
                <w:sz w:val="24"/>
                <w:szCs w:val="24"/>
                <w:color w:val="auto"/>
              </w:rPr>
            </w:pPr>
          </w:p>
        </w:tc>
        <w:tc>
          <w:tcPr>
            <w:tcW w:w="440" w:type="dxa"/>
            <w:vAlign w:val="bottom"/>
          </w:tcPr>
          <w:p>
            <w:pPr>
              <w:spacing w:after="0"/>
              <w:rPr>
                <w:sz w:val="24"/>
                <w:szCs w:val="24"/>
                <w:color w:val="auto"/>
              </w:rPr>
            </w:pPr>
          </w:p>
        </w:tc>
      </w:tr>
      <w:tr>
        <w:trPr>
          <w:trHeight w:val="196"/>
        </w:trPr>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40" w:type="dxa"/>
            <w:vAlign w:val="bottom"/>
            <w:gridSpan w:val="15"/>
          </w:tcPr>
          <w:p>
            <w:pPr>
              <w:spacing w:after="0" w:line="196" w:lineRule="exact"/>
              <w:rPr>
                <w:sz w:val="20"/>
                <w:szCs w:val="20"/>
                <w:color w:val="auto"/>
              </w:rPr>
            </w:pPr>
            <w:r>
              <w:rPr>
                <w:rFonts w:ascii="Times New Roman" w:cs="Times New Roman" w:eastAsia="Times New Roman" w:hAnsi="Times New Roman"/>
                <w:sz w:val="18"/>
                <w:szCs w:val="18"/>
                <w:color w:val="0000EE"/>
              </w:rPr>
              <w:t>(unaudited)</w:t>
            </w:r>
          </w:p>
        </w:tc>
        <w:tc>
          <w:tcPr>
            <w:tcW w:w="44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88"/>
              </w:rPr>
              <w:t>5</w:t>
            </w:r>
          </w:p>
        </w:tc>
      </w:tr>
      <w:tr>
        <w:trPr>
          <w:trHeight w:val="20"/>
        </w:trPr>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right w:val="single" w:sz="8" w:color="0000EE"/>
            </w:tcBorders>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22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1240" w:type="dxa"/>
            <w:vAlign w:val="bottom"/>
            <w:gridSpan w:val="3"/>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r>
      <w:tr>
        <w:trPr>
          <w:trHeight w:val="412"/>
        </w:trPr>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940" w:type="dxa"/>
            <w:vAlign w:val="bottom"/>
            <w:tcBorders>
              <w:bottom w:val="single" w:sz="8" w:color="0000EE"/>
            </w:tcBorders>
            <w:gridSpan w:val="14"/>
          </w:tcPr>
          <w:p>
            <w:pPr>
              <w:spacing w:after="0"/>
              <w:rPr>
                <w:sz w:val="20"/>
                <w:szCs w:val="20"/>
                <w:color w:val="auto"/>
              </w:rPr>
            </w:pPr>
            <w:r>
              <w:rPr>
                <w:rFonts w:ascii="Times New Roman" w:cs="Times New Roman" w:eastAsia="Times New Roman" w:hAnsi="Times New Roman"/>
                <w:sz w:val="18"/>
                <w:szCs w:val="18"/>
                <w:color w:val="0000EE"/>
                <w:w w:val="99"/>
              </w:rPr>
              <w:t>Condensed Consolidated Statements of Comprehensive Loss for the Three Months Ended March 31, 2026 and</w:t>
            </w: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r>
      <w:tr>
        <w:trPr>
          <w:trHeight w:val="196"/>
        </w:trPr>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40" w:type="dxa"/>
            <w:vAlign w:val="bottom"/>
            <w:gridSpan w:val="15"/>
          </w:tcPr>
          <w:p>
            <w:pPr>
              <w:spacing w:after="0" w:line="196" w:lineRule="exact"/>
              <w:rPr>
                <w:sz w:val="20"/>
                <w:szCs w:val="20"/>
                <w:color w:val="auto"/>
              </w:rPr>
            </w:pPr>
            <w:r>
              <w:rPr>
                <w:rFonts w:ascii="Times New Roman" w:cs="Times New Roman" w:eastAsia="Times New Roman" w:hAnsi="Times New Roman"/>
                <w:sz w:val="18"/>
                <w:szCs w:val="18"/>
                <w:color w:val="0000EE"/>
              </w:rPr>
              <w:t>2025 (unaudited)</w:t>
            </w:r>
          </w:p>
        </w:tc>
        <w:tc>
          <w:tcPr>
            <w:tcW w:w="44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88"/>
              </w:rPr>
              <w:t>6</w:t>
            </w:r>
          </w:p>
        </w:tc>
      </w:tr>
      <w:tr>
        <w:trPr>
          <w:trHeight w:val="20"/>
        </w:trPr>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right w:val="single" w:sz="8" w:color="0000EE"/>
            </w:tcBorders>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22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1240" w:type="dxa"/>
            <w:vAlign w:val="bottom"/>
            <w:gridSpan w:val="3"/>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r>
      <w:tr>
        <w:trPr>
          <w:trHeight w:val="412"/>
        </w:trPr>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40" w:type="dxa"/>
            <w:vAlign w:val="bottom"/>
            <w:gridSpan w:val="15"/>
          </w:tcPr>
          <w:p>
            <w:pPr>
              <w:spacing w:after="0"/>
              <w:rPr>
                <w:sz w:val="20"/>
                <w:szCs w:val="20"/>
                <w:color w:val="auto"/>
              </w:rPr>
            </w:pPr>
            <w:r>
              <w:rPr>
                <w:rFonts w:ascii="Times New Roman" w:cs="Times New Roman" w:eastAsia="Times New Roman" w:hAnsi="Times New Roman"/>
                <w:sz w:val="18"/>
                <w:szCs w:val="18"/>
                <w:color w:val="0000EE"/>
              </w:rPr>
              <w:t>Condensed Consolidated Statements of Stockholders’ Equity for the Three Months Ended March 31, 2026 and</w:t>
            </w:r>
          </w:p>
        </w:tc>
        <w:tc>
          <w:tcPr>
            <w:tcW w:w="440" w:type="dxa"/>
            <w:vAlign w:val="bottom"/>
          </w:tcPr>
          <w:p>
            <w:pPr>
              <w:spacing w:after="0"/>
              <w:rPr>
                <w:sz w:val="24"/>
                <w:szCs w:val="24"/>
                <w:color w:val="auto"/>
              </w:rPr>
            </w:pPr>
          </w:p>
        </w:tc>
      </w:tr>
      <w:tr>
        <w:trPr>
          <w:trHeight w:val="196"/>
        </w:trPr>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940" w:type="dxa"/>
            <w:vAlign w:val="bottom"/>
            <w:tcBorders>
              <w:top w:val="single" w:sz="8" w:color="0000EE"/>
            </w:tcBorders>
            <w:gridSpan w:val="14"/>
          </w:tcPr>
          <w:p>
            <w:pPr>
              <w:spacing w:after="0" w:line="196" w:lineRule="exact"/>
              <w:rPr>
                <w:sz w:val="20"/>
                <w:szCs w:val="20"/>
                <w:color w:val="auto"/>
              </w:rPr>
            </w:pPr>
            <w:r>
              <w:rPr>
                <w:rFonts w:ascii="Times New Roman" w:cs="Times New Roman" w:eastAsia="Times New Roman" w:hAnsi="Times New Roman"/>
                <w:sz w:val="18"/>
                <w:szCs w:val="18"/>
                <w:color w:val="0000EE"/>
              </w:rPr>
              <w:t>2025 (unaudited)</w:t>
            </w:r>
          </w:p>
        </w:tc>
        <w:tc>
          <w:tcPr>
            <w:tcW w:w="100" w:type="dxa"/>
            <w:vAlign w:val="bottom"/>
          </w:tcPr>
          <w:p>
            <w:pPr>
              <w:spacing w:after="0"/>
              <w:rPr>
                <w:sz w:val="17"/>
                <w:szCs w:val="17"/>
                <w:color w:val="auto"/>
              </w:rPr>
            </w:pPr>
          </w:p>
        </w:tc>
        <w:tc>
          <w:tcPr>
            <w:tcW w:w="44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88"/>
              </w:rPr>
              <w:t>7</w:t>
            </w:r>
          </w:p>
        </w:tc>
      </w:tr>
      <w:tr>
        <w:trPr>
          <w:trHeight w:val="20"/>
        </w:trPr>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right w:val="single" w:sz="8" w:color="0000EE"/>
            </w:tcBorders>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22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1240" w:type="dxa"/>
            <w:vAlign w:val="bottom"/>
            <w:gridSpan w:val="3"/>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r>
      <w:tr>
        <w:trPr>
          <w:trHeight w:val="412"/>
        </w:trPr>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680" w:type="dxa"/>
            <w:vAlign w:val="bottom"/>
            <w:tcBorders>
              <w:bottom w:val="single" w:sz="8" w:color="0000EE"/>
            </w:tcBorders>
            <w:gridSpan w:val="13"/>
          </w:tcPr>
          <w:p>
            <w:pPr>
              <w:spacing w:after="0"/>
              <w:rPr>
                <w:sz w:val="20"/>
                <w:szCs w:val="20"/>
                <w:color w:val="auto"/>
              </w:rPr>
            </w:pPr>
            <w:r>
              <w:rPr>
                <w:rFonts w:ascii="Times New Roman" w:cs="Times New Roman" w:eastAsia="Times New Roman" w:hAnsi="Times New Roman"/>
                <w:sz w:val="18"/>
                <w:szCs w:val="18"/>
                <w:color w:val="0000EE"/>
                <w:w w:val="99"/>
              </w:rPr>
              <w:t>Condensed Consolidated Statements of Cash Flows for the Three Months Ended March 31, 2026 and 2025</w:t>
            </w:r>
          </w:p>
        </w:tc>
        <w:tc>
          <w:tcPr>
            <w:tcW w:w="360" w:type="dxa"/>
            <w:vAlign w:val="bottom"/>
            <w:gridSpan w:val="2"/>
          </w:tcPr>
          <w:p>
            <w:pPr>
              <w:spacing w:after="0"/>
              <w:rPr>
                <w:sz w:val="24"/>
                <w:szCs w:val="24"/>
                <w:color w:val="auto"/>
              </w:rPr>
            </w:pPr>
          </w:p>
        </w:tc>
        <w:tc>
          <w:tcPr>
            <w:tcW w:w="440" w:type="dxa"/>
            <w:vAlign w:val="bottom"/>
          </w:tcPr>
          <w:p>
            <w:pPr>
              <w:spacing w:after="0"/>
              <w:rPr>
                <w:sz w:val="24"/>
                <w:szCs w:val="24"/>
                <w:color w:val="auto"/>
              </w:rPr>
            </w:pPr>
          </w:p>
        </w:tc>
      </w:tr>
      <w:tr>
        <w:trPr>
          <w:trHeight w:val="196"/>
        </w:trPr>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40" w:type="dxa"/>
            <w:vAlign w:val="bottom"/>
            <w:gridSpan w:val="15"/>
          </w:tcPr>
          <w:p>
            <w:pPr>
              <w:spacing w:after="0" w:line="196" w:lineRule="exact"/>
              <w:rPr>
                <w:sz w:val="20"/>
                <w:szCs w:val="20"/>
                <w:color w:val="auto"/>
              </w:rPr>
            </w:pPr>
            <w:r>
              <w:rPr>
                <w:rFonts w:ascii="Times New Roman" w:cs="Times New Roman" w:eastAsia="Times New Roman" w:hAnsi="Times New Roman"/>
                <w:sz w:val="18"/>
                <w:szCs w:val="18"/>
                <w:color w:val="0000EE"/>
              </w:rPr>
              <w:t>(unaudited)</w:t>
            </w:r>
          </w:p>
        </w:tc>
        <w:tc>
          <w:tcPr>
            <w:tcW w:w="44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88"/>
              </w:rPr>
              <w:t>8</w:t>
            </w:r>
          </w:p>
        </w:tc>
      </w:tr>
      <w:tr>
        <w:trPr>
          <w:trHeight w:val="20"/>
        </w:trPr>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right w:val="single" w:sz="8" w:color="0000EE"/>
            </w:tcBorders>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22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1600" w:type="dxa"/>
            <w:vAlign w:val="bottom"/>
            <w:gridSpan w:val="5"/>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r>
      <w:tr>
        <w:trPr>
          <w:trHeight w:val="412"/>
        </w:trPr>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40" w:type="dxa"/>
            <w:vAlign w:val="bottom"/>
            <w:gridSpan w:val="15"/>
          </w:tcPr>
          <w:p>
            <w:pPr>
              <w:spacing w:after="0"/>
              <w:rPr>
                <w:sz w:val="20"/>
                <w:szCs w:val="20"/>
                <w:color w:val="auto"/>
              </w:rPr>
            </w:pPr>
            <w:r>
              <w:rPr>
                <w:rFonts w:ascii="Times New Roman" w:cs="Times New Roman" w:eastAsia="Times New Roman" w:hAnsi="Times New Roman"/>
                <w:sz w:val="18"/>
                <w:szCs w:val="18"/>
                <w:color w:val="0000EE"/>
              </w:rPr>
              <w:t>Notes to Condensed Consolidated Financial Statements (unaudited)</w:t>
            </w:r>
          </w:p>
        </w:tc>
        <w:tc>
          <w:tcPr>
            <w:tcW w:w="4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10</w:t>
            </w:r>
          </w:p>
        </w:tc>
      </w:tr>
      <w:tr>
        <w:trPr>
          <w:trHeight w:val="20"/>
        </w:trPr>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right w:val="single" w:sz="8" w:color="0000EE"/>
            </w:tcBorders>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22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0" w:type="dxa"/>
            <w:vAlign w:val="bottom"/>
            <w:gridSpan w:val="2"/>
            <w:shd w:val="clear" w:color="auto" w:fill="0000EE"/>
          </w:tcPr>
          <w:p>
            <w:pPr>
              <w:spacing w:after="0" w:line="20" w:lineRule="exact"/>
              <w:rPr>
                <w:sz w:val="1"/>
                <w:szCs w:val="1"/>
                <w:color w:val="auto"/>
              </w:rPr>
            </w:pPr>
          </w:p>
        </w:tc>
        <w:tc>
          <w:tcPr>
            <w:tcW w:w="460" w:type="dxa"/>
            <w:vAlign w:val="bottom"/>
            <w:tcBorders>
              <w:left w:val="single" w:sz="8" w:color="0000EE"/>
            </w:tcBorders>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2020" w:type="dxa"/>
            <w:vAlign w:val="bottom"/>
            <w:shd w:val="clear" w:color="auto" w:fill="0000EE"/>
          </w:tcPr>
          <w:p>
            <w:pPr>
              <w:spacing w:after="0" w:line="20" w:lineRule="exact"/>
              <w:rPr>
                <w:sz w:val="1"/>
                <w:szCs w:val="1"/>
                <w:color w:val="auto"/>
              </w:rPr>
            </w:pPr>
          </w:p>
        </w:tc>
        <w:tc>
          <w:tcPr>
            <w:tcW w:w="520" w:type="dxa"/>
            <w:vAlign w:val="bottom"/>
            <w:tcBorders>
              <w:left w:val="single" w:sz="8" w:color="0000EE"/>
            </w:tcBorders>
            <w:shd w:val="clear" w:color="auto" w:fill="0000EE"/>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1600" w:type="dxa"/>
            <w:vAlign w:val="bottom"/>
            <w:gridSpan w:val="5"/>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r>
      <w:tr>
        <w:trPr>
          <w:trHeight w:val="412"/>
        </w:trPr>
        <w:tc>
          <w:tcPr>
            <w:tcW w:w="1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0000EE"/>
                <w:w w:val="73"/>
              </w:rPr>
              <w:t>2.</w:t>
            </w: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40" w:type="dxa"/>
            <w:vAlign w:val="bottom"/>
            <w:gridSpan w:val="15"/>
          </w:tcPr>
          <w:p>
            <w:pPr>
              <w:spacing w:after="0"/>
              <w:rPr>
                <w:sz w:val="20"/>
                <w:szCs w:val="20"/>
                <w:color w:val="auto"/>
              </w:rPr>
            </w:pPr>
            <w:r>
              <w:rPr>
                <w:rFonts w:ascii="Times New Roman" w:cs="Times New Roman" w:eastAsia="Times New Roman" w:hAnsi="Times New Roman"/>
                <w:sz w:val="18"/>
                <w:szCs w:val="18"/>
                <w:color w:val="0000EE"/>
              </w:rPr>
              <w:t>Management’s Discussion and Analysis of Financial Condition and Results of Operations</w:t>
            </w:r>
          </w:p>
        </w:tc>
        <w:tc>
          <w:tcPr>
            <w:tcW w:w="4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35</w:t>
            </w:r>
          </w:p>
        </w:tc>
      </w:tr>
      <w:tr>
        <w:trPr>
          <w:trHeight w:val="20"/>
        </w:trPr>
        <w:tc>
          <w:tcPr>
            <w:tcW w:w="20" w:type="dxa"/>
            <w:vAlign w:val="bottom"/>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22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0" w:type="dxa"/>
            <w:vAlign w:val="bottom"/>
            <w:gridSpan w:val="2"/>
            <w:shd w:val="clear" w:color="auto" w:fill="0000EE"/>
          </w:tcPr>
          <w:p>
            <w:pPr>
              <w:spacing w:after="0" w:line="20" w:lineRule="exact"/>
              <w:rPr>
                <w:sz w:val="1"/>
                <w:szCs w:val="1"/>
                <w:color w:val="auto"/>
              </w:rPr>
            </w:pPr>
          </w:p>
        </w:tc>
        <w:tc>
          <w:tcPr>
            <w:tcW w:w="460" w:type="dxa"/>
            <w:vAlign w:val="bottom"/>
            <w:tcBorders>
              <w:left w:val="single" w:sz="8" w:color="0000EE"/>
            </w:tcBorders>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2020" w:type="dxa"/>
            <w:vAlign w:val="bottom"/>
            <w:shd w:val="clear" w:color="auto" w:fill="0000EE"/>
          </w:tcPr>
          <w:p>
            <w:pPr>
              <w:spacing w:after="0" w:line="20" w:lineRule="exact"/>
              <w:rPr>
                <w:sz w:val="1"/>
                <w:szCs w:val="1"/>
                <w:color w:val="auto"/>
              </w:rPr>
            </w:pPr>
          </w:p>
        </w:tc>
        <w:tc>
          <w:tcPr>
            <w:tcW w:w="2120" w:type="dxa"/>
            <w:vAlign w:val="bottom"/>
            <w:tcBorders>
              <w:left w:val="single" w:sz="8" w:color="0000EE"/>
            </w:tcBorders>
            <w:gridSpan w:val="2"/>
            <w:shd w:val="clear" w:color="auto" w:fill="0000EE"/>
          </w:tcPr>
          <w:p>
            <w:pPr>
              <w:spacing w:after="0" w:line="20" w:lineRule="exact"/>
              <w:rPr>
                <w:sz w:val="1"/>
                <w:szCs w:val="1"/>
                <w:color w:val="auto"/>
              </w:rPr>
            </w:pPr>
          </w:p>
        </w:tc>
        <w:tc>
          <w:tcPr>
            <w:tcW w:w="1600" w:type="dxa"/>
            <w:vAlign w:val="bottom"/>
            <w:gridSpan w:val="5"/>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r>
      <w:tr>
        <w:trPr>
          <w:trHeight w:val="412"/>
        </w:trPr>
        <w:tc>
          <w:tcPr>
            <w:tcW w:w="1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0000EE"/>
                <w:w w:val="73"/>
              </w:rPr>
              <w:t>3.</w:t>
            </w: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40" w:type="dxa"/>
            <w:vAlign w:val="bottom"/>
            <w:gridSpan w:val="15"/>
          </w:tcPr>
          <w:p>
            <w:pPr>
              <w:spacing w:after="0"/>
              <w:rPr>
                <w:sz w:val="20"/>
                <w:szCs w:val="20"/>
                <w:color w:val="auto"/>
              </w:rPr>
            </w:pPr>
            <w:r>
              <w:rPr>
                <w:rFonts w:ascii="Times New Roman" w:cs="Times New Roman" w:eastAsia="Times New Roman" w:hAnsi="Times New Roman"/>
                <w:sz w:val="18"/>
                <w:szCs w:val="18"/>
                <w:color w:val="0000EE"/>
              </w:rPr>
              <w:t>Quantitative and Qualitative Disclosures About Market Risk</w:t>
            </w:r>
          </w:p>
        </w:tc>
        <w:tc>
          <w:tcPr>
            <w:tcW w:w="4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47</w:t>
            </w:r>
          </w:p>
        </w:tc>
      </w:tr>
      <w:tr>
        <w:trPr>
          <w:trHeight w:val="20"/>
        </w:trPr>
        <w:tc>
          <w:tcPr>
            <w:tcW w:w="20" w:type="dxa"/>
            <w:vAlign w:val="bottom"/>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22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0" w:type="dxa"/>
            <w:vAlign w:val="bottom"/>
            <w:gridSpan w:val="2"/>
            <w:shd w:val="clear" w:color="auto" w:fill="0000EE"/>
          </w:tcPr>
          <w:p>
            <w:pPr>
              <w:spacing w:after="0" w:line="20" w:lineRule="exact"/>
              <w:rPr>
                <w:sz w:val="1"/>
                <w:szCs w:val="1"/>
                <w:color w:val="auto"/>
              </w:rPr>
            </w:pPr>
          </w:p>
        </w:tc>
        <w:tc>
          <w:tcPr>
            <w:tcW w:w="460" w:type="dxa"/>
            <w:vAlign w:val="bottom"/>
            <w:tcBorders>
              <w:left w:val="single" w:sz="8" w:color="0000EE"/>
            </w:tcBorders>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2020" w:type="dxa"/>
            <w:vAlign w:val="bottom"/>
            <w:shd w:val="clear" w:color="auto" w:fill="0000EE"/>
          </w:tcPr>
          <w:p>
            <w:pPr>
              <w:spacing w:after="0" w:line="20" w:lineRule="exact"/>
              <w:rPr>
                <w:sz w:val="1"/>
                <w:szCs w:val="1"/>
                <w:color w:val="auto"/>
              </w:rPr>
            </w:pPr>
          </w:p>
        </w:tc>
        <w:tc>
          <w:tcPr>
            <w:tcW w:w="3720" w:type="dxa"/>
            <w:vAlign w:val="bottom"/>
            <w:tcBorders>
              <w:left w:val="single" w:sz="8" w:color="0000EE"/>
            </w:tcBorders>
            <w:gridSpan w:val="7"/>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r>
      <w:tr>
        <w:trPr>
          <w:trHeight w:val="412"/>
        </w:trPr>
        <w:tc>
          <w:tcPr>
            <w:tcW w:w="1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0000EE"/>
                <w:w w:val="73"/>
              </w:rPr>
              <w:t>4.</w:t>
            </w: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40" w:type="dxa"/>
            <w:vAlign w:val="bottom"/>
            <w:gridSpan w:val="15"/>
          </w:tcPr>
          <w:p>
            <w:pPr>
              <w:spacing w:after="0"/>
              <w:rPr>
                <w:sz w:val="20"/>
                <w:szCs w:val="20"/>
                <w:color w:val="auto"/>
              </w:rPr>
            </w:pPr>
            <w:r>
              <w:rPr>
                <w:rFonts w:ascii="Times New Roman" w:cs="Times New Roman" w:eastAsia="Times New Roman" w:hAnsi="Times New Roman"/>
                <w:sz w:val="18"/>
                <w:szCs w:val="18"/>
                <w:color w:val="0000EE"/>
              </w:rPr>
              <w:t>Controls and Procedures</w:t>
            </w:r>
          </w:p>
        </w:tc>
        <w:tc>
          <w:tcPr>
            <w:tcW w:w="4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47</w:t>
            </w:r>
          </w:p>
        </w:tc>
      </w:tr>
      <w:tr>
        <w:trPr>
          <w:trHeight w:val="20"/>
        </w:trPr>
        <w:tc>
          <w:tcPr>
            <w:tcW w:w="20" w:type="dxa"/>
            <w:vAlign w:val="bottom"/>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22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0" w:type="dxa"/>
            <w:vAlign w:val="bottom"/>
            <w:gridSpan w:val="2"/>
            <w:shd w:val="clear" w:color="auto" w:fill="0000EE"/>
          </w:tcPr>
          <w:p>
            <w:pPr>
              <w:spacing w:after="0" w:line="20" w:lineRule="exact"/>
              <w:rPr>
                <w:sz w:val="1"/>
                <w:szCs w:val="1"/>
                <w:color w:val="auto"/>
              </w:rPr>
            </w:pPr>
          </w:p>
        </w:tc>
        <w:tc>
          <w:tcPr>
            <w:tcW w:w="460" w:type="dxa"/>
            <w:vAlign w:val="bottom"/>
            <w:tcBorders>
              <w:left w:val="single" w:sz="8" w:color="0000EE"/>
            </w:tcBorders>
            <w:shd w:val="clear" w:color="auto" w:fill="0000EE"/>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3720" w:type="dxa"/>
            <w:vAlign w:val="bottom"/>
            <w:gridSpan w:val="7"/>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r>
      <w:tr>
        <w:trPr>
          <w:trHeight w:val="412"/>
        </w:trPr>
        <w:tc>
          <w:tcPr>
            <w:tcW w:w="20" w:type="dxa"/>
            <w:vAlign w:val="bottom"/>
          </w:tcPr>
          <w:p>
            <w:pPr>
              <w:spacing w:after="0"/>
              <w:rPr>
                <w:sz w:val="24"/>
                <w:szCs w:val="24"/>
                <w:color w:val="auto"/>
              </w:rPr>
            </w:pPr>
          </w:p>
        </w:tc>
        <w:tc>
          <w:tcPr>
            <w:tcW w:w="2720" w:type="dxa"/>
            <w:vAlign w:val="bottom"/>
            <w:tcBorders>
              <w:bottom w:val="single" w:sz="8" w:color="0000EE"/>
            </w:tcBorders>
            <w:gridSpan w:val="10"/>
          </w:tcPr>
          <w:p>
            <w:pPr>
              <w:spacing w:after="0"/>
              <w:rPr>
                <w:sz w:val="20"/>
                <w:szCs w:val="20"/>
                <w:color w:val="auto"/>
              </w:rPr>
            </w:pPr>
            <w:r>
              <w:rPr>
                <w:rFonts w:ascii="Times New Roman" w:cs="Times New Roman" w:eastAsia="Times New Roman" w:hAnsi="Times New Roman"/>
                <w:sz w:val="18"/>
                <w:szCs w:val="18"/>
                <w:b w:val="1"/>
                <w:bCs w:val="1"/>
                <w:color w:val="0000EE"/>
                <w:w w:val="97"/>
              </w:rPr>
              <w:t>PART II OTHER INFORMATION</w:t>
            </w:r>
          </w:p>
        </w:tc>
        <w:tc>
          <w:tcPr>
            <w:tcW w:w="5740" w:type="dxa"/>
            <w:vAlign w:val="bottom"/>
            <w:gridSpan w:val="8"/>
          </w:tcPr>
          <w:p>
            <w:pPr>
              <w:spacing w:after="0"/>
              <w:rPr>
                <w:sz w:val="24"/>
                <w:szCs w:val="24"/>
                <w:color w:val="auto"/>
              </w:rPr>
            </w:pPr>
          </w:p>
        </w:tc>
        <w:tc>
          <w:tcPr>
            <w:tcW w:w="440" w:type="dxa"/>
            <w:vAlign w:val="bottom"/>
          </w:tcPr>
          <w:p>
            <w:pPr>
              <w:spacing w:after="0"/>
              <w:rPr>
                <w:sz w:val="24"/>
                <w:szCs w:val="24"/>
                <w:color w:val="auto"/>
              </w:rPr>
            </w:pPr>
          </w:p>
        </w:tc>
      </w:tr>
      <w:tr>
        <w:trPr>
          <w:trHeight w:val="412"/>
        </w:trPr>
        <w:tc>
          <w:tcPr>
            <w:tcW w:w="1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0000EE"/>
                <w:w w:val="73"/>
              </w:rPr>
              <w:t>1.</w:t>
            </w: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40" w:type="dxa"/>
            <w:vAlign w:val="bottom"/>
            <w:gridSpan w:val="15"/>
          </w:tcPr>
          <w:p>
            <w:pPr>
              <w:spacing w:after="0"/>
              <w:rPr>
                <w:sz w:val="20"/>
                <w:szCs w:val="20"/>
                <w:color w:val="auto"/>
              </w:rPr>
            </w:pPr>
            <w:r>
              <w:rPr>
                <w:rFonts w:ascii="Times New Roman" w:cs="Times New Roman" w:eastAsia="Times New Roman" w:hAnsi="Times New Roman"/>
                <w:sz w:val="18"/>
                <w:szCs w:val="18"/>
                <w:color w:val="0000EE"/>
              </w:rPr>
              <w:t>Legal Proceedings</w:t>
            </w:r>
          </w:p>
        </w:tc>
        <w:tc>
          <w:tcPr>
            <w:tcW w:w="4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48</w:t>
            </w:r>
          </w:p>
        </w:tc>
      </w:tr>
      <w:tr>
        <w:trPr>
          <w:trHeight w:val="20"/>
        </w:trPr>
        <w:tc>
          <w:tcPr>
            <w:tcW w:w="20" w:type="dxa"/>
            <w:vAlign w:val="bottom"/>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22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0" w:type="dxa"/>
            <w:vAlign w:val="bottom"/>
            <w:gridSpan w:val="2"/>
            <w:shd w:val="clear" w:color="auto" w:fill="0000EE"/>
          </w:tcPr>
          <w:p>
            <w:pPr>
              <w:spacing w:after="0" w:line="20" w:lineRule="exact"/>
              <w:rPr>
                <w:sz w:val="1"/>
                <w:szCs w:val="1"/>
                <w:color w:val="auto"/>
              </w:rPr>
            </w:pPr>
          </w:p>
        </w:tc>
        <w:tc>
          <w:tcPr>
            <w:tcW w:w="3040" w:type="dxa"/>
            <w:vAlign w:val="bottom"/>
            <w:tcBorders>
              <w:left w:val="single" w:sz="8" w:color="0000EE"/>
            </w:tcBorders>
            <w:gridSpan w:val="3"/>
          </w:tcPr>
          <w:p>
            <w:pPr>
              <w:spacing w:after="0" w:line="20" w:lineRule="exact"/>
              <w:rPr>
                <w:sz w:val="1"/>
                <w:szCs w:val="1"/>
                <w:color w:val="auto"/>
              </w:rPr>
            </w:pPr>
          </w:p>
        </w:tc>
        <w:tc>
          <w:tcPr>
            <w:tcW w:w="3720" w:type="dxa"/>
            <w:vAlign w:val="bottom"/>
            <w:gridSpan w:val="7"/>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r>
      <w:tr>
        <w:trPr>
          <w:trHeight w:val="412"/>
        </w:trPr>
        <w:tc>
          <w:tcPr>
            <w:tcW w:w="20" w:type="dxa"/>
            <w:vAlign w:val="bottom"/>
          </w:tcPr>
          <w:p>
            <w:pPr>
              <w:spacing w:after="0"/>
              <w:rPr>
                <w:sz w:val="24"/>
                <w:szCs w:val="24"/>
                <w:color w:val="auto"/>
              </w:rPr>
            </w:pPr>
          </w:p>
        </w:tc>
        <w:tc>
          <w:tcPr>
            <w:tcW w:w="260" w:type="dxa"/>
            <w:vAlign w:val="bottom"/>
            <w:gridSpan w:val="2"/>
          </w:tcPr>
          <w:p>
            <w:pPr>
              <w:spacing w:after="0"/>
              <w:rPr>
                <w:sz w:val="20"/>
                <w:szCs w:val="20"/>
                <w:color w:val="auto"/>
              </w:rPr>
            </w:pPr>
            <w:r>
              <w:rPr>
                <w:rFonts w:ascii="Times New Roman" w:cs="Times New Roman" w:eastAsia="Times New Roman" w:hAnsi="Times New Roman"/>
                <w:sz w:val="18"/>
                <w:szCs w:val="18"/>
                <w:color w:val="0000EE"/>
                <w:w w:val="90"/>
              </w:rPr>
              <w:t>1A.</w:t>
            </w:r>
          </w:p>
        </w:tc>
        <w:tc>
          <w:tcPr>
            <w:tcW w:w="160" w:type="dxa"/>
            <w:vAlign w:val="bottom"/>
          </w:tcPr>
          <w:p>
            <w:pPr>
              <w:spacing w:after="0"/>
              <w:rPr>
                <w:sz w:val="24"/>
                <w:szCs w:val="24"/>
                <w:color w:val="auto"/>
              </w:rPr>
            </w:pPr>
          </w:p>
        </w:tc>
        <w:tc>
          <w:tcPr>
            <w:tcW w:w="8040" w:type="dxa"/>
            <w:vAlign w:val="bottom"/>
            <w:gridSpan w:val="15"/>
          </w:tcPr>
          <w:p>
            <w:pPr>
              <w:spacing w:after="0"/>
              <w:rPr>
                <w:sz w:val="20"/>
                <w:szCs w:val="20"/>
                <w:color w:val="auto"/>
              </w:rPr>
            </w:pPr>
            <w:r>
              <w:rPr>
                <w:rFonts w:ascii="Times New Roman" w:cs="Times New Roman" w:eastAsia="Times New Roman" w:hAnsi="Times New Roman"/>
                <w:sz w:val="18"/>
                <w:szCs w:val="18"/>
                <w:color w:val="0000EE"/>
              </w:rPr>
              <w:t>Risk Factors</w:t>
            </w:r>
          </w:p>
        </w:tc>
        <w:tc>
          <w:tcPr>
            <w:tcW w:w="4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48</w:t>
            </w:r>
          </w:p>
        </w:tc>
      </w:tr>
      <w:tr>
        <w:trPr>
          <w:trHeight w:val="20"/>
        </w:trPr>
        <w:tc>
          <w:tcPr>
            <w:tcW w:w="20" w:type="dxa"/>
            <w:vAlign w:val="bottom"/>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22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3040" w:type="dxa"/>
            <w:vAlign w:val="bottom"/>
            <w:gridSpan w:val="3"/>
          </w:tcPr>
          <w:p>
            <w:pPr>
              <w:spacing w:after="0" w:line="20" w:lineRule="exact"/>
              <w:rPr>
                <w:sz w:val="1"/>
                <w:szCs w:val="1"/>
                <w:color w:val="auto"/>
              </w:rPr>
            </w:pPr>
          </w:p>
        </w:tc>
        <w:tc>
          <w:tcPr>
            <w:tcW w:w="3720" w:type="dxa"/>
            <w:vAlign w:val="bottom"/>
            <w:gridSpan w:val="7"/>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r>
      <w:tr>
        <w:trPr>
          <w:trHeight w:val="412"/>
        </w:trPr>
        <w:tc>
          <w:tcPr>
            <w:tcW w:w="1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0000EE"/>
                <w:w w:val="73"/>
              </w:rPr>
              <w:t>2.</w:t>
            </w: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40" w:type="dxa"/>
            <w:vAlign w:val="bottom"/>
            <w:gridSpan w:val="15"/>
          </w:tcPr>
          <w:p>
            <w:pPr>
              <w:spacing w:after="0"/>
              <w:rPr>
                <w:sz w:val="20"/>
                <w:szCs w:val="20"/>
                <w:color w:val="auto"/>
              </w:rPr>
            </w:pPr>
            <w:r>
              <w:rPr>
                <w:rFonts w:ascii="Times New Roman" w:cs="Times New Roman" w:eastAsia="Times New Roman" w:hAnsi="Times New Roman"/>
                <w:sz w:val="18"/>
                <w:szCs w:val="18"/>
                <w:color w:val="0000EE"/>
              </w:rPr>
              <w:t>Unregistered Sales of Equity Securities and Use of Proceeds</w:t>
            </w:r>
          </w:p>
        </w:tc>
        <w:tc>
          <w:tcPr>
            <w:tcW w:w="4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48</w:t>
            </w:r>
          </w:p>
        </w:tc>
      </w:tr>
      <w:tr>
        <w:trPr>
          <w:trHeight w:val="20"/>
        </w:trPr>
        <w:tc>
          <w:tcPr>
            <w:tcW w:w="20" w:type="dxa"/>
            <w:vAlign w:val="bottom"/>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220" w:type="dxa"/>
            <w:vAlign w:val="bottom"/>
            <w:tcBorders>
              <w:right w:val="single" w:sz="8" w:color="0000EE"/>
            </w:tcBorders>
            <w:shd w:val="clear" w:color="auto" w:fill="0000EE"/>
          </w:tcPr>
          <w:p>
            <w:pPr>
              <w:spacing w:after="0" w:line="20" w:lineRule="exact"/>
              <w:rPr>
                <w:sz w:val="1"/>
                <w:szCs w:val="1"/>
                <w:color w:val="auto"/>
              </w:rPr>
            </w:pPr>
          </w:p>
        </w:tc>
        <w:tc>
          <w:tcPr>
            <w:tcW w:w="480" w:type="dxa"/>
            <w:vAlign w:val="bottom"/>
            <w:gridSpan w:val="3"/>
            <w:shd w:val="clear" w:color="auto" w:fill="0000EE"/>
          </w:tcPr>
          <w:p>
            <w:pPr>
              <w:spacing w:after="0" w:line="20" w:lineRule="exact"/>
              <w:rPr>
                <w:sz w:val="1"/>
                <w:szCs w:val="1"/>
                <w:color w:val="auto"/>
              </w:rPr>
            </w:pPr>
          </w:p>
        </w:tc>
        <w:tc>
          <w:tcPr>
            <w:tcW w:w="3040" w:type="dxa"/>
            <w:vAlign w:val="bottom"/>
            <w:tcBorders>
              <w:left w:val="single" w:sz="8" w:color="0000EE"/>
            </w:tcBorders>
            <w:gridSpan w:val="3"/>
            <w:shd w:val="clear" w:color="auto" w:fill="0000EE"/>
          </w:tcPr>
          <w:p>
            <w:pPr>
              <w:spacing w:after="0" w:line="20" w:lineRule="exact"/>
              <w:rPr>
                <w:sz w:val="1"/>
                <w:szCs w:val="1"/>
                <w:color w:val="auto"/>
              </w:rPr>
            </w:pPr>
          </w:p>
        </w:tc>
        <w:tc>
          <w:tcPr>
            <w:tcW w:w="3720" w:type="dxa"/>
            <w:vAlign w:val="bottom"/>
            <w:gridSpan w:val="7"/>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r>
      <w:tr>
        <w:trPr>
          <w:trHeight w:val="412"/>
        </w:trPr>
        <w:tc>
          <w:tcPr>
            <w:tcW w:w="1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0000EE"/>
                <w:w w:val="73"/>
              </w:rPr>
              <w:t>5.</w:t>
            </w: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40" w:type="dxa"/>
            <w:vAlign w:val="bottom"/>
            <w:gridSpan w:val="15"/>
          </w:tcPr>
          <w:p>
            <w:pPr>
              <w:spacing w:after="0"/>
              <w:rPr>
                <w:sz w:val="20"/>
                <w:szCs w:val="20"/>
                <w:color w:val="auto"/>
              </w:rPr>
            </w:pPr>
            <w:r>
              <w:rPr>
                <w:rFonts w:ascii="Times New Roman" w:cs="Times New Roman" w:eastAsia="Times New Roman" w:hAnsi="Times New Roman"/>
                <w:sz w:val="18"/>
                <w:szCs w:val="18"/>
                <w:color w:val="0000EE"/>
              </w:rPr>
              <w:t>Other Information</w:t>
            </w:r>
          </w:p>
        </w:tc>
        <w:tc>
          <w:tcPr>
            <w:tcW w:w="4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49</w:t>
            </w:r>
          </w:p>
        </w:tc>
      </w:tr>
      <w:tr>
        <w:trPr>
          <w:trHeight w:val="20"/>
        </w:trPr>
        <w:tc>
          <w:tcPr>
            <w:tcW w:w="20" w:type="dxa"/>
            <w:vAlign w:val="bottom"/>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220" w:type="dxa"/>
            <w:vAlign w:val="bottom"/>
            <w:tcBorders>
              <w:right w:val="single" w:sz="8" w:color="0000EE"/>
            </w:tcBorders>
            <w:shd w:val="clear" w:color="auto" w:fill="0000EE"/>
          </w:tcPr>
          <w:p>
            <w:pPr>
              <w:spacing w:after="0" w:line="20" w:lineRule="exact"/>
              <w:rPr>
                <w:sz w:val="1"/>
                <w:szCs w:val="1"/>
                <w:color w:val="auto"/>
              </w:rPr>
            </w:pPr>
          </w:p>
        </w:tc>
        <w:tc>
          <w:tcPr>
            <w:tcW w:w="480" w:type="dxa"/>
            <w:vAlign w:val="bottom"/>
            <w:gridSpan w:val="3"/>
            <w:shd w:val="clear" w:color="auto" w:fill="0000EE"/>
          </w:tcPr>
          <w:p>
            <w:pPr>
              <w:spacing w:after="0" w:line="20" w:lineRule="exact"/>
              <w:rPr>
                <w:sz w:val="1"/>
                <w:szCs w:val="1"/>
                <w:color w:val="auto"/>
              </w:rPr>
            </w:pPr>
          </w:p>
        </w:tc>
        <w:tc>
          <w:tcPr>
            <w:tcW w:w="6760" w:type="dxa"/>
            <w:vAlign w:val="bottom"/>
            <w:gridSpan w:val="1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r>
      <w:tr>
        <w:trPr>
          <w:trHeight w:val="412"/>
        </w:trPr>
        <w:tc>
          <w:tcPr>
            <w:tcW w:w="1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0000EE"/>
                <w:w w:val="73"/>
              </w:rPr>
              <w:t>6.</w:t>
            </w: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40" w:type="dxa"/>
            <w:vAlign w:val="bottom"/>
            <w:gridSpan w:val="15"/>
          </w:tcPr>
          <w:p>
            <w:pPr>
              <w:spacing w:after="0"/>
              <w:rPr>
                <w:sz w:val="20"/>
                <w:szCs w:val="20"/>
                <w:color w:val="auto"/>
              </w:rPr>
            </w:pPr>
            <w:r>
              <w:rPr>
                <w:rFonts w:ascii="Times New Roman" w:cs="Times New Roman" w:eastAsia="Times New Roman" w:hAnsi="Times New Roman"/>
                <w:sz w:val="18"/>
                <w:szCs w:val="18"/>
                <w:color w:val="0000EE"/>
              </w:rPr>
              <w:t>Exhibits</w:t>
            </w:r>
          </w:p>
        </w:tc>
        <w:tc>
          <w:tcPr>
            <w:tcW w:w="4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50</w:t>
            </w:r>
          </w:p>
        </w:tc>
      </w:tr>
      <w:tr>
        <w:trPr>
          <w:trHeight w:val="20"/>
        </w:trPr>
        <w:tc>
          <w:tcPr>
            <w:tcW w:w="20" w:type="dxa"/>
            <w:vAlign w:val="bottom"/>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240" w:type="dxa"/>
            <w:vAlign w:val="bottom"/>
            <w:gridSpan w:val="13"/>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r>
      <w:tr>
        <w:trPr>
          <w:trHeight w:val="412"/>
        </w:trPr>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40" w:type="dxa"/>
            <w:vAlign w:val="bottom"/>
            <w:gridSpan w:val="15"/>
          </w:tcPr>
          <w:p>
            <w:pPr>
              <w:spacing w:after="0"/>
              <w:rPr>
                <w:sz w:val="20"/>
                <w:szCs w:val="20"/>
                <w:color w:val="auto"/>
              </w:rPr>
            </w:pPr>
            <w:r>
              <w:rPr>
                <w:rFonts w:ascii="Times New Roman" w:cs="Times New Roman" w:eastAsia="Times New Roman" w:hAnsi="Times New Roman"/>
                <w:sz w:val="18"/>
                <w:szCs w:val="18"/>
                <w:color w:val="0000EE"/>
              </w:rPr>
              <w:t>Signatures</w:t>
            </w:r>
          </w:p>
        </w:tc>
        <w:tc>
          <w:tcPr>
            <w:tcW w:w="4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51</w:t>
            </w:r>
          </w:p>
        </w:tc>
      </w:tr>
      <w:tr>
        <w:trPr>
          <w:trHeight w:val="1027"/>
        </w:trPr>
        <w:tc>
          <w:tcPr>
            <w:tcW w:w="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580" w:type="dxa"/>
            <w:vAlign w:val="bottom"/>
            <w:tcBorders>
              <w:top w:val="single" w:sz="8" w:color="0000EE"/>
              <w:bottom w:val="single" w:sz="8" w:color="auto"/>
            </w:tcBorders>
          </w:tcPr>
          <w:p>
            <w:pPr>
              <w:spacing w:after="0"/>
              <w:rPr>
                <w:sz w:val="24"/>
                <w:szCs w:val="24"/>
                <w:color w:val="auto"/>
              </w:rPr>
            </w:pPr>
          </w:p>
        </w:tc>
        <w:tc>
          <w:tcPr>
            <w:tcW w:w="220" w:type="dxa"/>
            <w:vAlign w:val="bottom"/>
            <w:tcBorders>
              <w:top w:val="single" w:sz="8" w:color="0000EE"/>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202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160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513" w:right="1440" w:bottom="1440" w:gutter="0" w:footer="0" w:header="0"/>
        </w:sectPr>
      </w:pPr>
    </w:p>
    <w:bookmarkStart w:id="2" w:name="page3"/>
    <w:bookmarkEnd w:id="2"/>
    <w:p>
      <w:pPr>
        <w:ind w:left="20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color w:val="auto"/>
        </w:rPr>
        <w:t>Cautionary Note Regarding Forward-Looking Statements</w:t>
      </w:r>
    </w:p>
    <w:p>
      <w:pPr>
        <w:spacing w:after="0" w:line="229" w:lineRule="exact"/>
        <w:rPr>
          <w:sz w:val="20"/>
          <w:szCs w:val="20"/>
          <w:color w:val="auto"/>
        </w:rPr>
      </w:pPr>
    </w:p>
    <w:p>
      <w:pPr>
        <w:ind w:left="200" w:right="219" w:firstLine="324"/>
        <w:spacing w:after="0" w:line="251" w:lineRule="auto"/>
        <w:rPr>
          <w:sz w:val="20"/>
          <w:szCs w:val="20"/>
          <w:color w:val="auto"/>
        </w:rPr>
      </w:pPr>
      <w:r>
        <w:rPr>
          <w:rFonts w:ascii="Times New Roman" w:cs="Times New Roman" w:eastAsia="Times New Roman" w:hAnsi="Times New Roman"/>
          <w:sz w:val="18"/>
          <w:szCs w:val="18"/>
          <w:color w:val="auto"/>
        </w:rPr>
        <w:t>This Quarterly Report on Form 10-Q contains “forward-looking statements” within the meaning of the U.S. Private Securities Litigation Reform Act of 1995, which are subject to a number of risks and uncertainties. All statements other than statements of historical facts contained in this report, including statements regarding future expenses and restructuring activities and the anticipated benefits thereof, impacts from the wars in the Middle East and Ukraine, results of operations and financial position, future revenue growth of the Company, expected sales growth in segments or regions, capital structure, financial sanctions and trade restrictions, beliefs about our business strategy, availability of components for the manufacturing of our products, ongoing litigation, anticipated activity levels related to our voice modernization projects, plans and objectives of management for future operations and manufacturing are forward-looking statements. Without limiting the foregoing, the words “anticipates”, “believes”, “could”, “estimates”, “expects”, “intends”, “may”, “plans”, “seeks” and other similar language, whether in the negative or affirmative, are intended to identify forward-looking statements, although not all forward-looking statements contain these identifying words. Forward-looking statements are based on our current expectations and assumptions regarding our business, the economy and other future conditions. Because forward-looking statements relate to the future, they are subject to inherent uncertainties, risks and changes in circumstances that are unknown and/or difficult to predict and that may cause our actual results, performance or achievements to be materially different from those expressed or implied by the forward-looking statements. Such risks and uncertainties include, but are not limited to, unpredictable fluctuations in quarterly revenue and operating results; the impact of restructuring and cost-containment activities; increases in tariffs, trade restrictions or taxes on our products; supply chain disruptions resulting from component availability and/or geopolitical instabilities and disputes (including those related to the wars in the Middle East and Ukraine); other impacts from the wars in the Middle East and Ukraine and related economic volatility and uncertainty resulting therefrom; the impact of military call-ups of our employees in Israel; material litigation; the impact of fluctuations in interest rates; material cybersecurity and data intrusion incidents, including any security breaches resulting in the theft, transfer, or unauthorized disclosure of customer, employee, or company information; our ability to comply with applicable domestic and foreign information security and privacy laws, regulations and technology platform rules or other obligations related to data privacy and security; failure to compete successfully against telecommunications equipment and networking companies; failure to grow our customer base or generate recurring business from our existing customers; credit risks; the timing of customer purchasing decisions and our recognition of revenues; macroeconomic conditions, including inflation; our ability to adapt to rapid technological and market changes; our ability to generate positive returns on our research and development; our ability to protect our intellectual property rights and obtain necessary licenses; our ability to maintain partner, reseller, distribution and vendor support and supply relationships; the potential for defects in our products; risks related to the terms of our credit agreement; higher risks in international operations and markets; currency fluctuations; unanticipated adverse changes in legal, regulatory or tax laws; future accounting pronouncements or changes in our accounting policies; and/or failure or circumvention of our controls and procedures. We therefore caution you against relying on any of these forward-looking statements. Additional important factors that could cause actual results to differ materially from those in these forward-looking statements are also discussed in Part I, Item 2, "Management’s Discussion and Analysis of Financial Condition and Results of Operations" and Part I, Item 1A and Part II, Item 7A, "Risk Factors" and "Quantitative and Qualitative Disclosures About Market Risk," respectively, of our Annual Report on Form 10-K for the year ended December 31, 2025. Any forward-looking statement made by us in this report speaks only as of the date on which this report was first filed. We undertake no obligation to publicly update any forward-looking statement, whether as a result of new information, future developments or otherwise, except as required by law.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360045</wp:posOffset>
            </wp:positionV>
            <wp:extent cx="545211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545211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3" w:name="page4"/>
    <w:bookmarkEnd w:id="3"/>
    <w:p>
      <w:pPr>
        <w:ind w:left="20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color w:val="auto"/>
        </w:rPr>
        <w:t>PART I FINANCIAL INFORMATION</w:t>
      </w:r>
    </w:p>
    <w:p>
      <w:pPr>
        <w:spacing w:after="0" w:line="77"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color w:val="auto"/>
        </w:rPr>
        <w:t>Item 1. Financial Statements</w:t>
      </w:r>
    </w:p>
    <w:p>
      <w:pPr>
        <w:spacing w:after="0" w:line="7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RIBBON COMMUNICATIONS INC.</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Condensed Consolidated Balance Sheets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data)</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107" w:lineRule="exact"/>
        <w:rPr>
          <w:sz w:val="20"/>
          <w:szCs w:val="20"/>
          <w:color w:val="auto"/>
        </w:rPr>
      </w:pPr>
    </w:p>
    <w:tbl>
      <w:tblPr>
        <w:tblLayout w:type="fixed"/>
        <w:tblInd w:w="220" w:type="dxa"/>
        <w:tblCellMar>
          <w:top w:w="0" w:type="dxa"/>
          <w:left w:w="0" w:type="dxa"/>
          <w:bottom w:w="0" w:type="dxa"/>
          <w:right w:w="0" w:type="dxa"/>
        </w:tblCellMar>
      </w:tblPr>
      <w:tr>
        <w:trPr>
          <w:trHeight w:val="161"/>
        </w:trPr>
        <w:tc>
          <w:tcPr>
            <w:tcW w:w="64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60" w:type="dxa"/>
            <w:vAlign w:val="bottom"/>
          </w:tcPr>
          <w:p>
            <w:pPr>
              <w:jc w:val="right"/>
              <w:ind w:right="91"/>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160" w:type="dxa"/>
            <w:vAlign w:val="bottom"/>
          </w:tcPr>
          <w:p>
            <w:pPr>
              <w:spacing w:after="0"/>
              <w:rPr>
                <w:sz w:val="13"/>
                <w:szCs w:val="13"/>
                <w:color w:val="auto"/>
              </w:rPr>
            </w:pPr>
          </w:p>
        </w:tc>
        <w:tc>
          <w:tcPr>
            <w:tcW w:w="1040" w:type="dxa"/>
            <w:vAlign w:val="bottom"/>
            <w:gridSpan w:val="3"/>
          </w:tcPr>
          <w:p>
            <w:pPr>
              <w:ind w:left="6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73"/>
        </w:trPr>
        <w:tc>
          <w:tcPr>
            <w:tcW w:w="64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60" w:type="dxa"/>
            <w:vAlign w:val="bottom"/>
          </w:tcPr>
          <w:p>
            <w:pPr>
              <w:jc w:val="right"/>
              <w:ind w:right="251"/>
              <w:spacing w:after="0"/>
              <w:rPr>
                <w:sz w:val="20"/>
                <w:szCs w:val="20"/>
                <w:color w:val="auto"/>
              </w:rPr>
            </w:pPr>
            <w:r>
              <w:rPr>
                <w:rFonts w:ascii="Times New Roman" w:cs="Times New Roman" w:eastAsia="Times New Roman" w:hAnsi="Times New Roman"/>
                <w:sz w:val="14"/>
                <w:szCs w:val="14"/>
                <w:b w:val="1"/>
                <w:bCs w:val="1"/>
                <w:color w:val="auto"/>
              </w:rPr>
              <w:t>2026</w:t>
            </w:r>
          </w:p>
        </w:tc>
        <w:tc>
          <w:tcPr>
            <w:tcW w:w="28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w:t>
            </w:r>
          </w:p>
        </w:tc>
        <w:tc>
          <w:tcPr>
            <w:tcW w:w="880" w:type="dxa"/>
            <w:vAlign w:val="bottom"/>
          </w:tcPr>
          <w:p>
            <w:pPr>
              <w:jc w:val="right"/>
              <w:ind w:right="271"/>
              <w:spacing w:after="0"/>
              <w:rPr>
                <w:sz w:val="20"/>
                <w:szCs w:val="20"/>
                <w:color w:val="auto"/>
              </w:rPr>
            </w:pPr>
            <w:r>
              <w:rPr>
                <w:rFonts w:ascii="Times New Roman" w:cs="Times New Roman" w:eastAsia="Times New Roman" w:hAnsi="Times New Roman"/>
                <w:sz w:val="14"/>
                <w:szCs w:val="14"/>
                <w:b w:val="1"/>
                <w:bCs w:val="1"/>
                <w:color w:val="auto"/>
              </w:rPr>
              <w:t>2025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6440" w:type="dxa"/>
            <w:vAlign w:val="bottom"/>
            <w:tcBorders>
              <w:top w:val="single" w:sz="8" w:color="CCEEFF"/>
            </w:tcBorders>
            <w:shd w:val="clear" w:color="auto" w:fill="CCEEFF"/>
          </w:tcPr>
          <w:p>
            <w:pPr>
              <w:ind w:left="298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12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40" w:type="dxa"/>
            <w:vAlign w:val="bottom"/>
          </w:tcPr>
          <w:p>
            <w:pPr>
              <w:spacing w:after="0"/>
              <w:rPr>
                <w:sz w:val="20"/>
                <w:szCs w:val="20"/>
                <w:color w:val="auto"/>
              </w:rPr>
            </w:pPr>
            <w:r>
              <w:rPr>
                <w:rFonts w:ascii="Times New Roman" w:cs="Times New Roman" w:eastAsia="Times New Roman" w:hAnsi="Times New Roman"/>
                <w:sz w:val="18"/>
                <w:szCs w:val="18"/>
                <w:color w:val="auto"/>
              </w:rPr>
              <w:t>Current assets:</w:t>
            </w:r>
          </w:p>
        </w:tc>
        <w:tc>
          <w:tcPr>
            <w:tcW w:w="1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67,554</w:t>
            </w:r>
          </w:p>
        </w:tc>
        <w:tc>
          <w:tcPr>
            <w:tcW w:w="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96,405</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Restricted cash</w:t>
            </w:r>
          </w:p>
        </w:tc>
        <w:tc>
          <w:tcPr>
            <w:tcW w:w="1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2,045</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1,726</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Accounts receivable, net</w:t>
            </w: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204,058</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231,885</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Inventory</w:t>
            </w:r>
          </w:p>
        </w:tc>
        <w:tc>
          <w:tcPr>
            <w:tcW w:w="1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81,463</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78,806</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Other current assets</w:t>
            </w:r>
          </w:p>
        </w:tc>
        <w:tc>
          <w:tcPr>
            <w:tcW w:w="12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53,379</w:t>
            </w:r>
          </w:p>
        </w:tc>
        <w:tc>
          <w:tcPr>
            <w:tcW w:w="16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45,663</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64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Total current assets</w:t>
            </w:r>
          </w:p>
        </w:tc>
        <w:tc>
          <w:tcPr>
            <w:tcW w:w="1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408,499</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454,485</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64,077</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65,559</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40" w:type="dxa"/>
            <w:vAlign w:val="bottom"/>
          </w:tcPr>
          <w:p>
            <w:pPr>
              <w:spacing w:after="0"/>
              <w:rPr>
                <w:sz w:val="20"/>
                <w:szCs w:val="20"/>
                <w:color w:val="auto"/>
              </w:rPr>
            </w:pPr>
            <w:r>
              <w:rPr>
                <w:rFonts w:ascii="Times New Roman" w:cs="Times New Roman" w:eastAsia="Times New Roman" w:hAnsi="Times New Roman"/>
                <w:sz w:val="18"/>
                <w:szCs w:val="18"/>
                <w:color w:val="auto"/>
              </w:rPr>
              <w:t>Intangible assets, net</w:t>
            </w:r>
          </w:p>
        </w:tc>
        <w:tc>
          <w:tcPr>
            <w:tcW w:w="1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134,233</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143,344</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Goodwill</w:t>
            </w: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300,892</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300,892</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40" w:type="dxa"/>
            <w:vAlign w:val="bottom"/>
          </w:tcPr>
          <w:p>
            <w:pPr>
              <w:spacing w:after="0"/>
              <w:rPr>
                <w:sz w:val="20"/>
                <w:szCs w:val="20"/>
                <w:color w:val="auto"/>
              </w:rPr>
            </w:pPr>
            <w:r>
              <w:rPr>
                <w:rFonts w:ascii="Times New Roman" w:cs="Times New Roman" w:eastAsia="Times New Roman" w:hAnsi="Times New Roman"/>
                <w:sz w:val="18"/>
                <w:szCs w:val="18"/>
                <w:color w:val="auto"/>
              </w:rPr>
              <w:t>Deferred income taxes</w:t>
            </w:r>
          </w:p>
        </w:tc>
        <w:tc>
          <w:tcPr>
            <w:tcW w:w="1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181,834</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174,318</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lease right-of-use assets</w:t>
            </w: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44,010</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46,240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Other assets</w:t>
            </w:r>
          </w:p>
        </w:tc>
        <w:tc>
          <w:tcPr>
            <w:tcW w:w="12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26,157</w:t>
            </w:r>
          </w:p>
        </w:tc>
        <w:tc>
          <w:tcPr>
            <w:tcW w:w="16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27,417</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44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1,159,702</w:t>
            </w:r>
          </w:p>
        </w:tc>
        <w:tc>
          <w:tcPr>
            <w:tcW w:w="16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1,212,255</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440" w:type="dxa"/>
            <w:vAlign w:val="bottom"/>
            <w:vMerge w:val="restart"/>
          </w:tcPr>
          <w:p>
            <w:pPr>
              <w:ind w:left="1840"/>
              <w:spacing w:after="0"/>
              <w:rPr>
                <w:sz w:val="20"/>
                <w:szCs w:val="20"/>
                <w:color w:val="auto"/>
              </w:rPr>
            </w:pPr>
            <w:r>
              <w:rPr>
                <w:rFonts w:ascii="Times New Roman" w:cs="Times New Roman" w:eastAsia="Times New Roman" w:hAnsi="Times New Roman"/>
                <w:sz w:val="18"/>
                <w:szCs w:val="18"/>
                <w:b w:val="1"/>
                <w:bCs w:val="1"/>
                <w:color w:val="auto"/>
              </w:rPr>
              <w:t>Liabilities and Stockholders’ Equity</w:t>
            </w:r>
          </w:p>
        </w:tc>
        <w:tc>
          <w:tcPr>
            <w:tcW w:w="1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6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4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line="20" w:lineRule="exact"/>
              <w:rPr>
                <w:sz w:val="1"/>
                <w:szCs w:val="1"/>
                <w:color w:val="auto"/>
              </w:rPr>
            </w:pPr>
          </w:p>
        </w:tc>
      </w:tr>
      <w:tr>
        <w:trPr>
          <w:trHeight w:val="196"/>
        </w:trPr>
        <w:tc>
          <w:tcPr>
            <w:tcW w:w="644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6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Current liabilities:</w:t>
            </w: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spacing w:after="0"/>
              <w:rPr>
                <w:sz w:val="18"/>
                <w:szCs w:val="18"/>
                <w:color w:val="auto"/>
              </w:rPr>
            </w:pPr>
          </w:p>
        </w:tc>
        <w:tc>
          <w:tcPr>
            <w:tcW w:w="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64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Current portion of term debt</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8,750</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8,750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Accounts payable</w:t>
            </w: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77,293</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79,840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Accrued expenses and other</w:t>
            </w:r>
          </w:p>
        </w:tc>
        <w:tc>
          <w:tcPr>
            <w:tcW w:w="1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77,890</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90,759</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Operating lease liabilities</w:t>
            </w: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11,601</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11,699</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Warrant liability</w:t>
            </w:r>
          </w:p>
        </w:tc>
        <w:tc>
          <w:tcPr>
            <w:tcW w:w="1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682</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Deferred revenue</w:t>
            </w:r>
          </w:p>
        </w:tc>
        <w:tc>
          <w:tcPr>
            <w:tcW w:w="12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122,619</w:t>
            </w:r>
          </w:p>
        </w:tc>
        <w:tc>
          <w:tcPr>
            <w:tcW w:w="16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124,425</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4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1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298,835</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315,473</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Long-term debt, net of current</w:t>
            </w: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322,975</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324,525</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40" w:type="dxa"/>
            <w:vAlign w:val="bottom"/>
          </w:tcPr>
          <w:p>
            <w:pPr>
              <w:spacing w:after="0"/>
              <w:rPr>
                <w:sz w:val="20"/>
                <w:szCs w:val="20"/>
                <w:color w:val="auto"/>
              </w:rPr>
            </w:pPr>
            <w:r>
              <w:rPr>
                <w:rFonts w:ascii="Times New Roman" w:cs="Times New Roman" w:eastAsia="Times New Roman" w:hAnsi="Times New Roman"/>
                <w:sz w:val="18"/>
                <w:szCs w:val="18"/>
                <w:color w:val="auto"/>
              </w:rPr>
              <w:t>Warrant liability</w:t>
            </w:r>
          </w:p>
        </w:tc>
        <w:tc>
          <w:tcPr>
            <w:tcW w:w="1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1,919</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lease liabilities, net of current</w:t>
            </w: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57,042</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60,159</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40" w:type="dxa"/>
            <w:vAlign w:val="bottom"/>
          </w:tcPr>
          <w:p>
            <w:pPr>
              <w:spacing w:after="0"/>
              <w:rPr>
                <w:sz w:val="20"/>
                <w:szCs w:val="20"/>
                <w:color w:val="auto"/>
              </w:rPr>
            </w:pPr>
            <w:r>
              <w:rPr>
                <w:rFonts w:ascii="Times New Roman" w:cs="Times New Roman" w:eastAsia="Times New Roman" w:hAnsi="Times New Roman"/>
                <w:sz w:val="18"/>
                <w:szCs w:val="18"/>
                <w:color w:val="auto"/>
              </w:rPr>
              <w:t>Deferred revenue, net of current</w:t>
            </w:r>
          </w:p>
        </w:tc>
        <w:tc>
          <w:tcPr>
            <w:tcW w:w="1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32,423</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31,654</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Deferred income taxes</w:t>
            </w: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5,728</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5,728</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Other long-term liabilities</w:t>
            </w:r>
          </w:p>
        </w:tc>
        <w:tc>
          <w:tcPr>
            <w:tcW w:w="12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23,597</w:t>
            </w:r>
          </w:p>
        </w:tc>
        <w:tc>
          <w:tcPr>
            <w:tcW w:w="16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23,803</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644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Total liabilities</w:t>
            </w:r>
          </w:p>
        </w:tc>
        <w:tc>
          <w:tcPr>
            <w:tcW w:w="12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740,600</w:t>
            </w:r>
          </w:p>
        </w:tc>
        <w:tc>
          <w:tcPr>
            <w:tcW w:w="16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763,261</w:t>
            </w:r>
          </w:p>
        </w:tc>
        <w:tc>
          <w:tcPr>
            <w:tcW w:w="4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0"/>
        </w:trPr>
        <w:tc>
          <w:tcPr>
            <w:tcW w:w="6440" w:type="dxa"/>
            <w:vAlign w:val="bottom"/>
          </w:tcPr>
          <w:p>
            <w:pPr>
              <w:spacing w:after="0"/>
              <w:rPr>
                <w:sz w:val="20"/>
                <w:szCs w:val="20"/>
                <w:color w:val="auto"/>
              </w:rPr>
            </w:pPr>
            <w:r>
              <w:rPr>
                <w:rFonts w:ascii="Times New Roman" w:cs="Times New Roman" w:eastAsia="Times New Roman" w:hAnsi="Times New Roman"/>
                <w:sz w:val="18"/>
                <w:szCs w:val="18"/>
                <w:color w:val="auto"/>
              </w:rPr>
              <w:t>Commitments and contingencies (Note 20)</w:t>
            </w:r>
          </w:p>
        </w:tc>
        <w:tc>
          <w:tcPr>
            <w:tcW w:w="1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Stockholders’ equity:</w:t>
            </w: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spacing w:after="0"/>
              <w:rPr>
                <w:sz w:val="18"/>
                <w:szCs w:val="18"/>
                <w:color w:val="auto"/>
              </w:rPr>
            </w:pPr>
          </w:p>
        </w:tc>
        <w:tc>
          <w:tcPr>
            <w:tcW w:w="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98"/>
        </w:trPr>
        <w:tc>
          <w:tcPr>
            <w:tcW w:w="6440" w:type="dxa"/>
            <w:vAlign w:val="bottom"/>
          </w:tcPr>
          <w:p>
            <w:pPr>
              <w:ind w:left="100"/>
              <w:spacing w:after="0" w:line="198" w:lineRule="exact"/>
              <w:rPr>
                <w:sz w:val="20"/>
                <w:szCs w:val="20"/>
                <w:color w:val="auto"/>
              </w:rPr>
            </w:pPr>
            <w:r>
              <w:rPr>
                <w:rFonts w:ascii="Times New Roman" w:cs="Times New Roman" w:eastAsia="Times New Roman" w:hAnsi="Times New Roman"/>
                <w:sz w:val="18"/>
                <w:szCs w:val="18"/>
                <w:color w:val="auto"/>
              </w:rPr>
              <w:t>Common stock, $0.0001 par value per share; 390,000,000 shares authorized;</w:t>
            </w:r>
          </w:p>
        </w:tc>
        <w:tc>
          <w:tcPr>
            <w:tcW w:w="1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4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175,507,629 and 175,776,074 shares issued and outstanding at March 31, 2026, and</w:t>
            </w:r>
          </w:p>
        </w:tc>
        <w:tc>
          <w:tcPr>
            <w:tcW w:w="1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64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December 31, 2025, respectively.</w:t>
            </w:r>
          </w:p>
        </w:tc>
        <w:tc>
          <w:tcPr>
            <w:tcW w:w="12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64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1,981,988</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1,976,958</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Accumulated deficit</w:t>
            </w:r>
          </w:p>
        </w:tc>
        <w:tc>
          <w:tcPr>
            <w:tcW w:w="1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(1,569,038)</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(1,534,549)</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Accumulated other comprehensive income</w:t>
            </w:r>
          </w:p>
        </w:tc>
        <w:tc>
          <w:tcPr>
            <w:tcW w:w="12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6,134</w:t>
            </w:r>
          </w:p>
        </w:tc>
        <w:tc>
          <w:tcPr>
            <w:tcW w:w="16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6,567</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6440" w:type="dxa"/>
            <w:vAlign w:val="bottom"/>
            <w:tcBorders>
              <w:bottom w:val="single" w:sz="8" w:color="CCEEFF"/>
            </w:tcBorders>
          </w:tcPr>
          <w:p>
            <w:pPr>
              <w:ind w:left="420"/>
              <w:spacing w:after="0"/>
              <w:rPr>
                <w:sz w:val="20"/>
                <w:szCs w:val="20"/>
                <w:color w:val="auto"/>
              </w:rPr>
            </w:pPr>
            <w:r>
              <w:rPr>
                <w:rFonts w:ascii="Times New Roman" w:cs="Times New Roman" w:eastAsia="Times New Roman" w:hAnsi="Times New Roman"/>
                <w:sz w:val="18"/>
                <w:szCs w:val="18"/>
                <w:color w:val="auto"/>
              </w:rPr>
              <w:t>Total stockholders’ equity</w:t>
            </w:r>
          </w:p>
        </w:tc>
        <w:tc>
          <w:tcPr>
            <w:tcW w:w="12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419,102</w:t>
            </w:r>
          </w:p>
        </w:tc>
        <w:tc>
          <w:tcPr>
            <w:tcW w:w="16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448,994</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44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1,159,702</w:t>
            </w:r>
          </w:p>
        </w:tc>
        <w:tc>
          <w:tcPr>
            <w:tcW w:w="16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1,212,255</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4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35" w:lineRule="exact"/>
        <w:rPr>
          <w:sz w:val="20"/>
          <w:szCs w:val="20"/>
          <w:color w:val="auto"/>
        </w:rPr>
      </w:pPr>
    </w:p>
    <w:p>
      <w:pPr>
        <w:ind w:left="2080"/>
        <w:spacing w:after="0"/>
        <w:rPr>
          <w:sz w:val="20"/>
          <w:szCs w:val="20"/>
          <w:color w:val="auto"/>
        </w:rPr>
      </w:pPr>
      <w:r>
        <w:rPr>
          <w:rFonts w:ascii="Times New Roman" w:cs="Times New Roman" w:eastAsia="Times New Roman" w:hAnsi="Times New Roman"/>
          <w:sz w:val="18"/>
          <w:szCs w:val="18"/>
          <w:color w:val="auto"/>
        </w:rPr>
        <w:t>See notes to the unaudited condensed consolidated financial statements.</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32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374650</wp:posOffset>
            </wp:positionV>
            <wp:extent cx="5452110" cy="260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545211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4" w:name="page5"/>
    <w:bookmarkEnd w:id="4"/>
    <w:p>
      <w:pPr>
        <w:ind w:left="20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RIBBON COMMUNICATIONS INC.</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Operations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(in thousands, except per share data)</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27" w:lineRule="exact"/>
        <w:rPr>
          <w:sz w:val="20"/>
          <w:szCs w:val="20"/>
          <w:color w:val="auto"/>
        </w:rPr>
      </w:pPr>
    </w:p>
    <w:tbl>
      <w:tblPr>
        <w:tblLayout w:type="fixed"/>
        <w:tblInd w:w="20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50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440" w:type="dxa"/>
            <w:vAlign w:val="bottom"/>
            <w:gridSpan w:val="5"/>
          </w:tcPr>
          <w:p>
            <w:pPr>
              <w:ind w:left="48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504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980" w:type="dxa"/>
            <w:vAlign w:val="bottom"/>
            <w:tcBorders>
              <w:top w:val="single" w:sz="8" w:color="auto"/>
            </w:tcBorders>
          </w:tcPr>
          <w:p>
            <w:pPr>
              <w:jc w:val="right"/>
              <w:ind w:right="192"/>
              <w:spacing w:after="0" w:line="118" w:lineRule="exact"/>
              <w:rPr>
                <w:sz w:val="20"/>
                <w:szCs w:val="20"/>
                <w:color w:val="auto"/>
              </w:rPr>
            </w:pPr>
            <w:r>
              <w:rPr>
                <w:rFonts w:ascii="Times New Roman" w:cs="Times New Roman" w:eastAsia="Times New Roman" w:hAnsi="Times New Roman"/>
                <w:sz w:val="13"/>
                <w:szCs w:val="13"/>
                <w:b w:val="1"/>
                <w:bCs w:val="1"/>
                <w:color w:val="auto"/>
              </w:rPr>
              <w:t>March 31,</w:t>
            </w:r>
          </w:p>
        </w:tc>
        <w:tc>
          <w:tcPr>
            <w:tcW w:w="420" w:type="dxa"/>
            <w:vAlign w:val="bottom"/>
            <w:tcBorders>
              <w:top w:val="single" w:sz="8" w:color="auto"/>
            </w:tcBorders>
            <w:gridSpan w:val="2"/>
            <w:vMerge w:val="restart"/>
          </w:tcPr>
          <w:p>
            <w:pPr>
              <w:jc w:val="right"/>
              <w:ind w:right="110"/>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tcBorders>
              <w:top w:val="single" w:sz="8" w:color="auto"/>
            </w:tcBorders>
          </w:tcPr>
          <w:p>
            <w:pPr>
              <w:jc w:val="right"/>
              <w:ind w:right="212"/>
              <w:spacing w:after="0" w:line="118" w:lineRule="exact"/>
              <w:rPr>
                <w:sz w:val="20"/>
                <w:szCs w:val="20"/>
                <w:color w:val="auto"/>
              </w:rPr>
            </w:pPr>
            <w:r>
              <w:rPr>
                <w:rFonts w:ascii="Times New Roman" w:cs="Times New Roman" w:eastAsia="Times New Roman" w:hAnsi="Times New Roman"/>
                <w:sz w:val="13"/>
                <w:szCs w:val="13"/>
                <w:b w:val="1"/>
                <w:bCs w:val="1"/>
                <w:color w:val="auto"/>
              </w:rPr>
              <w:t>March 31,</w:t>
            </w: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50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80" w:type="dxa"/>
            <w:vAlign w:val="bottom"/>
          </w:tcPr>
          <w:p>
            <w:pPr>
              <w:jc w:val="right"/>
              <w:ind w:right="352"/>
              <w:spacing w:after="0"/>
              <w:rPr>
                <w:sz w:val="20"/>
                <w:szCs w:val="20"/>
                <w:color w:val="auto"/>
              </w:rPr>
            </w:pPr>
            <w:r>
              <w:rPr>
                <w:rFonts w:ascii="Times New Roman" w:cs="Times New Roman" w:eastAsia="Times New Roman" w:hAnsi="Times New Roman"/>
                <w:sz w:val="14"/>
                <w:szCs w:val="14"/>
                <w:b w:val="1"/>
                <w:bCs w:val="1"/>
                <w:color w:val="auto"/>
              </w:rPr>
              <w:t>2026</w:t>
            </w:r>
          </w:p>
        </w:tc>
        <w:tc>
          <w:tcPr>
            <w:tcW w:w="420" w:type="dxa"/>
            <w:vAlign w:val="bottom"/>
            <w:gridSpan w:val="2"/>
            <w:vMerge w:val="continue"/>
          </w:tcPr>
          <w:p>
            <w:pPr>
              <w:spacing w:after="0"/>
              <w:rPr>
                <w:sz w:val="15"/>
                <w:szCs w:val="15"/>
                <w:color w:val="auto"/>
              </w:rPr>
            </w:pPr>
          </w:p>
        </w:tc>
        <w:tc>
          <w:tcPr>
            <w:tcW w:w="1000" w:type="dxa"/>
            <w:vAlign w:val="bottom"/>
          </w:tcPr>
          <w:p>
            <w:pPr>
              <w:jc w:val="right"/>
              <w:ind w:right="352"/>
              <w:spacing w:after="0"/>
              <w:rPr>
                <w:sz w:val="20"/>
                <w:szCs w:val="20"/>
                <w:color w:val="auto"/>
              </w:rPr>
            </w:pPr>
            <w:r>
              <w:rPr>
                <w:rFonts w:ascii="Times New Roman" w:cs="Times New Roman" w:eastAsia="Times New Roman" w:hAnsi="Times New Roman"/>
                <w:sz w:val="14"/>
                <w:szCs w:val="14"/>
                <w:b w:val="1"/>
                <w:bCs w:val="1"/>
                <w:color w:val="auto"/>
              </w:rPr>
              <w:t>2025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0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w:t>
            </w:r>
          </w:p>
        </w:tc>
        <w:tc>
          <w:tcPr>
            <w:tcW w:w="9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Product</w:t>
            </w: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68,114</w:t>
            </w:r>
          </w:p>
        </w:tc>
        <w:tc>
          <w:tcPr>
            <w:tcW w:w="4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81,991</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Service</w:t>
            </w:r>
          </w:p>
        </w:tc>
        <w:tc>
          <w:tcPr>
            <w:tcW w:w="98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94,492</w:t>
            </w:r>
          </w:p>
        </w:tc>
        <w:tc>
          <w:tcPr>
            <w:tcW w:w="24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99,288</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040" w:type="dxa"/>
            <w:vAlign w:val="bottom"/>
            <w:tcBorders>
              <w:bottom w:val="single" w:sz="8" w:color="CCEEFF"/>
            </w:tcBorders>
          </w:tcPr>
          <w:p>
            <w:pPr>
              <w:ind w:left="200"/>
              <w:spacing w:after="0"/>
              <w:rPr>
                <w:sz w:val="20"/>
                <w:szCs w:val="20"/>
                <w:color w:val="auto"/>
              </w:rPr>
            </w:pPr>
            <w:r>
              <w:rPr>
                <w:rFonts w:ascii="Times New Roman" w:cs="Times New Roman" w:eastAsia="Times New Roman" w:hAnsi="Times New Roman"/>
                <w:sz w:val="18"/>
                <w:szCs w:val="18"/>
                <w:color w:val="auto"/>
              </w:rPr>
              <w:t>Total revenue</w:t>
            </w:r>
          </w:p>
        </w:tc>
        <w:tc>
          <w:tcPr>
            <w:tcW w:w="98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162,606</w:t>
            </w:r>
          </w:p>
        </w:tc>
        <w:tc>
          <w:tcPr>
            <w:tcW w:w="24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181,279</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Cost of revenue:</w:t>
            </w:r>
          </w:p>
        </w:tc>
        <w:tc>
          <w:tcPr>
            <w:tcW w:w="9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Product</w:t>
            </w:r>
          </w:p>
        </w:tc>
        <w:tc>
          <w:tcPr>
            <w:tcW w:w="9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49,425</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57,893</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Service</w:t>
            </w:r>
          </w:p>
        </w:tc>
        <w:tc>
          <w:tcPr>
            <w:tcW w:w="9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38,928</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35,628</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40" w:type="dxa"/>
            <w:vAlign w:val="bottom"/>
            <w:tcBorders>
              <w:bottom w:val="single" w:sz="8" w:color="CCEEFF"/>
            </w:tcBorders>
          </w:tcPr>
          <w:p>
            <w:pPr>
              <w:ind w:left="100"/>
              <w:spacing w:after="0"/>
              <w:rPr>
                <w:sz w:val="20"/>
                <w:szCs w:val="20"/>
                <w:color w:val="auto"/>
              </w:rPr>
            </w:pPr>
            <w:r>
              <w:rPr>
                <w:rFonts w:ascii="Times New Roman" w:cs="Times New Roman" w:eastAsia="Times New Roman" w:hAnsi="Times New Roman"/>
                <w:sz w:val="18"/>
                <w:szCs w:val="18"/>
                <w:color w:val="auto"/>
              </w:rPr>
              <w:t>Amortization of acquired technology</w:t>
            </w:r>
          </w:p>
        </w:tc>
        <w:tc>
          <w:tcPr>
            <w:tcW w:w="98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4,562</w:t>
            </w:r>
          </w:p>
        </w:tc>
        <w:tc>
          <w:tcPr>
            <w:tcW w:w="24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5,388</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04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Total cost of revenue</w:t>
            </w:r>
          </w:p>
        </w:tc>
        <w:tc>
          <w:tcPr>
            <w:tcW w:w="98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92,915</w:t>
            </w:r>
          </w:p>
        </w:tc>
        <w:tc>
          <w:tcPr>
            <w:tcW w:w="24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98,909</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0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Gross profit</w:t>
            </w:r>
          </w:p>
        </w:tc>
        <w:tc>
          <w:tcPr>
            <w:tcW w:w="98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69,691</w:t>
            </w:r>
          </w:p>
        </w:tc>
        <w:tc>
          <w:tcPr>
            <w:tcW w:w="24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82,370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9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Research and development</w:t>
            </w:r>
          </w:p>
        </w:tc>
        <w:tc>
          <w:tcPr>
            <w:tcW w:w="9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44,445</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43,568</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Sales and marketing</w:t>
            </w:r>
          </w:p>
        </w:tc>
        <w:tc>
          <w:tcPr>
            <w:tcW w:w="9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32,269</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31,788</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9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16,978</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15,128</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Amortization of acquired intangible assets</w:t>
            </w:r>
          </w:p>
        </w:tc>
        <w:tc>
          <w:tcPr>
            <w:tcW w:w="9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5,656</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6,155</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40" w:type="dxa"/>
            <w:vAlign w:val="bottom"/>
            <w:tcBorders>
              <w:bottom w:val="single" w:sz="8" w:color="CCEEFF"/>
            </w:tcBorders>
          </w:tcPr>
          <w:p>
            <w:pPr>
              <w:ind w:left="100"/>
              <w:spacing w:after="0"/>
              <w:rPr>
                <w:sz w:val="20"/>
                <w:szCs w:val="20"/>
                <w:color w:val="auto"/>
              </w:rPr>
            </w:pPr>
            <w:r>
              <w:rPr>
                <w:rFonts w:ascii="Times New Roman" w:cs="Times New Roman" w:eastAsia="Times New Roman" w:hAnsi="Times New Roman"/>
                <w:sz w:val="18"/>
                <w:szCs w:val="18"/>
                <w:color w:val="auto"/>
              </w:rPr>
              <w:t>Restructuring and related</w:t>
            </w:r>
          </w:p>
        </w:tc>
        <w:tc>
          <w:tcPr>
            <w:tcW w:w="98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2,038</w:t>
            </w:r>
          </w:p>
        </w:tc>
        <w:tc>
          <w:tcPr>
            <w:tcW w:w="24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5,341</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04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Total operating expenses</w:t>
            </w:r>
          </w:p>
        </w:tc>
        <w:tc>
          <w:tcPr>
            <w:tcW w:w="98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101,386</w:t>
            </w:r>
          </w:p>
        </w:tc>
        <w:tc>
          <w:tcPr>
            <w:tcW w:w="24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101,980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040" w:type="dxa"/>
            <w:vAlign w:val="bottom"/>
          </w:tcPr>
          <w:p>
            <w:pPr>
              <w:spacing w:after="0"/>
              <w:rPr>
                <w:sz w:val="20"/>
                <w:szCs w:val="20"/>
                <w:color w:val="auto"/>
              </w:rPr>
            </w:pPr>
            <w:r>
              <w:rPr>
                <w:rFonts w:ascii="Times New Roman" w:cs="Times New Roman" w:eastAsia="Times New Roman" w:hAnsi="Times New Roman"/>
                <w:sz w:val="18"/>
                <w:szCs w:val="18"/>
                <w:color w:val="auto"/>
              </w:rPr>
              <w:t>Loss from operations</w:t>
            </w:r>
          </w:p>
        </w:tc>
        <w:tc>
          <w:tcPr>
            <w:tcW w:w="9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(31,695)</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(19,610)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expense, net</w:t>
            </w:r>
          </w:p>
        </w:tc>
        <w:tc>
          <w:tcPr>
            <w:tcW w:w="9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(9,756)</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(10,500)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Other income, net</w:t>
            </w:r>
          </w:p>
        </w:tc>
        <w:tc>
          <w:tcPr>
            <w:tcW w:w="98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514</w:t>
            </w:r>
          </w:p>
        </w:tc>
        <w:tc>
          <w:tcPr>
            <w:tcW w:w="24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3,129</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Loss before income taxes</w:t>
            </w:r>
          </w:p>
        </w:tc>
        <w:tc>
          <w:tcPr>
            <w:tcW w:w="9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(40,937)</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(26,981)</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Income tax benefit</w:t>
            </w:r>
          </w:p>
        </w:tc>
        <w:tc>
          <w:tcPr>
            <w:tcW w:w="98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6,448</w:t>
            </w:r>
          </w:p>
        </w:tc>
        <w:tc>
          <w:tcPr>
            <w:tcW w:w="24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754</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0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w:t>
            </w:r>
          </w:p>
        </w:tc>
        <w:tc>
          <w:tcPr>
            <w:tcW w:w="98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(34,489)</w:t>
            </w:r>
          </w:p>
        </w:tc>
        <w:tc>
          <w:tcPr>
            <w:tcW w:w="24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(26,227)</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06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Loss per share:</w:t>
            </w:r>
          </w:p>
        </w:tc>
        <w:tc>
          <w:tcPr>
            <w:tcW w:w="9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4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4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line="20" w:lineRule="exact"/>
              <w:rPr>
                <w:sz w:val="1"/>
                <w:szCs w:val="1"/>
                <w:color w:val="auto"/>
              </w:rPr>
            </w:pPr>
          </w:p>
        </w:tc>
      </w:tr>
      <w:tr>
        <w:trPr>
          <w:trHeight w:val="196"/>
        </w:trPr>
        <w:tc>
          <w:tcPr>
            <w:tcW w:w="5060" w:type="dxa"/>
            <w:vAlign w:val="bottom"/>
            <w:gridSpan w:val="2"/>
            <w:vMerge w:val="continue"/>
          </w:tcPr>
          <w:p>
            <w:pPr>
              <w:spacing w:after="0"/>
              <w:rPr>
                <w:sz w:val="17"/>
                <w:szCs w:val="17"/>
                <w:color w:val="auto"/>
              </w:rPr>
            </w:pPr>
          </w:p>
        </w:tc>
        <w:tc>
          <w:tcPr>
            <w:tcW w:w="9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40" w:type="dxa"/>
            <w:vAlign w:val="bottom"/>
            <w:vMerge w:val="continue"/>
          </w:tcPr>
          <w:p>
            <w:pPr>
              <w:spacing w:after="0"/>
              <w:rPr>
                <w:sz w:val="17"/>
                <w:szCs w:val="17"/>
                <w:color w:val="auto"/>
              </w:rPr>
            </w:pPr>
          </w:p>
        </w:tc>
        <w:tc>
          <w:tcPr>
            <w:tcW w:w="1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Basic</w:t>
            </w:r>
          </w:p>
        </w:tc>
        <w:tc>
          <w:tcPr>
            <w:tcW w:w="11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(0.20)</w:t>
            </w:r>
          </w:p>
        </w:tc>
        <w:tc>
          <w:tcPr>
            <w:tcW w:w="4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(0.15)</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Diluted</w:t>
            </w: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(0.20)</w:t>
            </w:r>
          </w:p>
        </w:tc>
        <w:tc>
          <w:tcPr>
            <w:tcW w:w="4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(0.15)</w:t>
            </w:r>
          </w:p>
        </w:tc>
        <w:tc>
          <w:tcPr>
            <w:tcW w:w="4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Weighted average shares used to compute loss per share:</w:t>
            </w:r>
          </w:p>
        </w:tc>
        <w:tc>
          <w:tcPr>
            <w:tcW w:w="9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4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spacing w:after="0"/>
              <w:rPr>
                <w:sz w:val="18"/>
                <w:szCs w:val="18"/>
                <w:color w:val="auto"/>
              </w:rPr>
            </w:pPr>
          </w:p>
        </w:tc>
        <w:tc>
          <w:tcPr>
            <w:tcW w:w="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Basic</w:t>
            </w:r>
          </w:p>
        </w:tc>
        <w:tc>
          <w:tcPr>
            <w:tcW w:w="9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175,661</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175,719</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Diluted</w:t>
            </w:r>
          </w:p>
        </w:tc>
        <w:tc>
          <w:tcPr>
            <w:tcW w:w="9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175,661</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175,719</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ind w:left="2080"/>
        <w:spacing w:after="0"/>
        <w:rPr>
          <w:sz w:val="20"/>
          <w:szCs w:val="20"/>
          <w:color w:val="auto"/>
        </w:rPr>
      </w:pPr>
      <w:r>
        <w:rPr>
          <w:rFonts w:ascii="Times New Roman" w:cs="Times New Roman" w:eastAsia="Times New Roman" w:hAnsi="Times New Roman"/>
          <w:sz w:val="18"/>
          <w:szCs w:val="18"/>
          <w:color w:val="auto"/>
        </w:rPr>
        <w:t>See notes to the unaudited condensed consolidated financial statements.</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374650</wp:posOffset>
            </wp:positionV>
            <wp:extent cx="545211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545211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5" w:name="page6"/>
    <w:bookmarkEnd w:id="5"/>
    <w:p>
      <w:pPr>
        <w:ind w:left="20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RIBBON COMMUNICATIONS INC.</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Comprehensive Loss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14" w:lineRule="exact"/>
        <w:rPr>
          <w:sz w:val="20"/>
          <w:szCs w:val="20"/>
          <w:color w:val="auto"/>
        </w:rPr>
      </w:pPr>
    </w:p>
    <w:tbl>
      <w:tblPr>
        <w:tblLayout w:type="fixed"/>
        <w:tblInd w:w="220" w:type="dxa"/>
        <w:tblCellMar>
          <w:top w:w="0" w:type="dxa"/>
          <w:left w:w="0" w:type="dxa"/>
          <w:bottom w:w="0" w:type="dxa"/>
          <w:right w:w="0" w:type="dxa"/>
        </w:tblCellMar>
      </w:tblPr>
      <w:tr>
        <w:trPr>
          <w:trHeight w:val="173"/>
        </w:trPr>
        <w:tc>
          <w:tcPr>
            <w:tcW w:w="67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740" w:type="dxa"/>
            <w:vAlign w:val="bottom"/>
            <w:gridSpan w:val="6"/>
          </w:tcPr>
          <w:p>
            <w:pPr>
              <w:ind w:left="160"/>
              <w:spacing w:after="0"/>
              <w:rPr>
                <w:sz w:val="20"/>
                <w:szCs w:val="20"/>
                <w:color w:val="auto"/>
              </w:rPr>
            </w:pPr>
            <w:r>
              <w:rPr>
                <w:rFonts w:ascii="Times New Roman" w:cs="Times New Roman" w:eastAsia="Times New Roman" w:hAnsi="Times New Roman"/>
                <w:sz w:val="14"/>
                <w:szCs w:val="14"/>
                <w:b w:val="1"/>
                <w:bCs w:val="1"/>
                <w:color w:val="auto"/>
              </w:rPr>
              <w:t>Three months ended</w:t>
            </w:r>
          </w:p>
        </w:tc>
      </w:tr>
      <w:tr>
        <w:trPr>
          <w:trHeight w:val="117"/>
        </w:trPr>
        <w:tc>
          <w:tcPr>
            <w:tcW w:w="6720" w:type="dxa"/>
            <w:vAlign w:val="bottom"/>
          </w:tcPr>
          <w:p>
            <w:pPr>
              <w:spacing w:after="0"/>
              <w:rPr>
                <w:sz w:val="10"/>
                <w:szCs w:val="10"/>
                <w:color w:val="auto"/>
              </w:rPr>
            </w:pPr>
          </w:p>
        </w:tc>
        <w:tc>
          <w:tcPr>
            <w:tcW w:w="860" w:type="dxa"/>
            <w:vAlign w:val="bottom"/>
            <w:tcBorders>
              <w:top w:val="single" w:sz="8" w:color="auto"/>
            </w:tcBorders>
            <w:gridSpan w:val="3"/>
          </w:tcPr>
          <w:p>
            <w:pPr>
              <w:ind w:left="80"/>
              <w:spacing w:after="0" w:line="118" w:lineRule="exact"/>
              <w:rPr>
                <w:sz w:val="20"/>
                <w:szCs w:val="20"/>
                <w:color w:val="auto"/>
              </w:rPr>
            </w:pPr>
            <w:r>
              <w:rPr>
                <w:rFonts w:ascii="Times New Roman" w:cs="Times New Roman" w:eastAsia="Times New Roman" w:hAnsi="Times New Roman"/>
                <w:sz w:val="13"/>
                <w:szCs w:val="13"/>
                <w:b w:val="1"/>
                <w:bCs w:val="1"/>
                <w:color w:val="auto"/>
              </w:rPr>
              <w:t>March 31,</w:t>
            </w:r>
          </w:p>
        </w:tc>
        <w:tc>
          <w:tcPr>
            <w:tcW w:w="160" w:type="dxa"/>
            <w:vAlign w:val="bottom"/>
            <w:tcBorders>
              <w:top w:val="single" w:sz="8" w:color="auto"/>
            </w:tcBorders>
          </w:tcPr>
          <w:p>
            <w:pPr>
              <w:spacing w:after="0"/>
              <w:rPr>
                <w:sz w:val="10"/>
                <w:szCs w:val="10"/>
                <w:color w:val="auto"/>
              </w:rPr>
            </w:pPr>
          </w:p>
        </w:tc>
        <w:tc>
          <w:tcPr>
            <w:tcW w:w="840" w:type="dxa"/>
            <w:vAlign w:val="bottom"/>
            <w:tcBorders>
              <w:top w:val="single" w:sz="8" w:color="auto"/>
            </w:tcBorders>
            <w:gridSpan w:val="2"/>
          </w:tcPr>
          <w:p>
            <w:pPr>
              <w:jc w:val="right"/>
              <w:ind w:right="33"/>
              <w:spacing w:after="0" w:line="118" w:lineRule="exact"/>
              <w:rPr>
                <w:sz w:val="20"/>
                <w:szCs w:val="20"/>
                <w:color w:val="auto"/>
              </w:rPr>
            </w:pPr>
            <w:r>
              <w:rPr>
                <w:rFonts w:ascii="Times New Roman" w:cs="Times New Roman" w:eastAsia="Times New Roman" w:hAnsi="Times New Roman"/>
                <w:sz w:val="13"/>
                <w:szCs w:val="13"/>
                <w:b w:val="1"/>
                <w:bCs w:val="1"/>
                <w:color w:val="auto"/>
              </w:rPr>
              <w:t>March 31,</w:t>
            </w:r>
          </w:p>
        </w:tc>
        <w:tc>
          <w:tcPr>
            <w:tcW w:w="20" w:type="dxa"/>
            <w:vAlign w:val="bottom"/>
          </w:tcPr>
          <w:p>
            <w:pPr>
              <w:spacing w:after="0"/>
              <w:rPr>
                <w:sz w:val="10"/>
                <w:szCs w:val="10"/>
                <w:color w:val="auto"/>
              </w:rPr>
            </w:pPr>
          </w:p>
        </w:tc>
      </w:tr>
      <w:tr>
        <w:trPr>
          <w:trHeight w:val="173"/>
        </w:trPr>
        <w:tc>
          <w:tcPr>
            <w:tcW w:w="67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80" w:type="dxa"/>
            <w:vAlign w:val="bottom"/>
          </w:tcPr>
          <w:p>
            <w:pPr>
              <w:jc w:val="right"/>
              <w:ind w:right="195"/>
              <w:spacing w:after="0"/>
              <w:rPr>
                <w:sz w:val="20"/>
                <w:szCs w:val="20"/>
                <w:color w:val="auto"/>
              </w:rPr>
            </w:pPr>
            <w:r>
              <w:rPr>
                <w:rFonts w:ascii="Times New Roman" w:cs="Times New Roman" w:eastAsia="Times New Roman" w:hAnsi="Times New Roman"/>
                <w:sz w:val="14"/>
                <w:szCs w:val="14"/>
                <w:b w:val="1"/>
                <w:bCs w:val="1"/>
                <w:color w:val="auto"/>
              </w:rPr>
              <w:t>2026</w:t>
            </w:r>
          </w:p>
        </w:tc>
        <w:tc>
          <w:tcPr>
            <w:tcW w:w="40" w:type="dxa"/>
            <w:vAlign w:val="bottom"/>
          </w:tcPr>
          <w:p>
            <w:pPr>
              <w:spacing w:after="0"/>
              <w:rPr>
                <w:sz w:val="15"/>
                <w:szCs w:val="15"/>
                <w:color w:val="auto"/>
              </w:rPr>
            </w:pPr>
          </w:p>
        </w:tc>
        <w:tc>
          <w:tcPr>
            <w:tcW w:w="320" w:type="dxa"/>
            <w:vAlign w:val="bottom"/>
            <w:gridSpan w:val="2"/>
          </w:tcPr>
          <w:p>
            <w:pPr>
              <w:jc w:val="right"/>
              <w:ind w:right="78"/>
              <w:spacing w:after="0"/>
              <w:rPr>
                <w:sz w:val="20"/>
                <w:szCs w:val="20"/>
                <w:color w:val="auto"/>
              </w:rPr>
            </w:pPr>
            <w:r>
              <w:rPr>
                <w:rFonts w:ascii="Times New Roman" w:cs="Times New Roman" w:eastAsia="Times New Roman" w:hAnsi="Times New Roman"/>
                <w:sz w:val="14"/>
                <w:szCs w:val="14"/>
                <w:b w:val="1"/>
                <w:bCs w:val="1"/>
                <w:color w:val="auto"/>
              </w:rPr>
              <w:t>​​​</w:t>
            </w:r>
          </w:p>
        </w:tc>
        <w:tc>
          <w:tcPr>
            <w:tcW w:w="680" w:type="dxa"/>
            <w:vAlign w:val="bottom"/>
          </w:tcPr>
          <w:p>
            <w:pPr>
              <w:jc w:val="right"/>
              <w:ind w:right="193"/>
              <w:spacing w:after="0"/>
              <w:rPr>
                <w:sz w:val="20"/>
                <w:szCs w:val="20"/>
                <w:color w:val="auto"/>
              </w:rPr>
            </w:pPr>
            <w:r>
              <w:rPr>
                <w:rFonts w:ascii="Times New Roman" w:cs="Times New Roman" w:eastAsia="Times New Roman" w:hAnsi="Times New Roman"/>
                <w:sz w:val="14"/>
                <w:szCs w:val="14"/>
                <w:b w:val="1"/>
                <w:bCs w:val="1"/>
                <w:color w:val="auto"/>
              </w:rPr>
              <w:t>2025</w:t>
            </w:r>
          </w:p>
        </w:tc>
        <w:tc>
          <w:tcPr>
            <w:tcW w:w="20" w:type="dxa"/>
            <w:vAlign w:val="bottom"/>
          </w:tcPr>
          <w:p>
            <w:pPr>
              <w:spacing w:after="0"/>
              <w:rPr>
                <w:sz w:val="15"/>
                <w:szCs w:val="15"/>
                <w:color w:val="auto"/>
              </w:rPr>
            </w:pPr>
          </w:p>
        </w:tc>
      </w:tr>
      <w:tr>
        <w:trPr>
          <w:trHeight w:val="209"/>
        </w:trPr>
        <w:tc>
          <w:tcPr>
            <w:tcW w:w="67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w:t>
            </w: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(34,489)</w:t>
            </w:r>
          </w:p>
        </w:tc>
        <w:tc>
          <w:tcPr>
            <w:tcW w:w="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(26,227)</w:t>
            </w:r>
          </w:p>
        </w:tc>
        <w:tc>
          <w:tcPr>
            <w:tcW w:w="20" w:type="dxa"/>
            <w:vAlign w:val="bottom"/>
          </w:tcPr>
          <w:p>
            <w:pPr>
              <w:spacing w:after="0"/>
              <w:rPr>
                <w:sz w:val="18"/>
                <w:szCs w:val="18"/>
                <w:color w:val="auto"/>
              </w:rPr>
            </w:pPr>
          </w:p>
        </w:tc>
      </w:tr>
      <w:tr>
        <w:trPr>
          <w:trHeight w:val="209"/>
        </w:trPr>
        <w:tc>
          <w:tcPr>
            <w:tcW w:w="6720" w:type="dxa"/>
            <w:vAlign w:val="bottom"/>
          </w:tcPr>
          <w:p>
            <w:pPr>
              <w:spacing w:after="0"/>
              <w:rPr>
                <w:sz w:val="20"/>
                <w:szCs w:val="20"/>
                <w:color w:val="auto"/>
              </w:rPr>
            </w:pPr>
            <w:r>
              <w:rPr>
                <w:rFonts w:ascii="Times New Roman" w:cs="Times New Roman" w:eastAsia="Times New Roman" w:hAnsi="Times New Roman"/>
                <w:sz w:val="18"/>
                <w:szCs w:val="18"/>
                <w:color w:val="auto"/>
              </w:rPr>
              <w:t>Other comprehensive loss, net of tax:</w:t>
            </w:r>
          </w:p>
        </w:tc>
        <w:tc>
          <w:tcPr>
            <w:tcW w:w="1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67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Unrealized loss on cash flow hedges, net of reclassifications into earnings</w:t>
            </w:r>
          </w:p>
        </w:tc>
        <w:tc>
          <w:tcPr>
            <w:tcW w:w="1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(297)</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r>
      <w:tr>
        <w:trPr>
          <w:trHeight w:val="216"/>
        </w:trPr>
        <w:tc>
          <w:tcPr>
            <w:tcW w:w="67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Foreign currency translation adjustments</w:t>
            </w:r>
          </w:p>
        </w:tc>
        <w:tc>
          <w:tcPr>
            <w:tcW w:w="140" w:type="dxa"/>
            <w:vAlign w:val="bottom"/>
          </w:tcPr>
          <w:p>
            <w:pPr>
              <w:spacing w:after="0"/>
              <w:rPr>
                <w:sz w:val="18"/>
                <w:szCs w:val="18"/>
                <w:color w:val="auto"/>
              </w:rPr>
            </w:pPr>
          </w:p>
        </w:tc>
        <w:tc>
          <w:tcPr>
            <w:tcW w:w="7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(136)</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w:t>
            </w:r>
          </w:p>
        </w:tc>
        <w:tc>
          <w:tcPr>
            <w:tcW w:w="20" w:type="dxa"/>
            <w:vAlign w:val="bottom"/>
          </w:tcPr>
          <w:p>
            <w:pPr>
              <w:spacing w:after="0"/>
              <w:rPr>
                <w:sz w:val="18"/>
                <w:szCs w:val="18"/>
                <w:color w:val="auto"/>
              </w:rPr>
            </w:pPr>
          </w:p>
        </w:tc>
      </w:tr>
      <w:tr>
        <w:trPr>
          <w:trHeight w:val="209"/>
        </w:trPr>
        <w:tc>
          <w:tcPr>
            <w:tcW w:w="6720" w:type="dxa"/>
            <w:vAlign w:val="bottom"/>
            <w:tcBorders>
              <w:top w:val="single" w:sz="8" w:color="CCEEFF"/>
            </w:tcBorders>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Other comprehensive loss, net of tax</w:t>
            </w:r>
          </w:p>
        </w:tc>
        <w:tc>
          <w:tcPr>
            <w:tcW w:w="140" w:type="dxa"/>
            <w:vAlign w:val="bottom"/>
            <w:tcBorders>
              <w:top w:val="single" w:sz="8" w:color="auto"/>
              <w:bottom w:val="single" w:sz="8" w:color="auto"/>
            </w:tcBorders>
            <w:shd w:val="clear" w:color="auto" w:fill="CCEEFF"/>
          </w:tcPr>
          <w:p>
            <w:pPr>
              <w:spacing w:after="0"/>
              <w:rPr>
                <w:sz w:val="18"/>
                <w:szCs w:val="18"/>
                <w:color w:val="auto"/>
              </w:rPr>
            </w:pP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(433)</w:t>
            </w:r>
          </w:p>
        </w:tc>
        <w:tc>
          <w:tcPr>
            <w:tcW w:w="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spacing w:after="0"/>
              <w:rPr>
                <w:sz w:val="18"/>
                <w:szCs w:val="18"/>
                <w:color w:val="auto"/>
              </w:rPr>
            </w:pP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w:t>
            </w:r>
          </w:p>
        </w:tc>
        <w:tc>
          <w:tcPr>
            <w:tcW w:w="20" w:type="dxa"/>
            <w:vAlign w:val="bottom"/>
          </w:tcPr>
          <w:p>
            <w:pPr>
              <w:spacing w:after="0"/>
              <w:rPr>
                <w:sz w:val="18"/>
                <w:szCs w:val="18"/>
                <w:color w:val="auto"/>
              </w:rPr>
            </w:pPr>
          </w:p>
        </w:tc>
      </w:tr>
      <w:tr>
        <w:trPr>
          <w:trHeight w:val="209"/>
        </w:trPr>
        <w:tc>
          <w:tcPr>
            <w:tcW w:w="6720" w:type="dxa"/>
            <w:vAlign w:val="bottom"/>
          </w:tcPr>
          <w:p>
            <w:pPr>
              <w:spacing w:after="0"/>
              <w:rPr>
                <w:sz w:val="20"/>
                <w:szCs w:val="20"/>
                <w:color w:val="auto"/>
              </w:rPr>
            </w:pPr>
            <w:r>
              <w:rPr>
                <w:rFonts w:ascii="Times New Roman" w:cs="Times New Roman" w:eastAsia="Times New Roman" w:hAnsi="Times New Roman"/>
                <w:sz w:val="18"/>
                <w:szCs w:val="18"/>
                <w:color w:val="auto"/>
              </w:rPr>
              <w:t>Comprehensive loss, net of tax</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(34,922)</w:t>
            </w: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(26,317)</w:t>
            </w:r>
          </w:p>
        </w:tc>
        <w:tc>
          <w:tcPr>
            <w:tcW w:w="20" w:type="dxa"/>
            <w:vAlign w:val="bottom"/>
            <w:tcBorders>
              <w:bottom w:val="single" w:sz="8" w:color="auto"/>
            </w:tcBorders>
          </w:tcPr>
          <w:p>
            <w:pPr>
              <w:spacing w:after="0"/>
              <w:rPr>
                <w:sz w:val="18"/>
                <w:szCs w:val="18"/>
                <w:color w:val="auto"/>
              </w:rPr>
            </w:pPr>
          </w:p>
        </w:tc>
      </w:tr>
      <w:tr>
        <w:trPr>
          <w:trHeight w:val="20"/>
        </w:trPr>
        <w:tc>
          <w:tcPr>
            <w:tcW w:w="67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ind w:left="2080"/>
        <w:spacing w:after="0"/>
        <w:rPr>
          <w:sz w:val="20"/>
          <w:szCs w:val="20"/>
          <w:color w:val="auto"/>
        </w:rPr>
      </w:pPr>
      <w:r>
        <w:rPr>
          <w:rFonts w:ascii="Times New Roman" w:cs="Times New Roman" w:eastAsia="Times New Roman" w:hAnsi="Times New Roman"/>
          <w:sz w:val="18"/>
          <w:szCs w:val="18"/>
          <w:color w:val="auto"/>
        </w:rPr>
        <w:t>See notes to the unaudited condensed consolidated financial statements.</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374650</wp:posOffset>
            </wp:positionV>
            <wp:extent cx="545211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545211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6" w:name="page7"/>
    <w:bookmarkEnd w:id="6"/>
    <w:p>
      <w:pPr>
        <w:ind w:left="20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RIBBON COMMUNICATIONS INC.</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Stockholders’ Equity</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(in thousands, except shares)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1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Three months ended March 31, 2026</w:t>
      </w:r>
    </w:p>
    <w:p>
      <w:pPr>
        <w:spacing w:after="0" w:line="12" w:lineRule="exact"/>
        <w:rPr>
          <w:sz w:val="20"/>
          <w:szCs w:val="20"/>
          <w:color w:val="auto"/>
        </w:rPr>
      </w:pPr>
    </w:p>
    <w:tbl>
      <w:tblPr>
        <w:tblLayout w:type="fixed"/>
        <w:tblInd w:w="200" w:type="dxa"/>
        <w:tblCellMar>
          <w:top w:w="0" w:type="dxa"/>
          <w:left w:w="0" w:type="dxa"/>
          <w:bottom w:w="0" w:type="dxa"/>
          <w:right w:w="0" w:type="dxa"/>
        </w:tblCellMar>
      </w:tblPr>
      <w:tr>
        <w:trPr>
          <w:trHeight w:val="117"/>
        </w:trPr>
        <w:tc>
          <w:tcPr>
            <w:tcW w:w="20" w:type="dxa"/>
            <w:vAlign w:val="bottom"/>
          </w:tcPr>
          <w:p>
            <w:pPr>
              <w:spacing w:after="0"/>
              <w:rPr>
                <w:sz w:val="10"/>
                <w:szCs w:val="10"/>
                <w:color w:val="auto"/>
              </w:rPr>
            </w:pPr>
          </w:p>
        </w:tc>
        <w:tc>
          <w:tcPr>
            <w:tcW w:w="2460" w:type="dxa"/>
            <w:vAlign w:val="bottom"/>
            <w:tcBorders>
              <w:top w:val="single" w:sz="8" w:color="auto"/>
            </w:tcBorders>
          </w:tcPr>
          <w:p>
            <w:pPr>
              <w:spacing w:after="0"/>
              <w:rPr>
                <w:sz w:val="10"/>
                <w:szCs w:val="10"/>
                <w:color w:val="auto"/>
              </w:rPr>
            </w:pPr>
          </w:p>
        </w:tc>
        <w:tc>
          <w:tcPr>
            <w:tcW w:w="1180" w:type="dxa"/>
            <w:vAlign w:val="bottom"/>
            <w:tcBorders>
              <w:top w:val="single" w:sz="8" w:color="auto"/>
            </w:tcBorders>
            <w:gridSpan w:val="3"/>
          </w:tcPr>
          <w:p>
            <w:pPr>
              <w:jc w:val="right"/>
              <w:ind w:right="1020"/>
              <w:spacing w:after="0" w:line="118"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tcBorders>
              <w:top w:val="single" w:sz="8" w:color="auto"/>
            </w:tcBorders>
          </w:tcPr>
          <w:p>
            <w:pPr>
              <w:spacing w:after="0"/>
              <w:rPr>
                <w:sz w:val="10"/>
                <w:szCs w:val="10"/>
                <w:color w:val="auto"/>
              </w:rPr>
            </w:pPr>
          </w:p>
        </w:tc>
        <w:tc>
          <w:tcPr>
            <w:tcW w:w="220" w:type="dxa"/>
            <w:vAlign w:val="bottom"/>
            <w:tcBorders>
              <w:top w:val="single" w:sz="8" w:color="auto"/>
            </w:tcBorders>
          </w:tcPr>
          <w:p>
            <w:pPr>
              <w:spacing w:after="0"/>
              <w:rPr>
                <w:sz w:val="10"/>
                <w:szCs w:val="10"/>
                <w:color w:val="auto"/>
              </w:rPr>
            </w:pPr>
          </w:p>
        </w:tc>
        <w:tc>
          <w:tcPr>
            <w:tcW w:w="320" w:type="dxa"/>
            <w:vAlign w:val="bottom"/>
            <w:tcBorders>
              <w:top w:val="single" w:sz="8" w:color="auto"/>
            </w:tcBorders>
          </w:tcPr>
          <w:p>
            <w:pPr>
              <w:spacing w:after="0"/>
              <w:rPr>
                <w:sz w:val="10"/>
                <w:szCs w:val="10"/>
                <w:color w:val="auto"/>
              </w:rPr>
            </w:pPr>
          </w:p>
        </w:tc>
        <w:tc>
          <w:tcPr>
            <w:tcW w:w="220" w:type="dxa"/>
            <w:vAlign w:val="bottom"/>
            <w:tcBorders>
              <w:top w:val="single" w:sz="8" w:color="auto"/>
            </w:tcBorders>
            <w:gridSpan w:val="2"/>
            <w:vMerge w:val="restart"/>
          </w:tcPr>
          <w:p>
            <w:pPr>
              <w:ind w:left="60"/>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tcBorders>
              <w:top w:val="single" w:sz="8" w:color="auto"/>
            </w:tcBorders>
            <w:gridSpan w:val="2"/>
            <w:vMerge w:val="restart"/>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1120" w:type="dxa"/>
            <w:vAlign w:val="bottom"/>
            <w:tcBorders>
              <w:top w:val="single" w:sz="8" w:color="auto"/>
            </w:tcBorders>
            <w:gridSpan w:val="3"/>
            <w:vMerge w:val="restart"/>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tcBorders>
              <w:top w:val="single" w:sz="8" w:color="auto"/>
            </w:tcBorders>
            <w:gridSpan w:val="4"/>
          </w:tcPr>
          <w:p>
            <w:pPr>
              <w:ind w:left="40"/>
              <w:spacing w:after="0" w:line="118" w:lineRule="exact"/>
              <w:rPr>
                <w:sz w:val="20"/>
                <w:szCs w:val="20"/>
                <w:color w:val="auto"/>
              </w:rPr>
            </w:pP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b w:val="1"/>
                <w:bCs w:val="1"/>
                <w:color w:val="auto"/>
              </w:rPr>
              <w:t>Accumulated</w:t>
            </w:r>
          </w:p>
        </w:tc>
        <w:tc>
          <w:tcPr>
            <w:tcW w:w="260" w:type="dxa"/>
            <w:vAlign w:val="bottom"/>
            <w:tcBorders>
              <w:top w:val="single" w:sz="8" w:color="auto"/>
            </w:tcBorders>
            <w:gridSpan w:val="3"/>
          </w:tcPr>
          <w:p>
            <w:pPr>
              <w:ind w:left="40"/>
              <w:spacing w:after="0" w:line="118" w:lineRule="exact"/>
              <w:rPr>
                <w:sz w:val="20"/>
                <w:szCs w:val="20"/>
                <w:color w:val="auto"/>
              </w:rPr>
            </w:pPr>
            <w:r>
              <w:rPr>
                <w:rFonts w:ascii="Times New Roman" w:cs="Times New Roman" w:eastAsia="Times New Roman" w:hAnsi="Times New Roman"/>
                <w:sz w:val="13"/>
                <w:szCs w:val="13"/>
                <w:color w:val="auto"/>
              </w:rPr>
              <w:t>​​​</w:t>
            </w:r>
          </w:p>
        </w:tc>
        <w:tc>
          <w:tcPr>
            <w:tcW w:w="700" w:type="dxa"/>
            <w:vAlign w:val="bottom"/>
            <w:tcBorders>
              <w:top w:val="single" w:sz="8" w:color="auto"/>
            </w:tcBorders>
            <w:vMerge w:val="restart"/>
          </w:tcPr>
          <w:p>
            <w:pPr>
              <w:jc w:val="center"/>
              <w:ind w:right="53"/>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24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380" w:type="dxa"/>
            <w:vAlign w:val="bottom"/>
            <w:gridSpan w:val="4"/>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320" w:type="dxa"/>
            <w:vAlign w:val="bottom"/>
          </w:tcPr>
          <w:p>
            <w:pPr>
              <w:spacing w:after="0"/>
              <w:rPr>
                <w:sz w:val="12"/>
                <w:szCs w:val="12"/>
                <w:color w:val="auto"/>
              </w:rPr>
            </w:pPr>
          </w:p>
        </w:tc>
        <w:tc>
          <w:tcPr>
            <w:tcW w:w="220" w:type="dxa"/>
            <w:vAlign w:val="bottom"/>
            <w:gridSpan w:val="2"/>
            <w:vMerge w:val="continue"/>
          </w:tcPr>
          <w:p>
            <w:pPr>
              <w:spacing w:after="0"/>
              <w:rPr>
                <w:sz w:val="12"/>
                <w:szCs w:val="12"/>
                <w:color w:val="auto"/>
              </w:rPr>
            </w:pPr>
          </w:p>
        </w:tc>
        <w:tc>
          <w:tcPr>
            <w:tcW w:w="900" w:type="dxa"/>
            <w:vAlign w:val="bottom"/>
            <w:gridSpan w:val="2"/>
            <w:vMerge w:val="continue"/>
          </w:tcPr>
          <w:p>
            <w:pPr>
              <w:spacing w:after="0"/>
              <w:rPr>
                <w:sz w:val="12"/>
                <w:szCs w:val="12"/>
                <w:color w:val="auto"/>
              </w:rPr>
            </w:pPr>
          </w:p>
        </w:tc>
        <w:tc>
          <w:tcPr>
            <w:tcW w:w="1120" w:type="dxa"/>
            <w:vAlign w:val="bottom"/>
            <w:gridSpan w:val="3"/>
            <w:vMerge w:val="continue"/>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80" w:type="dxa"/>
            <w:vAlign w:val="bottom"/>
            <w:gridSpan w:val="2"/>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other</w:t>
            </w: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380" w:type="dxa"/>
            <w:vAlign w:val="bottom"/>
            <w:tcBorders>
              <w:bottom w:val="single" w:sz="8" w:color="auto"/>
            </w:tcBorders>
            <w:gridSpan w:val="4"/>
            <w:vMerge w:val="continue"/>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0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paid-in</w:t>
            </w:r>
          </w:p>
        </w:tc>
        <w:tc>
          <w:tcPr>
            <w:tcW w:w="100" w:type="dxa"/>
            <w:vAlign w:val="bottom"/>
          </w:tcPr>
          <w:p>
            <w:pPr>
              <w:spacing w:after="0"/>
              <w:rPr>
                <w:sz w:val="15"/>
                <w:szCs w:val="15"/>
                <w:color w:val="auto"/>
              </w:rPr>
            </w:pPr>
          </w:p>
        </w:tc>
        <w:tc>
          <w:tcPr>
            <w:tcW w:w="1020" w:type="dxa"/>
            <w:vAlign w:val="bottom"/>
            <w:gridSpan w:val="2"/>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100" w:type="dxa"/>
            <w:vAlign w:val="bottom"/>
          </w:tcPr>
          <w:p>
            <w:pPr>
              <w:spacing w:after="0"/>
              <w:rPr>
                <w:sz w:val="15"/>
                <w:szCs w:val="15"/>
                <w:color w:val="auto"/>
              </w:rPr>
            </w:pPr>
          </w:p>
        </w:tc>
        <w:tc>
          <w:tcPr>
            <w:tcW w:w="98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comprehensive</w:t>
            </w: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2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stockholders'</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4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40" w:type="dxa"/>
            <w:vAlign w:val="bottom"/>
            <w:gridSpan w:val="2"/>
          </w:tcPr>
          <w:p>
            <w:pPr>
              <w:jc w:val="right"/>
              <w:ind w:right="340"/>
              <w:spacing w:after="0" w:line="142" w:lineRule="exact"/>
              <w:rPr>
                <w:sz w:val="20"/>
                <w:szCs w:val="20"/>
                <w:color w:val="auto"/>
              </w:rPr>
            </w:pPr>
            <w:r>
              <w:rPr>
                <w:rFonts w:ascii="Times New Roman" w:cs="Times New Roman" w:eastAsia="Times New Roman" w:hAnsi="Times New Roman"/>
                <w:sz w:val="14"/>
                <w:szCs w:val="14"/>
                <w:b w:val="1"/>
                <w:bCs w:val="1"/>
                <w:color w:val="auto"/>
              </w:rPr>
              <w:t>Shares</w:t>
            </w:r>
          </w:p>
        </w:tc>
        <w:tc>
          <w:tcPr>
            <w:tcW w:w="660" w:type="dxa"/>
            <w:vAlign w:val="bottom"/>
            <w:gridSpan w:val="3"/>
          </w:tcPr>
          <w:p>
            <w:pPr>
              <w:jc w:val="right"/>
              <w:spacing w:after="0" w:line="142" w:lineRule="exact"/>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Amount</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gridSpan w:val="2"/>
          </w:tcPr>
          <w:p>
            <w:pPr>
              <w:jc w:val="center"/>
              <w:ind w:right="120"/>
              <w:spacing w:after="0" w:line="142" w:lineRule="exact"/>
              <w:rPr>
                <w:sz w:val="20"/>
                <w:szCs w:val="20"/>
                <w:color w:val="auto"/>
              </w:rPr>
            </w:pPr>
            <w:r>
              <w:rPr>
                <w:rFonts w:ascii="Times New Roman" w:cs="Times New Roman" w:eastAsia="Times New Roman" w:hAnsi="Times New Roman"/>
                <w:sz w:val="14"/>
                <w:szCs w:val="14"/>
                <w:b w:val="1"/>
                <w:bCs w:val="1"/>
                <w:color w:val="auto"/>
              </w:rPr>
              <w:t>capital</w:t>
            </w:r>
          </w:p>
        </w:tc>
        <w:tc>
          <w:tcPr>
            <w:tcW w:w="100" w:type="dxa"/>
            <w:vAlign w:val="bottom"/>
          </w:tcPr>
          <w:p>
            <w:pPr>
              <w:spacing w:after="0"/>
              <w:rPr>
                <w:sz w:val="12"/>
                <w:szCs w:val="12"/>
                <w:color w:val="auto"/>
              </w:rPr>
            </w:pPr>
          </w:p>
        </w:tc>
        <w:tc>
          <w:tcPr>
            <w:tcW w:w="1020" w:type="dxa"/>
            <w:vAlign w:val="bottom"/>
            <w:gridSpan w:val="2"/>
          </w:tcPr>
          <w:p>
            <w:pPr>
              <w:jc w:val="center"/>
              <w:ind w:right="40"/>
              <w:spacing w:after="0" w:line="142" w:lineRule="exact"/>
              <w:rPr>
                <w:sz w:val="20"/>
                <w:szCs w:val="20"/>
                <w:color w:val="auto"/>
              </w:rPr>
            </w:pPr>
            <w:r>
              <w:rPr>
                <w:rFonts w:ascii="Times New Roman" w:cs="Times New Roman" w:eastAsia="Times New Roman" w:hAnsi="Times New Roman"/>
                <w:sz w:val="14"/>
                <w:szCs w:val="14"/>
                <w:b w:val="1"/>
                <w:bCs w:val="1"/>
                <w:color w:val="auto"/>
              </w:rPr>
              <w:t>deficit</w:t>
            </w:r>
          </w:p>
        </w:tc>
        <w:tc>
          <w:tcPr>
            <w:tcW w:w="100" w:type="dxa"/>
            <w:vAlign w:val="bottom"/>
          </w:tcPr>
          <w:p>
            <w:pPr>
              <w:spacing w:after="0"/>
              <w:rPr>
                <w:sz w:val="12"/>
                <w:szCs w:val="12"/>
                <w:color w:val="auto"/>
              </w:rPr>
            </w:pPr>
          </w:p>
        </w:tc>
        <w:tc>
          <w:tcPr>
            <w:tcW w:w="980" w:type="dxa"/>
            <w:vAlign w:val="bottom"/>
            <w:gridSpan w:val="3"/>
          </w:tcPr>
          <w:p>
            <w:pPr>
              <w:jc w:val="center"/>
              <w:ind w:right="20"/>
              <w:spacing w:after="0" w:line="142" w:lineRule="exact"/>
              <w:rPr>
                <w:sz w:val="20"/>
                <w:szCs w:val="20"/>
                <w:color w:val="auto"/>
              </w:rPr>
            </w:pPr>
            <w:r>
              <w:rPr>
                <w:rFonts w:ascii="Times New Roman" w:cs="Times New Roman" w:eastAsia="Times New Roman" w:hAnsi="Times New Roman"/>
                <w:sz w:val="14"/>
                <w:szCs w:val="14"/>
                <w:b w:val="1"/>
                <w:bCs w:val="1"/>
                <w:color w:val="auto"/>
              </w:rPr>
              <w:t>(loss) income</w:t>
            </w: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jc w:val="center"/>
              <w:ind w:right="53"/>
              <w:spacing w:after="0" w:line="142" w:lineRule="exact"/>
              <w:rPr>
                <w:sz w:val="20"/>
                <w:szCs w:val="20"/>
                <w:color w:val="auto"/>
              </w:rPr>
            </w:pPr>
            <w:r>
              <w:rPr>
                <w:rFonts w:ascii="Times New Roman" w:cs="Times New Roman" w:eastAsia="Times New Roman" w:hAnsi="Times New Roman"/>
                <w:sz w:val="14"/>
                <w:szCs w:val="14"/>
                <w:b w:val="1"/>
                <w:bCs w:val="1"/>
                <w:color w:val="auto"/>
              </w:rPr>
              <w:t>equity</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4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Balances, January 1, 2026</w:t>
            </w:r>
          </w:p>
        </w:tc>
        <w:tc>
          <w:tcPr>
            <w:tcW w:w="140" w:type="dxa"/>
            <w:vAlign w:val="bottom"/>
            <w:tcBorders>
              <w:top w:val="single" w:sz="8" w:color="CCEEFF"/>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175,776,074</w:t>
            </w:r>
          </w:p>
        </w:tc>
        <w:tc>
          <w:tcPr>
            <w:tcW w:w="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3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140" w:type="dxa"/>
            <w:vAlign w:val="bottom"/>
            <w:tcBorders>
              <w:top w:val="single" w:sz="8" w:color="CCEEFF"/>
            </w:tcBorders>
            <w:shd w:val="clear" w:color="auto" w:fill="CCEEFF"/>
          </w:tcPr>
          <w:p>
            <w:pPr>
              <w:spacing w:after="0"/>
              <w:rPr>
                <w:sz w:val="18"/>
                <w:szCs w:val="18"/>
                <w:color w:val="auto"/>
              </w:rPr>
            </w:pPr>
          </w:p>
        </w:tc>
        <w:tc>
          <w:tcPr>
            <w:tcW w:w="92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$ 1,976,958</w:t>
            </w:r>
          </w:p>
        </w:tc>
        <w:tc>
          <w:tcPr>
            <w:tcW w:w="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 (1,534,549)</w:t>
            </w:r>
          </w:p>
        </w:tc>
        <w:tc>
          <w:tcPr>
            <w:tcW w:w="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6,567</w:t>
            </w:r>
          </w:p>
        </w:tc>
        <w:tc>
          <w:tcPr>
            <w:tcW w:w="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448,994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60" w:type="dxa"/>
            <w:vAlign w:val="bottom"/>
          </w:tcPr>
          <w:p>
            <w:pPr>
              <w:spacing w:after="0"/>
              <w:rPr>
                <w:sz w:val="20"/>
                <w:szCs w:val="20"/>
                <w:color w:val="auto"/>
              </w:rPr>
            </w:pPr>
            <w:r>
              <w:rPr>
                <w:rFonts w:ascii="Times New Roman" w:cs="Times New Roman" w:eastAsia="Times New Roman" w:hAnsi="Times New Roman"/>
                <w:sz w:val="18"/>
                <w:szCs w:val="18"/>
                <w:color w:val="auto"/>
              </w:rPr>
              <w:t>Repurchase of common stock</w:t>
            </w:r>
          </w:p>
        </w:tc>
        <w:tc>
          <w:tcPr>
            <w:tcW w:w="118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(400,333)</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(824)</w:t>
            </w:r>
          </w:p>
        </w:tc>
        <w:tc>
          <w:tcPr>
            <w:tcW w:w="10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(824)</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246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w w:val="99"/>
              </w:rPr>
              <w:t>Vesting of restricted stock awards</w:t>
            </w:r>
          </w:p>
        </w:tc>
        <w:tc>
          <w:tcPr>
            <w:tcW w:w="14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2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and units</w:t>
            </w:r>
          </w:p>
        </w:tc>
        <w:tc>
          <w:tcPr>
            <w:tcW w:w="11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177,343</w:t>
            </w:r>
          </w:p>
        </w:tc>
        <w:tc>
          <w:tcPr>
            <w:tcW w:w="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9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7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246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Shares of restricted stock</w:t>
            </w: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60" w:type="dxa"/>
            <w:vAlign w:val="bottom"/>
          </w:tcPr>
          <w:p>
            <w:pPr>
              <w:spacing w:after="0"/>
              <w:rPr>
                <w:sz w:val="20"/>
                <w:szCs w:val="20"/>
                <w:color w:val="auto"/>
              </w:rPr>
            </w:pPr>
            <w:r>
              <w:rPr>
                <w:rFonts w:ascii="Times New Roman" w:cs="Times New Roman" w:eastAsia="Times New Roman" w:hAnsi="Times New Roman"/>
                <w:sz w:val="18"/>
                <w:szCs w:val="18"/>
                <w:color w:val="auto"/>
              </w:rPr>
              <w:t>returned to the Company under</w:t>
            </w: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60" w:type="dxa"/>
            <w:vAlign w:val="bottom"/>
          </w:tcPr>
          <w:p>
            <w:pPr>
              <w:spacing w:after="0"/>
              <w:rPr>
                <w:sz w:val="20"/>
                <w:szCs w:val="20"/>
                <w:color w:val="auto"/>
              </w:rPr>
            </w:pPr>
            <w:r>
              <w:rPr>
                <w:rFonts w:ascii="Times New Roman" w:cs="Times New Roman" w:eastAsia="Times New Roman" w:hAnsi="Times New Roman"/>
                <w:sz w:val="18"/>
                <w:szCs w:val="18"/>
                <w:color w:val="auto"/>
              </w:rPr>
              <w:t>net share settlements to satisfy</w:t>
            </w: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2460" w:type="dxa"/>
            <w:vAlign w:val="bottom"/>
          </w:tcPr>
          <w:p>
            <w:pPr>
              <w:spacing w:after="0"/>
              <w:rPr>
                <w:sz w:val="20"/>
                <w:szCs w:val="20"/>
                <w:color w:val="auto"/>
              </w:rPr>
            </w:pPr>
            <w:r>
              <w:rPr>
                <w:rFonts w:ascii="Times New Roman" w:cs="Times New Roman" w:eastAsia="Times New Roman" w:hAnsi="Times New Roman"/>
                <w:sz w:val="18"/>
                <w:szCs w:val="18"/>
                <w:color w:val="auto"/>
              </w:rPr>
              <w:t>tax withholding obligations</w:t>
            </w:r>
          </w:p>
        </w:tc>
        <w:tc>
          <w:tcPr>
            <w:tcW w:w="118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(45,455)</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(103)</w:t>
            </w:r>
          </w:p>
        </w:tc>
        <w:tc>
          <w:tcPr>
            <w:tcW w:w="100" w:type="dxa"/>
            <w:vAlign w:val="bottom"/>
          </w:tcPr>
          <w:p>
            <w:pPr>
              <w:spacing w:after="0"/>
              <w:rPr>
                <w:sz w:val="20"/>
                <w:szCs w:val="20"/>
                <w:color w:val="auto"/>
              </w:rPr>
            </w:pP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246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Stock-based compensation</w:t>
            </w:r>
          </w:p>
        </w:tc>
        <w:tc>
          <w:tcPr>
            <w:tcW w:w="14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2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expense</w:t>
            </w:r>
          </w:p>
        </w:tc>
        <w:tc>
          <w:tcPr>
            <w:tcW w:w="140" w:type="dxa"/>
            <w:vAlign w:val="bottom"/>
            <w:shd w:val="clear" w:color="auto" w:fill="CCEEFF"/>
          </w:tcPr>
          <w:p>
            <w:pPr>
              <w:spacing w:after="0"/>
              <w:rPr>
                <w:sz w:val="20"/>
                <w:szCs w:val="20"/>
                <w:color w:val="auto"/>
              </w:rPr>
            </w:pPr>
          </w:p>
        </w:tc>
        <w:tc>
          <w:tcPr>
            <w:tcW w:w="10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5,957</w:t>
            </w:r>
          </w:p>
        </w:tc>
        <w:tc>
          <w:tcPr>
            <w:tcW w:w="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7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5,957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60" w:type="dxa"/>
            <w:vAlign w:val="bottom"/>
          </w:tcPr>
          <w:p>
            <w:pPr>
              <w:spacing w:after="0"/>
              <w:rPr>
                <w:sz w:val="20"/>
                <w:szCs w:val="20"/>
                <w:color w:val="auto"/>
              </w:rPr>
            </w:pPr>
            <w:r>
              <w:rPr>
                <w:rFonts w:ascii="Times New Roman" w:cs="Times New Roman" w:eastAsia="Times New Roman" w:hAnsi="Times New Roman"/>
                <w:sz w:val="18"/>
                <w:szCs w:val="18"/>
                <w:color w:val="auto"/>
              </w:rPr>
              <w:t>Other comprehensive loss</w:t>
            </w:r>
          </w:p>
        </w:tc>
        <w:tc>
          <w:tcPr>
            <w:tcW w:w="140" w:type="dxa"/>
            <w:vAlign w:val="bottom"/>
          </w:tcPr>
          <w:p>
            <w:pPr>
              <w:spacing w:after="0"/>
              <w:rPr>
                <w:sz w:val="18"/>
                <w:szCs w:val="18"/>
                <w:color w:val="auto"/>
              </w:rPr>
            </w:pPr>
          </w:p>
        </w:tc>
        <w:tc>
          <w:tcPr>
            <w:tcW w:w="10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(433)</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w:t>
            </w:r>
          </w:p>
        </w:tc>
        <w:tc>
          <w:tcPr>
            <w:tcW w:w="1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(34,489)</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(34,489)</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2460" w:type="dxa"/>
            <w:vAlign w:val="bottom"/>
          </w:tcPr>
          <w:p>
            <w:pPr>
              <w:spacing w:after="0"/>
              <w:rPr>
                <w:sz w:val="20"/>
                <w:szCs w:val="20"/>
                <w:color w:val="auto"/>
              </w:rPr>
            </w:pPr>
            <w:r>
              <w:rPr>
                <w:rFonts w:ascii="Times New Roman" w:cs="Times New Roman" w:eastAsia="Times New Roman" w:hAnsi="Times New Roman"/>
                <w:sz w:val="18"/>
                <w:szCs w:val="18"/>
                <w:color w:val="auto"/>
              </w:rPr>
              <w:t>Balances, March 31, 2026</w:t>
            </w:r>
          </w:p>
        </w:tc>
        <w:tc>
          <w:tcPr>
            <w:tcW w:w="140" w:type="dxa"/>
            <w:vAlign w:val="bottom"/>
          </w:tcPr>
          <w:p>
            <w:pPr>
              <w:spacing w:after="0"/>
              <w:rPr>
                <w:sz w:val="18"/>
                <w:szCs w:val="18"/>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175,507,629</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Borders>
              <w:top w:val="single" w:sz="8" w:color="auto"/>
              <w:bottom w:val="single" w:sz="8" w:color="auto"/>
            </w:tcBorders>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3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140" w:type="dxa"/>
            <w:vAlign w:val="bottom"/>
          </w:tcPr>
          <w:p>
            <w:pPr>
              <w:spacing w:after="0"/>
              <w:rPr>
                <w:sz w:val="18"/>
                <w:szCs w:val="18"/>
                <w:color w:val="auto"/>
              </w:rPr>
            </w:pPr>
          </w:p>
        </w:tc>
        <w:tc>
          <w:tcPr>
            <w:tcW w:w="92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$ 1,981,988</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8"/>
              </w:rPr>
              <w:t>$ (1,569,038)</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6,134</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419,102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4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540" w:type="dxa"/>
            <w:vAlign w:val="bottom"/>
            <w:tcBorders>
              <w:bottom w:val="single" w:sz="8" w:color="auto"/>
            </w:tcBorders>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20" w:type="dxa"/>
            <w:vAlign w:val="bottom"/>
            <w:tcBorders>
              <w:bottom w:val="single" w:sz="8" w:color="auto"/>
            </w:tcBorders>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75"/>
        </w:trPr>
        <w:tc>
          <w:tcPr>
            <w:tcW w:w="20" w:type="dxa"/>
            <w:vAlign w:val="bottom"/>
          </w:tcPr>
          <w:p>
            <w:pPr>
              <w:spacing w:after="0"/>
              <w:rPr>
                <w:sz w:val="24"/>
                <w:szCs w:val="24"/>
                <w:color w:val="auto"/>
              </w:rPr>
            </w:pPr>
          </w:p>
        </w:tc>
        <w:tc>
          <w:tcPr>
            <w:tcW w:w="24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820" w:type="dxa"/>
            <w:vAlign w:val="bottom"/>
            <w:tcBorders>
              <w:bottom w:val="single" w:sz="8" w:color="auto"/>
            </w:tcBorders>
            <w:gridSpan w:val="9"/>
          </w:tcPr>
          <w:p>
            <w:pPr>
              <w:jc w:val="right"/>
              <w:ind w:right="20"/>
              <w:spacing w:after="0"/>
              <w:rPr>
                <w:sz w:val="20"/>
                <w:szCs w:val="20"/>
                <w:color w:val="auto"/>
              </w:rPr>
            </w:pPr>
            <w:r>
              <w:rPr>
                <w:rFonts w:ascii="Times New Roman" w:cs="Times New Roman" w:eastAsia="Times New Roman" w:hAnsi="Times New Roman"/>
                <w:sz w:val="14"/>
                <w:szCs w:val="14"/>
                <w:b w:val="1"/>
                <w:bCs w:val="1"/>
                <w:color w:val="auto"/>
              </w:rPr>
              <w:t>Three months ended March 31, 2025</w:t>
            </w:r>
          </w:p>
        </w:tc>
        <w:tc>
          <w:tcPr>
            <w:tcW w:w="10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2460" w:type="dxa"/>
            <w:vAlign w:val="bottom"/>
          </w:tcPr>
          <w:p>
            <w:pPr>
              <w:spacing w:after="0"/>
              <w:rPr>
                <w:sz w:val="10"/>
                <w:szCs w:val="10"/>
                <w:color w:val="auto"/>
              </w:rPr>
            </w:pPr>
          </w:p>
        </w:tc>
        <w:tc>
          <w:tcPr>
            <w:tcW w:w="1180" w:type="dxa"/>
            <w:vAlign w:val="bottom"/>
            <w:gridSpan w:val="3"/>
          </w:tcPr>
          <w:p>
            <w:pPr>
              <w:jc w:val="right"/>
              <w:ind w:right="1020"/>
              <w:spacing w:after="0" w:line="118" w:lineRule="exact"/>
              <w:rPr>
                <w:sz w:val="20"/>
                <w:szCs w:val="20"/>
                <w:color w:val="auto"/>
              </w:rPr>
            </w:pPr>
            <w:r>
              <w:rPr>
                <w:rFonts w:ascii="Times New Roman" w:cs="Times New Roman" w:eastAsia="Times New Roman" w:hAnsi="Times New Roman"/>
                <w:sz w:val="13"/>
                <w:szCs w:val="13"/>
                <w:b w:val="1"/>
                <w:bCs w:val="1"/>
                <w:color w:val="auto"/>
              </w:rPr>
              <w:t>​​​</w:t>
            </w:r>
          </w:p>
        </w:tc>
        <w:tc>
          <w:tcPr>
            <w:tcW w:w="1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220" w:type="dxa"/>
            <w:vAlign w:val="bottom"/>
            <w:gridSpan w:val="2"/>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w:t>
            </w:r>
          </w:p>
        </w:tc>
        <w:tc>
          <w:tcPr>
            <w:tcW w:w="90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1120" w:type="dxa"/>
            <w:vAlign w:val="bottom"/>
            <w:gridSpan w:val="3"/>
            <w:vMerge w:val="restart"/>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0"/>
                <w:szCs w:val="10"/>
                <w:color w:val="auto"/>
              </w:rPr>
            </w:pPr>
          </w:p>
        </w:tc>
        <w:tc>
          <w:tcPr>
            <w:tcW w:w="980" w:type="dxa"/>
            <w:vAlign w:val="bottom"/>
            <w:gridSpan w:val="3"/>
          </w:tcPr>
          <w:p>
            <w:pPr>
              <w:jc w:val="center"/>
              <w:ind w:right="40"/>
              <w:spacing w:after="0" w:line="118" w:lineRule="exact"/>
              <w:rPr>
                <w:sz w:val="20"/>
                <w:szCs w:val="20"/>
                <w:color w:val="auto"/>
              </w:rPr>
            </w:pPr>
            <w:r>
              <w:rPr>
                <w:rFonts w:ascii="Times New Roman" w:cs="Times New Roman" w:eastAsia="Times New Roman" w:hAnsi="Times New Roman"/>
                <w:sz w:val="13"/>
                <w:szCs w:val="13"/>
                <w:b w:val="1"/>
                <w:bCs w:val="1"/>
                <w:color w:val="auto"/>
              </w:rPr>
              <w:t>Accumulated</w:t>
            </w:r>
          </w:p>
        </w:tc>
        <w:tc>
          <w:tcPr>
            <w:tcW w:w="260" w:type="dxa"/>
            <w:vAlign w:val="bottom"/>
            <w:gridSpan w:val="3"/>
            <w:vMerge w:val="restart"/>
          </w:tcPr>
          <w:p>
            <w:pPr>
              <w:ind w:left="40"/>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vMerge w:val="restart"/>
          </w:tcPr>
          <w:p>
            <w:pPr>
              <w:jc w:val="center"/>
              <w:ind w:right="53"/>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24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380" w:type="dxa"/>
            <w:vAlign w:val="bottom"/>
            <w:gridSpan w:val="4"/>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320" w:type="dxa"/>
            <w:vAlign w:val="bottom"/>
          </w:tcPr>
          <w:p>
            <w:pPr>
              <w:spacing w:after="0"/>
              <w:rPr>
                <w:sz w:val="12"/>
                <w:szCs w:val="12"/>
                <w:color w:val="auto"/>
              </w:rPr>
            </w:pPr>
          </w:p>
        </w:tc>
        <w:tc>
          <w:tcPr>
            <w:tcW w:w="220" w:type="dxa"/>
            <w:vAlign w:val="bottom"/>
            <w:gridSpan w:val="2"/>
            <w:vMerge w:val="continue"/>
          </w:tcPr>
          <w:p>
            <w:pPr>
              <w:spacing w:after="0"/>
              <w:rPr>
                <w:sz w:val="12"/>
                <w:szCs w:val="12"/>
                <w:color w:val="auto"/>
              </w:rPr>
            </w:pPr>
          </w:p>
        </w:tc>
        <w:tc>
          <w:tcPr>
            <w:tcW w:w="900" w:type="dxa"/>
            <w:vAlign w:val="bottom"/>
            <w:gridSpan w:val="2"/>
            <w:vMerge w:val="continue"/>
          </w:tcPr>
          <w:p>
            <w:pPr>
              <w:spacing w:after="0"/>
              <w:rPr>
                <w:sz w:val="12"/>
                <w:szCs w:val="12"/>
                <w:color w:val="auto"/>
              </w:rPr>
            </w:pPr>
          </w:p>
        </w:tc>
        <w:tc>
          <w:tcPr>
            <w:tcW w:w="1120" w:type="dxa"/>
            <w:vAlign w:val="bottom"/>
            <w:gridSpan w:val="3"/>
            <w:vMerge w:val="continue"/>
          </w:tcPr>
          <w:p>
            <w:pPr>
              <w:spacing w:after="0"/>
              <w:rPr>
                <w:sz w:val="12"/>
                <w:szCs w:val="12"/>
                <w:color w:val="auto"/>
              </w:rPr>
            </w:pPr>
          </w:p>
        </w:tc>
        <w:tc>
          <w:tcPr>
            <w:tcW w:w="300" w:type="dxa"/>
            <w:vAlign w:val="bottom"/>
            <w:gridSpan w:val="2"/>
          </w:tcPr>
          <w:p>
            <w:pPr>
              <w:ind w:left="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780" w:type="dxa"/>
            <w:vAlign w:val="bottom"/>
            <w:gridSpan w:val="2"/>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other</w:t>
            </w:r>
          </w:p>
        </w:tc>
        <w:tc>
          <w:tcPr>
            <w:tcW w:w="260" w:type="dxa"/>
            <w:vAlign w:val="bottom"/>
            <w:gridSpan w:val="3"/>
            <w:vMerge w:val="continue"/>
          </w:tcPr>
          <w:p>
            <w:pPr>
              <w:spacing w:after="0"/>
              <w:rPr>
                <w:sz w:val="12"/>
                <w:szCs w:val="12"/>
                <w:color w:val="auto"/>
              </w:rPr>
            </w:pPr>
          </w:p>
        </w:tc>
        <w:tc>
          <w:tcPr>
            <w:tcW w:w="7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380" w:type="dxa"/>
            <w:vAlign w:val="bottom"/>
            <w:tcBorders>
              <w:bottom w:val="single" w:sz="8" w:color="auto"/>
            </w:tcBorders>
            <w:gridSpan w:val="4"/>
            <w:vMerge w:val="continue"/>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0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paid-in</w:t>
            </w:r>
          </w:p>
        </w:tc>
        <w:tc>
          <w:tcPr>
            <w:tcW w:w="100" w:type="dxa"/>
            <w:vAlign w:val="bottom"/>
          </w:tcPr>
          <w:p>
            <w:pPr>
              <w:spacing w:after="0"/>
              <w:rPr>
                <w:sz w:val="15"/>
                <w:szCs w:val="15"/>
                <w:color w:val="auto"/>
              </w:rPr>
            </w:pPr>
          </w:p>
        </w:tc>
        <w:tc>
          <w:tcPr>
            <w:tcW w:w="1020" w:type="dxa"/>
            <w:vAlign w:val="bottom"/>
            <w:gridSpan w:val="2"/>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100" w:type="dxa"/>
            <w:vAlign w:val="bottom"/>
          </w:tcPr>
          <w:p>
            <w:pPr>
              <w:spacing w:after="0"/>
              <w:rPr>
                <w:sz w:val="15"/>
                <w:szCs w:val="15"/>
                <w:color w:val="auto"/>
              </w:rPr>
            </w:pPr>
          </w:p>
        </w:tc>
        <w:tc>
          <w:tcPr>
            <w:tcW w:w="98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comprehensive</w:t>
            </w: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2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stockholders'</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4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40" w:type="dxa"/>
            <w:vAlign w:val="bottom"/>
            <w:gridSpan w:val="2"/>
          </w:tcPr>
          <w:p>
            <w:pPr>
              <w:jc w:val="right"/>
              <w:ind w:right="340"/>
              <w:spacing w:after="0" w:line="142" w:lineRule="exact"/>
              <w:rPr>
                <w:sz w:val="20"/>
                <w:szCs w:val="20"/>
                <w:color w:val="auto"/>
              </w:rPr>
            </w:pPr>
            <w:r>
              <w:rPr>
                <w:rFonts w:ascii="Times New Roman" w:cs="Times New Roman" w:eastAsia="Times New Roman" w:hAnsi="Times New Roman"/>
                <w:sz w:val="14"/>
                <w:szCs w:val="14"/>
                <w:b w:val="1"/>
                <w:bCs w:val="1"/>
                <w:color w:val="auto"/>
              </w:rPr>
              <w:t>Shares</w:t>
            </w:r>
          </w:p>
        </w:tc>
        <w:tc>
          <w:tcPr>
            <w:tcW w:w="660" w:type="dxa"/>
            <w:vAlign w:val="bottom"/>
            <w:gridSpan w:val="3"/>
          </w:tcPr>
          <w:p>
            <w:pPr>
              <w:jc w:val="right"/>
              <w:spacing w:after="0" w:line="142" w:lineRule="exact"/>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Amount</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gridSpan w:val="2"/>
          </w:tcPr>
          <w:p>
            <w:pPr>
              <w:jc w:val="center"/>
              <w:ind w:right="120"/>
              <w:spacing w:after="0" w:line="142" w:lineRule="exact"/>
              <w:rPr>
                <w:sz w:val="20"/>
                <w:szCs w:val="20"/>
                <w:color w:val="auto"/>
              </w:rPr>
            </w:pPr>
            <w:r>
              <w:rPr>
                <w:rFonts w:ascii="Times New Roman" w:cs="Times New Roman" w:eastAsia="Times New Roman" w:hAnsi="Times New Roman"/>
                <w:sz w:val="14"/>
                <w:szCs w:val="14"/>
                <w:b w:val="1"/>
                <w:bCs w:val="1"/>
                <w:color w:val="auto"/>
              </w:rPr>
              <w:t>capital</w:t>
            </w:r>
          </w:p>
        </w:tc>
        <w:tc>
          <w:tcPr>
            <w:tcW w:w="100" w:type="dxa"/>
            <w:vAlign w:val="bottom"/>
          </w:tcPr>
          <w:p>
            <w:pPr>
              <w:spacing w:after="0"/>
              <w:rPr>
                <w:sz w:val="12"/>
                <w:szCs w:val="12"/>
                <w:color w:val="auto"/>
              </w:rPr>
            </w:pPr>
          </w:p>
        </w:tc>
        <w:tc>
          <w:tcPr>
            <w:tcW w:w="1020" w:type="dxa"/>
            <w:vAlign w:val="bottom"/>
            <w:gridSpan w:val="2"/>
          </w:tcPr>
          <w:p>
            <w:pPr>
              <w:jc w:val="center"/>
              <w:ind w:right="40"/>
              <w:spacing w:after="0" w:line="142" w:lineRule="exact"/>
              <w:rPr>
                <w:sz w:val="20"/>
                <w:szCs w:val="20"/>
                <w:color w:val="auto"/>
              </w:rPr>
            </w:pPr>
            <w:r>
              <w:rPr>
                <w:rFonts w:ascii="Times New Roman" w:cs="Times New Roman" w:eastAsia="Times New Roman" w:hAnsi="Times New Roman"/>
                <w:sz w:val="14"/>
                <w:szCs w:val="14"/>
                <w:b w:val="1"/>
                <w:bCs w:val="1"/>
                <w:color w:val="auto"/>
              </w:rPr>
              <w:t>deficit</w:t>
            </w:r>
          </w:p>
        </w:tc>
        <w:tc>
          <w:tcPr>
            <w:tcW w:w="100" w:type="dxa"/>
            <w:vAlign w:val="bottom"/>
          </w:tcPr>
          <w:p>
            <w:pPr>
              <w:spacing w:after="0"/>
              <w:rPr>
                <w:sz w:val="12"/>
                <w:szCs w:val="12"/>
                <w:color w:val="auto"/>
              </w:rPr>
            </w:pPr>
          </w:p>
        </w:tc>
        <w:tc>
          <w:tcPr>
            <w:tcW w:w="980" w:type="dxa"/>
            <w:vAlign w:val="bottom"/>
            <w:gridSpan w:val="3"/>
          </w:tcPr>
          <w:p>
            <w:pPr>
              <w:jc w:val="center"/>
              <w:ind w:right="20"/>
              <w:spacing w:after="0" w:line="142" w:lineRule="exact"/>
              <w:rPr>
                <w:sz w:val="20"/>
                <w:szCs w:val="20"/>
                <w:color w:val="auto"/>
              </w:rPr>
            </w:pPr>
            <w:r>
              <w:rPr>
                <w:rFonts w:ascii="Times New Roman" w:cs="Times New Roman" w:eastAsia="Times New Roman" w:hAnsi="Times New Roman"/>
                <w:sz w:val="14"/>
                <w:szCs w:val="14"/>
                <w:b w:val="1"/>
                <w:bCs w:val="1"/>
                <w:color w:val="auto"/>
              </w:rPr>
              <w:t>(loss) income</w:t>
            </w: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jc w:val="center"/>
              <w:ind w:right="73"/>
              <w:spacing w:after="0" w:line="142" w:lineRule="exact"/>
              <w:rPr>
                <w:sz w:val="20"/>
                <w:szCs w:val="20"/>
                <w:color w:val="auto"/>
              </w:rPr>
            </w:pPr>
            <w:r>
              <w:rPr>
                <w:rFonts w:ascii="Times New Roman" w:cs="Times New Roman" w:eastAsia="Times New Roman" w:hAnsi="Times New Roman"/>
                <w:sz w:val="14"/>
                <w:szCs w:val="14"/>
                <w:b w:val="1"/>
                <w:bCs w:val="1"/>
                <w:color w:val="auto"/>
              </w:rPr>
              <w:t>equity</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4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Balances, January 1, 2025</w:t>
            </w:r>
          </w:p>
        </w:tc>
        <w:tc>
          <w:tcPr>
            <w:tcW w:w="140" w:type="dxa"/>
            <w:vAlign w:val="bottom"/>
            <w:tcBorders>
              <w:top w:val="single" w:sz="8" w:color="CCEEFF"/>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175,599,250</w:t>
            </w:r>
          </w:p>
        </w:tc>
        <w:tc>
          <w:tcPr>
            <w:tcW w:w="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3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140" w:type="dxa"/>
            <w:vAlign w:val="bottom"/>
            <w:tcBorders>
              <w:top w:val="single" w:sz="8" w:color="CCEEFF"/>
            </w:tcBorders>
            <w:shd w:val="clear" w:color="auto" w:fill="CCEEFF"/>
          </w:tcPr>
          <w:p>
            <w:pPr>
              <w:spacing w:after="0"/>
              <w:rPr>
                <w:sz w:val="18"/>
                <w:szCs w:val="18"/>
                <w:color w:val="auto"/>
              </w:rPr>
            </w:pPr>
          </w:p>
        </w:tc>
        <w:tc>
          <w:tcPr>
            <w:tcW w:w="92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$ 1,970,708</w:t>
            </w:r>
          </w:p>
        </w:tc>
        <w:tc>
          <w:tcPr>
            <w:tcW w:w="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 (1,574,185)</w:t>
            </w:r>
          </w:p>
        </w:tc>
        <w:tc>
          <w:tcPr>
            <w:tcW w:w="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8,080</w:t>
            </w:r>
          </w:p>
        </w:tc>
        <w:tc>
          <w:tcPr>
            <w:tcW w:w="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gridSpan w:val="2"/>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404,621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60" w:type="dxa"/>
            <w:vAlign w:val="bottom"/>
          </w:tcPr>
          <w:p>
            <w:pPr>
              <w:spacing w:after="0"/>
              <w:rPr>
                <w:sz w:val="20"/>
                <w:szCs w:val="20"/>
                <w:color w:val="auto"/>
              </w:rPr>
            </w:pPr>
            <w:r>
              <w:rPr>
                <w:rFonts w:ascii="Times New Roman" w:cs="Times New Roman" w:eastAsia="Times New Roman" w:hAnsi="Times New Roman"/>
                <w:sz w:val="18"/>
                <w:szCs w:val="18"/>
                <w:color w:val="auto"/>
              </w:rPr>
              <w:t>Exercise of stock options</w:t>
            </w: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424</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Exercise of warrants</w:t>
            </w:r>
          </w:p>
        </w:tc>
        <w:tc>
          <w:tcPr>
            <w:tcW w:w="11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32,573</w:t>
            </w: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246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w w:val="99"/>
              </w:rPr>
              <w:t>Vesting of restricted stock awards</w:t>
            </w: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4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and units</w:t>
            </w: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184,739</w:t>
            </w: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246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Vesting of performance-based</w:t>
            </w:r>
          </w:p>
        </w:tc>
        <w:tc>
          <w:tcPr>
            <w:tcW w:w="14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2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stock units</w:t>
            </w:r>
          </w:p>
        </w:tc>
        <w:tc>
          <w:tcPr>
            <w:tcW w:w="11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377,751</w:t>
            </w:r>
          </w:p>
        </w:tc>
        <w:tc>
          <w:tcPr>
            <w:tcW w:w="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9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7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246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Shares of restricted stock</w:t>
            </w: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4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returned to the Company under</w:t>
            </w: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4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net share settlements to satisfy</w:t>
            </w: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4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tax withholding obligations</w:t>
            </w: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(226,862)</w:t>
            </w: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(938)</w:t>
            </w: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(938)</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246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Stock-based compensation</w:t>
            </w:r>
          </w:p>
        </w:tc>
        <w:tc>
          <w:tcPr>
            <w:tcW w:w="14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2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expense</w:t>
            </w:r>
          </w:p>
        </w:tc>
        <w:tc>
          <w:tcPr>
            <w:tcW w:w="140" w:type="dxa"/>
            <w:vAlign w:val="bottom"/>
            <w:shd w:val="clear" w:color="auto" w:fill="CCEEFF"/>
          </w:tcPr>
          <w:p>
            <w:pPr>
              <w:spacing w:after="0"/>
              <w:rPr>
                <w:sz w:val="20"/>
                <w:szCs w:val="20"/>
                <w:color w:val="auto"/>
              </w:rPr>
            </w:pPr>
          </w:p>
        </w:tc>
        <w:tc>
          <w:tcPr>
            <w:tcW w:w="10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4,298</w:t>
            </w:r>
          </w:p>
        </w:tc>
        <w:tc>
          <w:tcPr>
            <w:tcW w:w="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7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4,298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60" w:type="dxa"/>
            <w:vAlign w:val="bottom"/>
          </w:tcPr>
          <w:p>
            <w:pPr>
              <w:spacing w:after="0"/>
              <w:rPr>
                <w:sz w:val="20"/>
                <w:szCs w:val="20"/>
                <w:color w:val="auto"/>
              </w:rPr>
            </w:pPr>
            <w:r>
              <w:rPr>
                <w:rFonts w:ascii="Times New Roman" w:cs="Times New Roman" w:eastAsia="Times New Roman" w:hAnsi="Times New Roman"/>
                <w:sz w:val="18"/>
                <w:szCs w:val="18"/>
                <w:color w:val="auto"/>
              </w:rPr>
              <w:t>Other comprehensive loss</w:t>
            </w:r>
          </w:p>
        </w:tc>
        <w:tc>
          <w:tcPr>
            <w:tcW w:w="140" w:type="dxa"/>
            <w:vAlign w:val="bottom"/>
          </w:tcPr>
          <w:p>
            <w:pPr>
              <w:spacing w:after="0"/>
              <w:rPr>
                <w:sz w:val="18"/>
                <w:szCs w:val="18"/>
                <w:color w:val="auto"/>
              </w:rPr>
            </w:pPr>
          </w:p>
        </w:tc>
        <w:tc>
          <w:tcPr>
            <w:tcW w:w="10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w:t>
            </w:r>
          </w:p>
        </w:tc>
        <w:tc>
          <w:tcPr>
            <w:tcW w:w="1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(26,227)</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(26,227)</w:t>
            </w:r>
          </w:p>
        </w:tc>
        <w:tc>
          <w:tcPr>
            <w:tcW w:w="0" w:type="dxa"/>
            <w:vAlign w:val="bottom"/>
          </w:tcPr>
          <w:p>
            <w:pPr>
              <w:spacing w:after="0"/>
              <w:rPr>
                <w:sz w:val="1"/>
                <w:szCs w:val="1"/>
                <w:color w:val="auto"/>
              </w:rPr>
            </w:pPr>
          </w:p>
        </w:tc>
      </w:tr>
      <w:tr>
        <w:trPr>
          <w:trHeight w:val="209"/>
        </w:trPr>
        <w:tc>
          <w:tcPr>
            <w:tcW w:w="24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Balances, March 31, 2025</w:t>
            </w:r>
          </w:p>
        </w:tc>
        <w:tc>
          <w:tcPr>
            <w:tcW w:w="140" w:type="dxa"/>
            <w:vAlign w:val="bottom"/>
          </w:tcPr>
          <w:p>
            <w:pPr>
              <w:spacing w:after="0"/>
              <w:rPr>
                <w:sz w:val="18"/>
                <w:szCs w:val="18"/>
                <w:color w:val="auto"/>
              </w:rPr>
            </w:pP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175,967,875</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Borders>
              <w:top w:val="single" w:sz="8" w:color="auto"/>
            </w:tcBorders>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3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140" w:type="dxa"/>
            <w:vAlign w:val="bottom"/>
          </w:tcPr>
          <w:p>
            <w:pPr>
              <w:spacing w:after="0"/>
              <w:rPr>
                <w:sz w:val="18"/>
                <w:szCs w:val="18"/>
                <w:color w:val="auto"/>
              </w:rPr>
            </w:pPr>
          </w:p>
        </w:tc>
        <w:tc>
          <w:tcPr>
            <w:tcW w:w="920" w:type="dxa"/>
            <w:vAlign w:val="bottom"/>
            <w:tcBorders>
              <w:top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w w:val="98"/>
              </w:rPr>
              <w:t>$ 1,974,219</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8"/>
              </w:rPr>
              <w:t>$ (1,600,412)</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7,990</w:t>
            </w:r>
          </w:p>
        </w:tc>
        <w:tc>
          <w:tcPr>
            <w:tcW w:w="20" w:type="dxa"/>
            <w:vAlign w:val="bottom"/>
          </w:tcPr>
          <w:p>
            <w:pPr>
              <w:spacing w:after="0"/>
              <w:rPr>
                <w:sz w:val="18"/>
                <w:szCs w:val="18"/>
                <w:color w:val="auto"/>
              </w:rPr>
            </w:pPr>
          </w:p>
        </w:tc>
        <w:tc>
          <w:tcPr>
            <w:tcW w:w="140" w:type="dxa"/>
            <w:vAlign w:val="bottom"/>
            <w:gridSpan w:val="2"/>
          </w:tcPr>
          <w:p>
            <w:pPr>
              <w:spacing w:after="0"/>
              <w:rPr>
                <w:sz w:val="18"/>
                <w:szCs w:val="18"/>
                <w:color w:val="auto"/>
              </w:rPr>
            </w:pPr>
          </w:p>
        </w:tc>
        <w:tc>
          <w:tcPr>
            <w:tcW w:w="12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381,815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4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ind w:left="2080"/>
        <w:spacing w:after="0"/>
        <w:rPr>
          <w:sz w:val="20"/>
          <w:szCs w:val="20"/>
          <w:color w:val="auto"/>
        </w:rPr>
      </w:pPr>
      <w:r>
        <w:rPr>
          <w:rFonts w:ascii="Times New Roman" w:cs="Times New Roman" w:eastAsia="Times New Roman" w:hAnsi="Times New Roman"/>
          <w:sz w:val="18"/>
          <w:szCs w:val="18"/>
          <w:color w:val="auto"/>
        </w:rPr>
        <w:t>See notes to the unaudited condensed consolidated financial statements.</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374650</wp:posOffset>
            </wp:positionV>
            <wp:extent cx="545211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545211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7" w:name="page8"/>
    <w:bookmarkEnd w:id="7"/>
    <w:p>
      <w:pPr>
        <w:ind w:left="20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RIBBON COMMUNICATIONS INC.</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Cash Flows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14" w:lineRule="exact"/>
        <w:rPr>
          <w:sz w:val="20"/>
          <w:szCs w:val="20"/>
          <w:color w:val="auto"/>
        </w:rPr>
      </w:pPr>
    </w:p>
    <w:tbl>
      <w:tblPr>
        <w:tblLayout w:type="fixed"/>
        <w:tblInd w:w="20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60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0" w:type="dxa"/>
            <w:vAlign w:val="bottom"/>
            <w:gridSpan w:val="5"/>
          </w:tcPr>
          <w:p>
            <w:pPr>
              <w:ind w:left="30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60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820" w:type="dxa"/>
            <w:vAlign w:val="bottom"/>
            <w:tcBorders>
              <w:top w:val="single" w:sz="8" w:color="auto"/>
            </w:tcBorders>
          </w:tcPr>
          <w:p>
            <w:pPr>
              <w:jc w:val="right"/>
              <w:ind w:right="72"/>
              <w:spacing w:after="0" w:line="118" w:lineRule="exact"/>
              <w:rPr>
                <w:sz w:val="20"/>
                <w:szCs w:val="20"/>
                <w:color w:val="auto"/>
              </w:rPr>
            </w:pPr>
            <w:r>
              <w:rPr>
                <w:rFonts w:ascii="Times New Roman" w:cs="Times New Roman" w:eastAsia="Times New Roman" w:hAnsi="Times New Roman"/>
                <w:sz w:val="13"/>
                <w:szCs w:val="13"/>
                <w:b w:val="1"/>
                <w:bCs w:val="1"/>
                <w:color w:val="auto"/>
              </w:rPr>
              <w:t>March 31,</w:t>
            </w:r>
          </w:p>
        </w:tc>
        <w:tc>
          <w:tcPr>
            <w:tcW w:w="320" w:type="dxa"/>
            <w:vAlign w:val="bottom"/>
            <w:tcBorders>
              <w:top w:val="single" w:sz="8" w:color="auto"/>
            </w:tcBorders>
            <w:gridSpan w:val="2"/>
            <w:vMerge w:val="restart"/>
          </w:tcPr>
          <w:p>
            <w:pPr>
              <w:jc w:val="right"/>
              <w:ind w:right="30"/>
              <w:spacing w:after="0"/>
              <w:rPr>
                <w:sz w:val="20"/>
                <w:szCs w:val="20"/>
                <w:color w:val="auto"/>
              </w:rPr>
            </w:pPr>
            <w:r>
              <w:rPr>
                <w:rFonts w:ascii="Times New Roman" w:cs="Times New Roman" w:eastAsia="Times New Roman" w:hAnsi="Times New Roman"/>
                <w:sz w:val="14"/>
                <w:szCs w:val="14"/>
                <w:b w:val="1"/>
                <w:bCs w:val="1"/>
                <w:color w:val="auto"/>
              </w:rPr>
              <w:t>​​​</w:t>
            </w:r>
          </w:p>
        </w:tc>
        <w:tc>
          <w:tcPr>
            <w:tcW w:w="820" w:type="dxa"/>
            <w:vAlign w:val="bottom"/>
            <w:tcBorders>
              <w:top w:val="single" w:sz="8" w:color="auto"/>
            </w:tcBorders>
          </w:tcPr>
          <w:p>
            <w:pPr>
              <w:jc w:val="right"/>
              <w:ind w:right="91"/>
              <w:spacing w:after="0" w:line="118" w:lineRule="exact"/>
              <w:rPr>
                <w:sz w:val="20"/>
                <w:szCs w:val="20"/>
                <w:color w:val="auto"/>
              </w:rPr>
            </w:pPr>
            <w:r>
              <w:rPr>
                <w:rFonts w:ascii="Times New Roman" w:cs="Times New Roman" w:eastAsia="Times New Roman" w:hAnsi="Times New Roman"/>
                <w:sz w:val="13"/>
                <w:szCs w:val="13"/>
                <w:b w:val="1"/>
                <w:bCs w:val="1"/>
                <w:color w:val="auto"/>
              </w:rPr>
              <w:t>March 31,</w:t>
            </w: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60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20" w:type="dxa"/>
            <w:vAlign w:val="bottom"/>
          </w:tcPr>
          <w:p>
            <w:pPr>
              <w:jc w:val="right"/>
              <w:ind w:right="232"/>
              <w:spacing w:after="0"/>
              <w:rPr>
                <w:sz w:val="20"/>
                <w:szCs w:val="20"/>
                <w:color w:val="auto"/>
              </w:rPr>
            </w:pPr>
            <w:r>
              <w:rPr>
                <w:rFonts w:ascii="Times New Roman" w:cs="Times New Roman" w:eastAsia="Times New Roman" w:hAnsi="Times New Roman"/>
                <w:sz w:val="14"/>
                <w:szCs w:val="14"/>
                <w:b w:val="1"/>
                <w:bCs w:val="1"/>
                <w:color w:val="auto"/>
              </w:rPr>
              <w:t>2026</w:t>
            </w:r>
          </w:p>
        </w:tc>
        <w:tc>
          <w:tcPr>
            <w:tcW w:w="320" w:type="dxa"/>
            <w:vAlign w:val="bottom"/>
            <w:gridSpan w:val="2"/>
            <w:vMerge w:val="continue"/>
          </w:tcPr>
          <w:p>
            <w:pPr>
              <w:spacing w:after="0"/>
              <w:rPr>
                <w:sz w:val="15"/>
                <w:szCs w:val="15"/>
                <w:color w:val="auto"/>
              </w:rPr>
            </w:pPr>
          </w:p>
        </w:tc>
        <w:tc>
          <w:tcPr>
            <w:tcW w:w="820" w:type="dxa"/>
            <w:vAlign w:val="bottom"/>
          </w:tcPr>
          <w:p>
            <w:pPr>
              <w:jc w:val="right"/>
              <w:ind w:right="231"/>
              <w:spacing w:after="0"/>
              <w:rPr>
                <w:sz w:val="20"/>
                <w:szCs w:val="20"/>
                <w:color w:val="auto"/>
              </w:rPr>
            </w:pPr>
            <w:r>
              <w:rPr>
                <w:rFonts w:ascii="Times New Roman" w:cs="Times New Roman" w:eastAsia="Times New Roman" w:hAnsi="Times New Roman"/>
                <w:sz w:val="14"/>
                <w:szCs w:val="14"/>
                <w:b w:val="1"/>
                <w:bCs w:val="1"/>
                <w:color w:val="auto"/>
              </w:rPr>
              <w:t>2025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60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flows from operating activities:</w:t>
            </w:r>
          </w:p>
        </w:tc>
        <w:tc>
          <w:tcPr>
            <w:tcW w:w="5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Net loss</w:t>
            </w:r>
          </w:p>
        </w:tc>
        <w:tc>
          <w:tcPr>
            <w:tcW w:w="6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(34,489)</w:t>
            </w:r>
          </w:p>
        </w:tc>
        <w:tc>
          <w:tcPr>
            <w:tcW w:w="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(26,227)</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Adjustments to reconcile net loss to cash flows used in operating activities:</w:t>
            </w: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Depreciation and amortization of property and equipment</w:t>
            </w: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4,460</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3,469</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0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Amortization of intangible assets</w:t>
            </w: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10,218</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11,543</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Amortization of debt issuance costs and original issue discount</w:t>
            </w: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701</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701</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0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Stock-based compensation</w:t>
            </w: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5,957</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4,298</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Deferred income taxes</w:t>
            </w: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(7,628)</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(4,628)</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0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Change in fair value of warrant liability</w:t>
            </w: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(1,237)</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(1,735)</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Foreign currency exchange losses (gains)</w:t>
            </w: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1,173</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(1,328)</w:t>
            </w:r>
          </w:p>
        </w:tc>
        <w:tc>
          <w:tcPr>
            <w:tcW w:w="4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0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Changes in operating assets and liabilities:</w:t>
            </w: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0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Accounts receivable</w:t>
            </w: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27,233</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29,459</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0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Inventory</w:t>
            </w: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(4,600)</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(1,546)</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0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Other operating assets</w:t>
            </w: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(2,801)</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(5,578)</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0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Accounts payable</w:t>
            </w: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(3,389)</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(2,184)</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0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Accrued expenses and other long-term liabilities</w:t>
            </w: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(16,558)</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(9,631)</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0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Deferred revenue</w:t>
            </w:r>
          </w:p>
        </w:tc>
        <w:tc>
          <w:tcPr>
            <w:tcW w:w="5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(1,036)</w:t>
            </w:r>
          </w:p>
        </w:tc>
        <w:tc>
          <w:tcPr>
            <w:tcW w:w="2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000" w:type="dxa"/>
            <w:vAlign w:val="bottom"/>
            <w:tcBorders>
              <w:bottom w:val="single" w:sz="8" w:color="CCEEFF"/>
            </w:tcBorders>
          </w:tcPr>
          <w:p>
            <w:pPr>
              <w:ind w:left="420"/>
              <w:spacing w:after="0"/>
              <w:rPr>
                <w:sz w:val="20"/>
                <w:szCs w:val="20"/>
                <w:color w:val="auto"/>
              </w:rPr>
            </w:pPr>
            <w:r>
              <w:rPr>
                <w:rFonts w:ascii="Times New Roman" w:cs="Times New Roman" w:eastAsia="Times New Roman" w:hAnsi="Times New Roman"/>
                <w:sz w:val="18"/>
                <w:szCs w:val="18"/>
                <w:color w:val="auto"/>
              </w:rPr>
              <w:t>Net cash used in operating activities</w:t>
            </w:r>
          </w:p>
        </w:tc>
        <w:tc>
          <w:tcPr>
            <w:tcW w:w="52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(21,996)</w:t>
            </w:r>
          </w:p>
        </w:tc>
        <w:tc>
          <w:tcPr>
            <w:tcW w:w="2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(3,535)</w:t>
            </w:r>
          </w:p>
        </w:tc>
        <w:tc>
          <w:tcPr>
            <w:tcW w:w="4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6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flows from investing activities:</w:t>
            </w: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00" w:type="dxa"/>
            <w:vAlign w:val="bottom"/>
            <w:tcBorders>
              <w:bottom w:val="single" w:sz="8" w:color="CCEEFF"/>
            </w:tcBorders>
          </w:tcPr>
          <w:p>
            <w:pPr>
              <w:ind w:left="200"/>
              <w:spacing w:after="0"/>
              <w:rPr>
                <w:sz w:val="20"/>
                <w:szCs w:val="20"/>
                <w:color w:val="auto"/>
              </w:rPr>
            </w:pPr>
            <w:r>
              <w:rPr>
                <w:rFonts w:ascii="Times New Roman" w:cs="Times New Roman" w:eastAsia="Times New Roman" w:hAnsi="Times New Roman"/>
                <w:sz w:val="18"/>
                <w:szCs w:val="18"/>
                <w:color w:val="auto"/>
              </w:rPr>
              <w:t>Purchases of property and equipment</w:t>
            </w:r>
          </w:p>
        </w:tc>
        <w:tc>
          <w:tcPr>
            <w:tcW w:w="52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(3,072)</w:t>
            </w:r>
          </w:p>
        </w:tc>
        <w:tc>
          <w:tcPr>
            <w:tcW w:w="2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(12,149)</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600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5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(3,072)</w:t>
            </w:r>
          </w:p>
        </w:tc>
        <w:tc>
          <w:tcPr>
            <w:tcW w:w="2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(12,149)</w:t>
            </w:r>
          </w:p>
        </w:tc>
        <w:tc>
          <w:tcPr>
            <w:tcW w:w="4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000" w:type="dxa"/>
            <w:vAlign w:val="bottom"/>
          </w:tcPr>
          <w:p>
            <w:pPr>
              <w:spacing w:after="0"/>
              <w:rPr>
                <w:sz w:val="20"/>
                <w:szCs w:val="20"/>
                <w:color w:val="auto"/>
              </w:rPr>
            </w:pPr>
            <w:r>
              <w:rPr>
                <w:rFonts w:ascii="Times New Roman" w:cs="Times New Roman" w:eastAsia="Times New Roman" w:hAnsi="Times New Roman"/>
                <w:sz w:val="18"/>
                <w:szCs w:val="18"/>
                <w:color w:val="auto"/>
              </w:rPr>
              <w:t>Cash flows from financing activities:</w:t>
            </w: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0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Principal payments of term debt</w:t>
            </w: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(2,187)</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(875)</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Proceeds from the exercise of stock options</w:t>
            </w: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0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Payment of tax obligations related to vested stock awards and units</w:t>
            </w: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(938)</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00" w:type="dxa"/>
            <w:vAlign w:val="bottom"/>
            <w:tcBorders>
              <w:bottom w:val="single" w:sz="8" w:color="CCEEFF"/>
            </w:tcBorders>
          </w:tcPr>
          <w:p>
            <w:pPr>
              <w:ind w:left="200"/>
              <w:spacing w:after="0"/>
              <w:rPr>
                <w:sz w:val="20"/>
                <w:szCs w:val="20"/>
                <w:color w:val="auto"/>
              </w:rPr>
            </w:pPr>
            <w:r>
              <w:rPr>
                <w:rFonts w:ascii="Times New Roman" w:cs="Times New Roman" w:eastAsia="Times New Roman" w:hAnsi="Times New Roman"/>
                <w:sz w:val="18"/>
                <w:szCs w:val="18"/>
                <w:color w:val="auto"/>
              </w:rPr>
              <w:t>Repurchase of common stock</w:t>
            </w:r>
          </w:p>
        </w:tc>
        <w:tc>
          <w:tcPr>
            <w:tcW w:w="52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(824)</w:t>
            </w:r>
          </w:p>
        </w:tc>
        <w:tc>
          <w:tcPr>
            <w:tcW w:w="2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600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Net cash used in financing activities</w:t>
            </w:r>
          </w:p>
        </w:tc>
        <w:tc>
          <w:tcPr>
            <w:tcW w:w="5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(3,114)</w:t>
            </w:r>
          </w:p>
        </w:tc>
        <w:tc>
          <w:tcPr>
            <w:tcW w:w="2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(1,812)</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0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Effect of exchange rate changes on cash and cash equivalents</w:t>
            </w:r>
          </w:p>
        </w:tc>
        <w:tc>
          <w:tcPr>
            <w:tcW w:w="52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(350)</w:t>
            </w:r>
          </w:p>
        </w:tc>
        <w:tc>
          <w:tcPr>
            <w:tcW w:w="2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831</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decrease in cash and cash equivalents</w:t>
            </w: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(28,532)</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(16,665)</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Cash, cash equivalents and restricted cash, beginning of year</w:t>
            </w:r>
          </w:p>
        </w:tc>
        <w:tc>
          <w:tcPr>
            <w:tcW w:w="52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98,131</w:t>
            </w:r>
          </w:p>
        </w:tc>
        <w:tc>
          <w:tcPr>
            <w:tcW w:w="2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90,479</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0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cash equivalents and restricted cash, end of period</w:t>
            </w:r>
          </w:p>
        </w:tc>
        <w:tc>
          <w:tcPr>
            <w:tcW w:w="5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69,599</w:t>
            </w:r>
          </w:p>
        </w:tc>
        <w:tc>
          <w:tcPr>
            <w:tcW w:w="2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73,814</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0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See notes to the unaudited condensed consolidated financial statements.</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374650</wp:posOffset>
            </wp:positionV>
            <wp:extent cx="545211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545211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8" w:name="page9"/>
    <w:bookmarkEnd w:id="8"/>
    <w:p>
      <w:pPr>
        <w:ind w:left="20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RIBBON COMMUNICATIONS INC.</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Cash Flows (continued)</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14" w:lineRule="exact"/>
        <w:rPr>
          <w:sz w:val="20"/>
          <w:szCs w:val="20"/>
          <w:color w:val="auto"/>
        </w:rPr>
      </w:pPr>
    </w:p>
    <w:tbl>
      <w:tblPr>
        <w:tblLayout w:type="fixed"/>
        <w:tblInd w:w="20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57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960" w:type="dxa"/>
            <w:vAlign w:val="bottom"/>
            <w:tcBorders>
              <w:bottom w:val="single" w:sz="8" w:color="auto"/>
            </w:tcBorders>
            <w:gridSpan w:val="4"/>
          </w:tcPr>
          <w:p>
            <w:pPr>
              <w:jc w:val="right"/>
              <w:ind w:right="314"/>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574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20" w:type="dxa"/>
            <w:vAlign w:val="bottom"/>
          </w:tcPr>
          <w:p>
            <w:pPr>
              <w:jc w:val="right"/>
              <w:ind w:right="75"/>
              <w:spacing w:after="0" w:line="118" w:lineRule="exact"/>
              <w:rPr>
                <w:sz w:val="20"/>
                <w:szCs w:val="20"/>
                <w:color w:val="auto"/>
              </w:rPr>
            </w:pPr>
            <w:r>
              <w:rPr>
                <w:rFonts w:ascii="Times New Roman" w:cs="Times New Roman" w:eastAsia="Times New Roman" w:hAnsi="Times New Roman"/>
                <w:sz w:val="13"/>
                <w:szCs w:val="13"/>
                <w:b w:val="1"/>
                <w:bCs w:val="1"/>
                <w:color w:val="auto"/>
              </w:rPr>
              <w:t>March 31,</w:t>
            </w:r>
          </w:p>
        </w:tc>
        <w:tc>
          <w:tcPr>
            <w:tcW w:w="32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4"/>
                <w:szCs w:val="14"/>
                <w:b w:val="1"/>
                <w:bCs w:val="1"/>
                <w:color w:val="auto"/>
              </w:rPr>
              <w:t>​​​</w:t>
            </w:r>
          </w:p>
        </w:tc>
        <w:tc>
          <w:tcPr>
            <w:tcW w:w="820" w:type="dxa"/>
            <w:vAlign w:val="bottom"/>
          </w:tcPr>
          <w:p>
            <w:pPr>
              <w:jc w:val="right"/>
              <w:ind w:right="94"/>
              <w:spacing w:after="0" w:line="118" w:lineRule="exact"/>
              <w:rPr>
                <w:sz w:val="20"/>
                <w:szCs w:val="20"/>
                <w:color w:val="auto"/>
              </w:rPr>
            </w:pPr>
            <w:r>
              <w:rPr>
                <w:rFonts w:ascii="Times New Roman" w:cs="Times New Roman" w:eastAsia="Times New Roman" w:hAnsi="Times New Roman"/>
                <w:sz w:val="13"/>
                <w:szCs w:val="13"/>
                <w:b w:val="1"/>
                <w:bCs w:val="1"/>
                <w:color w:val="auto"/>
              </w:rPr>
              <w:t>March 31,</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57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20" w:type="dxa"/>
            <w:vAlign w:val="bottom"/>
          </w:tcPr>
          <w:p>
            <w:pPr>
              <w:jc w:val="right"/>
              <w:ind w:right="235"/>
              <w:spacing w:after="0"/>
              <w:rPr>
                <w:sz w:val="20"/>
                <w:szCs w:val="20"/>
                <w:color w:val="auto"/>
              </w:rPr>
            </w:pPr>
            <w:r>
              <w:rPr>
                <w:rFonts w:ascii="Times New Roman" w:cs="Times New Roman" w:eastAsia="Times New Roman" w:hAnsi="Times New Roman"/>
                <w:sz w:val="14"/>
                <w:szCs w:val="14"/>
                <w:b w:val="1"/>
                <w:bCs w:val="1"/>
                <w:color w:val="auto"/>
              </w:rPr>
              <w:t>2026</w:t>
            </w:r>
          </w:p>
        </w:tc>
        <w:tc>
          <w:tcPr>
            <w:tcW w:w="320" w:type="dxa"/>
            <w:vAlign w:val="bottom"/>
            <w:gridSpan w:val="2"/>
            <w:vMerge w:val="continue"/>
          </w:tcPr>
          <w:p>
            <w:pPr>
              <w:spacing w:after="0"/>
              <w:rPr>
                <w:sz w:val="15"/>
                <w:szCs w:val="15"/>
                <w:color w:val="auto"/>
              </w:rPr>
            </w:pPr>
          </w:p>
        </w:tc>
        <w:tc>
          <w:tcPr>
            <w:tcW w:w="820" w:type="dxa"/>
            <w:vAlign w:val="bottom"/>
          </w:tcPr>
          <w:p>
            <w:pPr>
              <w:jc w:val="right"/>
              <w:ind w:right="234"/>
              <w:spacing w:after="0"/>
              <w:rPr>
                <w:sz w:val="20"/>
                <w:szCs w:val="20"/>
                <w:color w:val="auto"/>
              </w:rPr>
            </w:pPr>
            <w:r>
              <w:rPr>
                <w:rFonts w:ascii="Times New Roman" w:cs="Times New Roman" w:eastAsia="Times New Roman" w:hAnsi="Times New Roman"/>
                <w:sz w:val="14"/>
                <w:szCs w:val="14"/>
                <w:b w:val="1"/>
                <w:bCs w:val="1"/>
                <w:color w:val="auto"/>
              </w:rPr>
              <w:t>2025</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7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Supplemental disclosure of cash flow information:</w:t>
            </w:r>
          </w:p>
        </w:tc>
        <w:tc>
          <w:tcPr>
            <w:tcW w:w="7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Interest paid</w:t>
            </w:r>
          </w:p>
        </w:tc>
        <w:tc>
          <w:tcPr>
            <w:tcW w:w="8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8,549</w:t>
            </w:r>
          </w:p>
        </w:tc>
        <w:tc>
          <w:tcPr>
            <w:tcW w:w="3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9,375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4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Income taxes paid</w:t>
            </w:r>
          </w:p>
        </w:tc>
        <w:tc>
          <w:tcPr>
            <w:tcW w:w="8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2,124</w:t>
            </w:r>
          </w:p>
        </w:tc>
        <w:tc>
          <w:tcPr>
            <w:tcW w:w="3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3,060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Income tax refunds received</w:t>
            </w:r>
          </w:p>
        </w:tc>
        <w:tc>
          <w:tcPr>
            <w:tcW w:w="8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w:t>
            </w:r>
          </w:p>
        </w:tc>
        <w:tc>
          <w:tcPr>
            <w:tcW w:w="3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Supplemental disclosure of non-cash investing activities:</w:t>
            </w: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Capital expenditures incurred, but not yet paid</w:t>
            </w:r>
          </w:p>
        </w:tc>
        <w:tc>
          <w:tcPr>
            <w:tcW w:w="8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4,155</w:t>
            </w:r>
          </w:p>
        </w:tc>
        <w:tc>
          <w:tcPr>
            <w:tcW w:w="3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5,377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4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Inventory transfers to property and equipment</w:t>
            </w:r>
          </w:p>
        </w:tc>
        <w:tc>
          <w:tcPr>
            <w:tcW w:w="8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261</w:t>
            </w:r>
          </w:p>
        </w:tc>
        <w:tc>
          <w:tcPr>
            <w:tcW w:w="3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Software licenses purchased, but not yet paid</w:t>
            </w:r>
          </w:p>
        </w:tc>
        <w:tc>
          <w:tcPr>
            <w:tcW w:w="8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1,107</w:t>
            </w:r>
          </w:p>
        </w:tc>
        <w:tc>
          <w:tcPr>
            <w:tcW w:w="3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Supplemental disclosure of non-cash financing activities:</w:t>
            </w: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Warrant liability released to additional paid-in-capital</w:t>
            </w:r>
          </w:p>
        </w:tc>
        <w:tc>
          <w:tcPr>
            <w:tcW w:w="8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4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Fair value of vested restricted and performance-based stock grants</w:t>
            </w:r>
          </w:p>
        </w:tc>
        <w:tc>
          <w:tcPr>
            <w:tcW w:w="8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409</w:t>
            </w:r>
          </w:p>
        </w:tc>
        <w:tc>
          <w:tcPr>
            <w:tcW w:w="3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2,381</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ind w:left="2080"/>
        <w:spacing w:after="0"/>
        <w:rPr>
          <w:sz w:val="20"/>
          <w:szCs w:val="20"/>
          <w:color w:val="auto"/>
        </w:rPr>
      </w:pPr>
      <w:r>
        <w:rPr>
          <w:rFonts w:ascii="Times New Roman" w:cs="Times New Roman" w:eastAsia="Times New Roman" w:hAnsi="Times New Roman"/>
          <w:sz w:val="18"/>
          <w:szCs w:val="18"/>
          <w:color w:val="auto"/>
        </w:rPr>
        <w:t>See notes to the unaudited condensed consolidated financial statements.</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374650</wp:posOffset>
            </wp:positionV>
            <wp:extent cx="545211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545211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9" w:name="page10"/>
    <w:bookmarkEnd w:id="9"/>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RIBBON COMMUNICATIONS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(1) BASIS OF PRESENTATION</w:t>
      </w:r>
    </w:p>
    <w:p>
      <w:pPr>
        <w:spacing w:after="0" w:line="22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Business</w:t>
      </w:r>
    </w:p>
    <w:p>
      <w:pPr>
        <w:spacing w:after="0" w:line="229" w:lineRule="exact"/>
        <w:rPr>
          <w:sz w:val="20"/>
          <w:szCs w:val="20"/>
          <w:color w:val="auto"/>
        </w:rPr>
      </w:pPr>
    </w:p>
    <w:p>
      <w:pPr>
        <w:ind w:left="60" w:right="99" w:firstLine="324"/>
        <w:spacing w:after="0" w:line="253" w:lineRule="auto"/>
        <w:rPr>
          <w:sz w:val="20"/>
          <w:szCs w:val="20"/>
          <w:color w:val="auto"/>
        </w:rPr>
      </w:pPr>
      <w:r>
        <w:rPr>
          <w:rFonts w:ascii="Times New Roman" w:cs="Times New Roman" w:eastAsia="Times New Roman" w:hAnsi="Times New Roman"/>
          <w:sz w:val="18"/>
          <w:szCs w:val="18"/>
          <w:color w:val="auto"/>
        </w:rPr>
        <w:t>Ribbon Communications Inc. ("Ribbon" or the "Company") is a leading global provider of communications technology to service providers and enterprises. The Company provides a broad range of software and high-performance hardware products, network solutions, and services that enable the secure delivery of data and voice communications, and high-bandwidth networking and connectivity for residential consumers and for small, medium, and large enterprises and industry verticals such as finance, education, government, utilities, and transportation. Ribbon’s mission is to create a recognized global technology leader that provides network solutions that are scalable, elastic and cloud-centric, enabling the secure exchange of information. The Company is at the intersection of the adoption of Artificial Intelligence (“AI”) by service providers and enterprises addressing the rapid growth in fiber connectivity and integration of voice capabilities into Agentic AI platforms. The Company is headquartered in Plano, Texas, and has a global presence with research and development, or sales and support locations in over 30 countries around the world.</w:t>
      </w:r>
    </w:p>
    <w:p>
      <w:pPr>
        <w:spacing w:after="0" w:line="19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Basis of Presentation</w:t>
      </w:r>
    </w:p>
    <w:p>
      <w:pPr>
        <w:spacing w:after="0" w:line="229" w:lineRule="exact"/>
        <w:rPr>
          <w:sz w:val="20"/>
          <w:szCs w:val="20"/>
          <w:color w:val="auto"/>
        </w:rPr>
      </w:pPr>
    </w:p>
    <w:p>
      <w:pPr>
        <w:ind w:left="60" w:right="139" w:firstLine="324"/>
        <w:spacing w:after="0" w:line="261" w:lineRule="auto"/>
        <w:rPr>
          <w:sz w:val="20"/>
          <w:szCs w:val="20"/>
          <w:color w:val="auto"/>
        </w:rPr>
      </w:pPr>
      <w:r>
        <w:rPr>
          <w:rFonts w:ascii="Times New Roman" w:cs="Times New Roman" w:eastAsia="Times New Roman" w:hAnsi="Times New Roman"/>
          <w:sz w:val="18"/>
          <w:szCs w:val="18"/>
          <w:color w:val="auto"/>
        </w:rPr>
        <w:t>In the opinion of management, the accompanying unaudited condensed consolidated financial statements include all adjustments, consisting only of normal recurring items, necessary for their fair presentation with accounting principles generally accepted in the United States of America ("GAAP") and with the rules and regulations of the U.S. Securities and Exchange Commission ("SEC").</w:t>
      </w:r>
    </w:p>
    <w:p>
      <w:pPr>
        <w:spacing w:after="0" w:line="180" w:lineRule="exact"/>
        <w:rPr>
          <w:sz w:val="20"/>
          <w:szCs w:val="20"/>
          <w:color w:val="auto"/>
        </w:rPr>
      </w:pPr>
    </w:p>
    <w:p>
      <w:pPr>
        <w:ind w:left="60" w:right="299" w:firstLine="324"/>
        <w:spacing w:after="0" w:line="261" w:lineRule="auto"/>
        <w:rPr>
          <w:sz w:val="20"/>
          <w:szCs w:val="20"/>
          <w:color w:val="auto"/>
        </w:rPr>
      </w:pPr>
      <w:r>
        <w:rPr>
          <w:rFonts w:ascii="Times New Roman" w:cs="Times New Roman" w:eastAsia="Times New Roman" w:hAnsi="Times New Roman"/>
          <w:sz w:val="18"/>
          <w:szCs w:val="18"/>
          <w:color w:val="auto"/>
        </w:rPr>
        <w:t>Interim results are not necessarily indicative of results for a full year or any future interim period. The information included in this Quarterly Report on Form 10-Q should be read in conjunction with the Company’s Annual Report on Form 10-K for the year ended December 31, 2025 (the "Annual Report"), which was filed with the SEC on February 26, 2026.</w:t>
      </w:r>
    </w:p>
    <w:p>
      <w:pPr>
        <w:spacing w:after="0" w:line="17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Operating Segments</w:t>
      </w:r>
    </w:p>
    <w:p>
      <w:pPr>
        <w:spacing w:after="0" w:line="229" w:lineRule="exact"/>
        <w:rPr>
          <w:sz w:val="20"/>
          <w:szCs w:val="20"/>
          <w:color w:val="auto"/>
        </w:rPr>
      </w:pPr>
    </w:p>
    <w:p>
      <w:pPr>
        <w:ind w:left="60" w:right="119" w:firstLine="324"/>
        <w:spacing w:after="0" w:line="266" w:lineRule="auto"/>
        <w:rPr>
          <w:sz w:val="20"/>
          <w:szCs w:val="20"/>
          <w:color w:val="auto"/>
        </w:rPr>
      </w:pPr>
      <w:r>
        <w:rPr>
          <w:rFonts w:ascii="Times New Roman" w:cs="Times New Roman" w:eastAsia="Times New Roman" w:hAnsi="Times New Roman"/>
          <w:sz w:val="18"/>
          <w:szCs w:val="18"/>
          <w:color w:val="auto"/>
        </w:rPr>
        <w:t>The Company’s chief operating decision maker (the "CODM") is its president and chief executive officer. The CODM assesses the Company’s performance based on the performance of two separate organizations within Ribbon: the Cloud and Edge segment ("Cloud and Edge") and the IP Optical Networks segment ("IP Optical Networks").</w:t>
      </w:r>
    </w:p>
    <w:p>
      <w:pPr>
        <w:spacing w:after="0" w:line="1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Significant Accounting Policies</w:t>
      </w:r>
    </w:p>
    <w:p>
      <w:pPr>
        <w:spacing w:after="0" w:line="229" w:lineRule="exact"/>
        <w:rPr>
          <w:sz w:val="20"/>
          <w:szCs w:val="20"/>
          <w:color w:val="auto"/>
        </w:rPr>
      </w:pPr>
    </w:p>
    <w:p>
      <w:pPr>
        <w:ind w:left="60" w:right="59" w:firstLine="324"/>
        <w:spacing w:after="0" w:line="266" w:lineRule="auto"/>
        <w:rPr>
          <w:sz w:val="20"/>
          <w:szCs w:val="20"/>
          <w:color w:val="auto"/>
        </w:rPr>
      </w:pPr>
      <w:r>
        <w:rPr>
          <w:rFonts w:ascii="Times New Roman" w:cs="Times New Roman" w:eastAsia="Times New Roman" w:hAnsi="Times New Roman"/>
          <w:sz w:val="18"/>
          <w:szCs w:val="18"/>
          <w:color w:val="auto"/>
        </w:rPr>
        <w:t>The Company’s significant accounting policies are disclosed in Note 2 to the Consolidated Financial Statements included in the Annual Report. There were no material changes to the Company’s significant accounting policies during the three months ended March 31, 2026.</w:t>
      </w:r>
    </w:p>
    <w:p>
      <w:pPr>
        <w:spacing w:after="0" w:line="1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Principles of Consolidation</w:t>
      </w:r>
    </w:p>
    <w:p>
      <w:pPr>
        <w:spacing w:after="0" w:line="22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The condensed consolidated financial statements include the accounts of Ribbon and its wholly-owned subsidiaries.</w:t>
      </w:r>
    </w:p>
    <w:p>
      <w:pPr>
        <w:spacing w:after="0" w:line="2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Intercompany transactions and balances have been eliminated in consolidation.</w:t>
      </w:r>
    </w:p>
    <w:p>
      <w:pPr>
        <w:spacing w:after="0" w:line="20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Use of Estimates and Judgments</w:t>
      </w:r>
    </w:p>
    <w:p>
      <w:pPr>
        <w:spacing w:after="0" w:line="229" w:lineRule="exact"/>
        <w:rPr>
          <w:sz w:val="20"/>
          <w:szCs w:val="20"/>
          <w:color w:val="auto"/>
        </w:rPr>
      </w:pPr>
    </w:p>
    <w:p>
      <w:pPr>
        <w:ind w:left="60" w:right="59" w:firstLine="324"/>
        <w:spacing w:after="0" w:line="261" w:lineRule="auto"/>
        <w:rPr>
          <w:sz w:val="20"/>
          <w:szCs w:val="20"/>
          <w:color w:val="auto"/>
        </w:rPr>
      </w:pPr>
      <w:r>
        <w:rPr>
          <w:rFonts w:ascii="Times New Roman" w:cs="Times New Roman" w:eastAsia="Times New Roman" w:hAnsi="Times New Roman"/>
          <w:sz w:val="18"/>
          <w:szCs w:val="18"/>
          <w:color w:val="auto"/>
        </w:rPr>
        <w:t>The preparation of financial statements in conformity with GAAP requires management to make estimates and assumptions that affect the reported amounts of assets and liabilities and disclosure of contingent assets and liabilities at the date of the financial statements and the reported amounts of revenue and expenses during the reporting periods. Significant estimates and judgments relied upon in preparing these condensed consolidated financial statements include</w:t>
      </w:r>
    </w:p>
    <w:p>
      <w:pPr>
        <w:sectPr>
          <w:pgSz w:w="11900" w:h="16838" w:orient="portrait"/>
          <w:cols w:equalWidth="0" w:num="1">
            <w:col w:w="9019"/>
          </w:cols>
          <w:pgMar w:left="1440" w:top="513" w:right="1440" w:bottom="1440" w:gutter="0" w:footer="0" w:header="0"/>
        </w:sectPr>
      </w:pP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0" w:name="page11"/>
    <w:bookmarkEnd w:id="10"/>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ind w:left="1500" w:right="1840"/>
        <w:spacing w:after="0" w:line="278" w:lineRule="auto"/>
        <w:rPr>
          <w:sz w:val="20"/>
          <w:szCs w:val="20"/>
          <w:color w:val="auto"/>
        </w:rPr>
      </w:pPr>
      <w:r>
        <w:rPr>
          <w:rFonts w:ascii="Times New Roman" w:cs="Times New Roman" w:eastAsia="Times New Roman" w:hAnsi="Times New Roman"/>
          <w:sz w:val="18"/>
          <w:szCs w:val="18"/>
          <w:b w:val="1"/>
          <w:bCs w:val="1"/>
          <w:color w:val="auto"/>
        </w:rPr>
        <w:t>RIBBON COMMUNICATIONS INC. Notes to Condensed Consolidated Financial Statements (Continued) (unaudited)</w:t>
      </w:r>
    </w:p>
    <w:p>
      <w:pPr>
        <w:spacing w:after="0" w:line="388" w:lineRule="exact"/>
        <w:rPr>
          <w:sz w:val="20"/>
          <w:szCs w:val="20"/>
          <w:color w:val="auto"/>
        </w:rPr>
      </w:pPr>
    </w:p>
    <w:p>
      <w:pPr>
        <w:ind w:left="60" w:right="219"/>
        <w:spacing w:after="0" w:line="256" w:lineRule="auto"/>
        <w:rPr>
          <w:sz w:val="20"/>
          <w:szCs w:val="20"/>
          <w:color w:val="auto"/>
        </w:rPr>
      </w:pPr>
      <w:r>
        <w:rPr>
          <w:rFonts w:ascii="Times New Roman" w:cs="Times New Roman" w:eastAsia="Times New Roman" w:hAnsi="Times New Roman"/>
          <w:sz w:val="18"/>
          <w:szCs w:val="18"/>
          <w:color w:val="auto"/>
        </w:rPr>
        <w:t>revenue recognition for arrangements that contain multiple performance obligations, inventory valuations, assumptions used to determine the fair value of stock-based compensation and warrants, intangible asset and goodwill valuations, including impairments, warranty accruals, legal contingencies and recoverability of Ribbon’s net deferred tax assets and the related valuation allowances. Ribbon regularly assesses these estimates and records changes in estimates in the period in which they become known. Ribbon bases its estimates on historical experience and various other assumptions that it believes to be reasonable under the circumstances. Actual results could differ from those estimates.</w:t>
      </w:r>
    </w:p>
    <w:p>
      <w:pPr>
        <w:spacing w:after="0" w:line="18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Transfers of Financial Assets</w:t>
      </w:r>
    </w:p>
    <w:p>
      <w:pPr>
        <w:spacing w:after="0" w:line="229" w:lineRule="exact"/>
        <w:rPr>
          <w:sz w:val="20"/>
          <w:szCs w:val="20"/>
          <w:color w:val="auto"/>
        </w:rPr>
      </w:pPr>
    </w:p>
    <w:p>
      <w:pPr>
        <w:ind w:left="60" w:right="79" w:firstLine="324"/>
        <w:spacing w:after="0" w:line="254" w:lineRule="auto"/>
        <w:rPr>
          <w:sz w:val="20"/>
          <w:szCs w:val="20"/>
          <w:color w:val="auto"/>
        </w:rPr>
      </w:pPr>
      <w:r>
        <w:rPr>
          <w:rFonts w:ascii="Times New Roman" w:cs="Times New Roman" w:eastAsia="Times New Roman" w:hAnsi="Times New Roman"/>
          <w:sz w:val="18"/>
          <w:szCs w:val="18"/>
          <w:color w:val="auto"/>
        </w:rPr>
        <w:t>The Company’s IP Optical Networks segment maintains customer receivables factoring agreements with a number of financial institutions. Under the terms of these agreements, the Company may transfer receivables to the financial institutions, on a non-recourse basis, provided that the financial institutions approve the receivables in advance. The Company maintains credit insurance policies from major insurance providers or obtains letters of credit from the customers for a majority of its factored trade receivables. The Company accounts for the factoring of its financial assets as a sale of the assets and records the factoring fees, when incurred, as a component of interest expense in the condensed consolidated statements of operations, and the proceeds from the sales of receivables are included in cash from operating activities in the condensed consolidated statements of cash flows.</w:t>
      </w:r>
    </w:p>
    <w:p>
      <w:pPr>
        <w:spacing w:after="0" w:line="192" w:lineRule="exact"/>
        <w:rPr>
          <w:sz w:val="20"/>
          <w:szCs w:val="20"/>
          <w:color w:val="auto"/>
        </w:rPr>
      </w:pPr>
    </w:p>
    <w:p>
      <w:pPr>
        <w:ind w:left="60" w:right="419" w:firstLine="324"/>
        <w:spacing w:after="0" w:line="282" w:lineRule="auto"/>
        <w:rPr>
          <w:sz w:val="20"/>
          <w:szCs w:val="20"/>
          <w:color w:val="auto"/>
        </w:rPr>
      </w:pPr>
      <w:r>
        <w:rPr>
          <w:rFonts w:ascii="Times New Roman" w:cs="Times New Roman" w:eastAsia="Times New Roman" w:hAnsi="Times New Roman"/>
          <w:sz w:val="18"/>
          <w:szCs w:val="18"/>
          <w:color w:val="auto"/>
        </w:rPr>
        <w:t>Factoring of accounts receivable and associated fees for the three months ended March 31, 2026 and 2025 were as follows (in thousands):</w:t>
      </w:r>
    </w:p>
    <w:p>
      <w:pPr>
        <w:spacing w:after="0" w:line="169"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67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60" w:type="dxa"/>
            <w:vAlign w:val="bottom"/>
            <w:gridSpan w:val="6"/>
          </w:tcPr>
          <w:p>
            <w:pPr>
              <w:ind w:left="34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0" w:type="dxa"/>
            <w:vAlign w:val="bottom"/>
          </w:tcPr>
          <w:p>
            <w:pPr>
              <w:spacing w:after="0"/>
              <w:rPr>
                <w:sz w:val="1"/>
                <w:szCs w:val="1"/>
                <w:color w:val="auto"/>
              </w:rPr>
            </w:pPr>
          </w:p>
        </w:tc>
      </w:tr>
      <w:tr>
        <w:trPr>
          <w:trHeight w:val="117"/>
        </w:trPr>
        <w:tc>
          <w:tcPr>
            <w:tcW w:w="6740" w:type="dxa"/>
            <w:vAlign w:val="bottom"/>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900" w:type="dxa"/>
            <w:vAlign w:val="bottom"/>
            <w:tcBorders>
              <w:top w:val="single" w:sz="8" w:color="auto"/>
            </w:tcBorders>
            <w:gridSpan w:val="2"/>
          </w:tcPr>
          <w:p>
            <w:pPr>
              <w:ind w:left="40"/>
              <w:spacing w:after="0" w:line="118" w:lineRule="exact"/>
              <w:rPr>
                <w:sz w:val="20"/>
                <w:szCs w:val="20"/>
                <w:color w:val="auto"/>
              </w:rPr>
            </w:pPr>
            <w:r>
              <w:rPr>
                <w:rFonts w:ascii="Times New Roman" w:cs="Times New Roman" w:eastAsia="Times New Roman" w:hAnsi="Times New Roman"/>
                <w:sz w:val="13"/>
                <w:szCs w:val="13"/>
                <w:b w:val="1"/>
                <w:bCs w:val="1"/>
                <w:color w:val="auto"/>
              </w:rPr>
              <w:t>March 31,</w:t>
            </w:r>
          </w:p>
        </w:tc>
        <w:tc>
          <w:tcPr>
            <w:tcW w:w="280" w:type="dxa"/>
            <w:vAlign w:val="bottom"/>
            <w:tcBorders>
              <w:top w:val="single" w:sz="8" w:color="auto"/>
            </w:tcBorders>
            <w:gridSpan w:val="2"/>
            <w:vMerge w:val="restart"/>
          </w:tcPr>
          <w:p>
            <w:pPr>
              <w:jc w:val="right"/>
              <w:ind w:right="30"/>
              <w:spacing w:after="0"/>
              <w:rPr>
                <w:sz w:val="20"/>
                <w:szCs w:val="20"/>
                <w:color w:val="auto"/>
              </w:rPr>
            </w:pPr>
            <w:r>
              <w:rPr>
                <w:rFonts w:ascii="Times New Roman" w:cs="Times New Roman" w:eastAsia="Times New Roman" w:hAnsi="Times New Roman"/>
                <w:sz w:val="14"/>
                <w:szCs w:val="14"/>
                <w:b w:val="1"/>
                <w:bCs w:val="1"/>
                <w:color w:val="auto"/>
              </w:rPr>
              <w:t>​​​</w:t>
            </w:r>
          </w:p>
        </w:tc>
        <w:tc>
          <w:tcPr>
            <w:tcW w:w="860" w:type="dxa"/>
            <w:vAlign w:val="bottom"/>
            <w:tcBorders>
              <w:top w:val="single" w:sz="8" w:color="auto"/>
            </w:tcBorders>
          </w:tcPr>
          <w:p>
            <w:pPr>
              <w:jc w:val="right"/>
              <w:ind w:right="98"/>
              <w:spacing w:after="0" w:line="118" w:lineRule="exact"/>
              <w:rPr>
                <w:sz w:val="20"/>
                <w:szCs w:val="20"/>
                <w:color w:val="auto"/>
              </w:rPr>
            </w:pPr>
            <w:r>
              <w:rPr>
                <w:rFonts w:ascii="Times New Roman" w:cs="Times New Roman" w:eastAsia="Times New Roman" w:hAnsi="Times New Roman"/>
                <w:sz w:val="13"/>
                <w:szCs w:val="13"/>
                <w:b w:val="1"/>
                <w:bCs w:val="1"/>
                <w:color w:val="auto"/>
              </w:rPr>
              <w:t>March 31,</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3"/>
        </w:trPr>
        <w:tc>
          <w:tcPr>
            <w:tcW w:w="67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60" w:type="dxa"/>
            <w:vAlign w:val="bottom"/>
          </w:tcPr>
          <w:p>
            <w:pPr>
              <w:jc w:val="right"/>
              <w:ind w:right="260"/>
              <w:spacing w:after="0"/>
              <w:rPr>
                <w:sz w:val="20"/>
                <w:szCs w:val="20"/>
                <w:color w:val="auto"/>
              </w:rPr>
            </w:pPr>
            <w:r>
              <w:rPr>
                <w:rFonts w:ascii="Times New Roman" w:cs="Times New Roman" w:eastAsia="Times New Roman" w:hAnsi="Times New Roman"/>
                <w:sz w:val="14"/>
                <w:szCs w:val="14"/>
                <w:b w:val="1"/>
                <w:bCs w:val="1"/>
                <w:color w:val="auto"/>
              </w:rPr>
              <w:t>2026</w:t>
            </w:r>
          </w:p>
        </w:tc>
        <w:tc>
          <w:tcPr>
            <w:tcW w:w="40" w:type="dxa"/>
            <w:vAlign w:val="bottom"/>
          </w:tcPr>
          <w:p>
            <w:pPr>
              <w:spacing w:after="0"/>
              <w:rPr>
                <w:sz w:val="15"/>
                <w:szCs w:val="15"/>
                <w:color w:val="auto"/>
              </w:rPr>
            </w:pPr>
          </w:p>
        </w:tc>
        <w:tc>
          <w:tcPr>
            <w:tcW w:w="280" w:type="dxa"/>
            <w:vAlign w:val="bottom"/>
            <w:gridSpan w:val="2"/>
            <w:vMerge w:val="continue"/>
          </w:tcPr>
          <w:p>
            <w:pPr>
              <w:spacing w:after="0"/>
              <w:rPr>
                <w:sz w:val="15"/>
                <w:szCs w:val="15"/>
                <w:color w:val="auto"/>
              </w:rPr>
            </w:pPr>
          </w:p>
        </w:tc>
        <w:tc>
          <w:tcPr>
            <w:tcW w:w="860" w:type="dxa"/>
            <w:vAlign w:val="bottom"/>
          </w:tcPr>
          <w:p>
            <w:pPr>
              <w:jc w:val="right"/>
              <w:ind w:right="258"/>
              <w:spacing w:after="0"/>
              <w:rPr>
                <w:sz w:val="20"/>
                <w:szCs w:val="20"/>
                <w:color w:val="auto"/>
              </w:rPr>
            </w:pPr>
            <w:r>
              <w:rPr>
                <w:rFonts w:ascii="Times New Roman" w:cs="Times New Roman" w:eastAsia="Times New Roman" w:hAnsi="Times New Roman"/>
                <w:sz w:val="14"/>
                <w:szCs w:val="14"/>
                <w:b w:val="1"/>
                <w:bCs w:val="1"/>
                <w:color w:val="auto"/>
              </w:rPr>
              <w:t>2025</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67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Accounts receivable sold</w:t>
            </w: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34,168</w:t>
            </w:r>
          </w:p>
        </w:tc>
        <w:tc>
          <w:tcPr>
            <w:tcW w:w="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28,766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Less factoring fees</w:t>
            </w:r>
          </w:p>
        </w:tc>
        <w:tc>
          <w:tcPr>
            <w:tcW w:w="120" w:type="dxa"/>
            <w:vAlign w:val="bottom"/>
          </w:tcPr>
          <w:p>
            <w:pPr>
              <w:spacing w:after="0"/>
              <w:rPr>
                <w:sz w:val="18"/>
                <w:szCs w:val="18"/>
                <w:color w:val="auto"/>
              </w:rPr>
            </w:pPr>
          </w:p>
        </w:tc>
        <w:tc>
          <w:tcPr>
            <w:tcW w:w="9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(571)</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67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cash proceeds</w:t>
            </w: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33,597</w:t>
            </w:r>
          </w:p>
        </w:tc>
        <w:tc>
          <w:tcPr>
            <w:tcW w:w="4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28,293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7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Recent Accounting Pronouncements</w:t>
      </w:r>
    </w:p>
    <w:p>
      <w:pPr>
        <w:spacing w:after="0" w:line="227" w:lineRule="exact"/>
        <w:rPr>
          <w:sz w:val="20"/>
          <w:szCs w:val="20"/>
          <w:color w:val="auto"/>
        </w:rPr>
      </w:pPr>
    </w:p>
    <w:p>
      <w:pPr>
        <w:ind w:left="60" w:right="199" w:firstLine="324"/>
        <w:spacing w:after="0" w:line="256" w:lineRule="auto"/>
        <w:rPr>
          <w:sz w:val="20"/>
          <w:szCs w:val="20"/>
          <w:color w:val="auto"/>
        </w:rPr>
      </w:pPr>
      <w:r>
        <w:rPr>
          <w:rFonts w:ascii="Times New Roman" w:cs="Times New Roman" w:eastAsia="Times New Roman" w:hAnsi="Times New Roman"/>
          <w:sz w:val="18"/>
          <w:szCs w:val="18"/>
          <w:color w:val="auto"/>
        </w:rPr>
        <w:t xml:space="preserve">In December 2025, the Financial Accounting Standards Board (the "FASB") issued ASU 2025-11, </w:t>
      </w:r>
      <w:r>
        <w:rPr>
          <w:rFonts w:ascii="Times New Roman" w:cs="Times New Roman" w:eastAsia="Times New Roman" w:hAnsi="Times New Roman"/>
          <w:sz w:val="18"/>
          <w:szCs w:val="18"/>
          <w:i w:val="1"/>
          <w:iCs w:val="1"/>
          <w:color w:val="auto"/>
        </w:rPr>
        <w:t>Interim Reporting</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(Topic 270): Narrow-Scope Improvements </w:t>
      </w:r>
      <w:r>
        <w:rPr>
          <w:rFonts w:ascii="Times New Roman" w:cs="Times New Roman" w:eastAsia="Times New Roman" w:hAnsi="Times New Roman"/>
          <w:sz w:val="18"/>
          <w:szCs w:val="18"/>
          <w:color w:val="auto"/>
        </w:rPr>
        <w:t>(“ASU 2025-11”), to improve the navigability of the required interim</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disclosures, to clarify when that guidance is applicable and to enhance disclosure requirements. The amendments add to Topic 270 a principle that requires entities to disclose events since the end of the last annual reporting period that have a material impact on the entity. ASU 2025-11 will be effective for the Company beginning with its 2028 interim and annual financial statements, with early adoption permitted. The Company believes this ASU will have no material impact on its consolidated financial statements.</w:t>
      </w:r>
    </w:p>
    <w:p>
      <w:pPr>
        <w:spacing w:after="0" w:line="183" w:lineRule="exact"/>
        <w:rPr>
          <w:sz w:val="20"/>
          <w:szCs w:val="20"/>
          <w:color w:val="auto"/>
        </w:rPr>
      </w:pPr>
    </w:p>
    <w:p>
      <w:pPr>
        <w:ind w:left="60" w:right="159" w:firstLine="324"/>
        <w:spacing w:after="0" w:line="258" w:lineRule="auto"/>
        <w:rPr>
          <w:sz w:val="20"/>
          <w:szCs w:val="20"/>
          <w:color w:val="auto"/>
        </w:rPr>
      </w:pPr>
      <w:r>
        <w:rPr>
          <w:rFonts w:ascii="Times New Roman" w:cs="Times New Roman" w:eastAsia="Times New Roman" w:hAnsi="Times New Roman"/>
          <w:sz w:val="18"/>
          <w:szCs w:val="18"/>
          <w:color w:val="auto"/>
        </w:rPr>
        <w:t xml:space="preserve">In December 2025, the FASB issued ASU 2025-10, </w:t>
      </w:r>
      <w:r>
        <w:rPr>
          <w:rFonts w:ascii="Times New Roman" w:cs="Times New Roman" w:eastAsia="Times New Roman" w:hAnsi="Times New Roman"/>
          <w:sz w:val="18"/>
          <w:szCs w:val="18"/>
          <w:i w:val="1"/>
          <w:iCs w:val="1"/>
          <w:color w:val="auto"/>
        </w:rPr>
        <w:t>Government Grants (Topic 832): Accounting for Government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Grants Received by Business Entities </w:t>
      </w:r>
      <w:r>
        <w:rPr>
          <w:rFonts w:ascii="Times New Roman" w:cs="Times New Roman" w:eastAsia="Times New Roman" w:hAnsi="Times New Roman"/>
          <w:sz w:val="18"/>
          <w:szCs w:val="18"/>
          <w:color w:val="auto"/>
        </w:rPr>
        <w:t>(“ASU 2025-10”), to clarify the appropriate accounting, reduce diversity in practice,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and increase consistency across business entities. ASU 2025-10 will be effective for us beginning with our 2029 interim and annual financial statements, with early adoption permitted. The Company believes this ASU will have no material impact on its consolidated financial statements.</w:t>
      </w:r>
    </w:p>
    <w:p>
      <w:pPr>
        <w:spacing w:after="0" w:line="183" w:lineRule="exact"/>
        <w:rPr>
          <w:sz w:val="20"/>
          <w:szCs w:val="20"/>
          <w:color w:val="auto"/>
        </w:rPr>
      </w:pPr>
    </w:p>
    <w:p>
      <w:pPr>
        <w:ind w:left="60" w:right="179" w:firstLine="324"/>
        <w:spacing w:after="0" w:line="257" w:lineRule="auto"/>
        <w:rPr>
          <w:sz w:val="20"/>
          <w:szCs w:val="20"/>
          <w:color w:val="auto"/>
        </w:rPr>
      </w:pPr>
      <w:r>
        <w:rPr>
          <w:rFonts w:ascii="Times New Roman" w:cs="Times New Roman" w:eastAsia="Times New Roman" w:hAnsi="Times New Roman"/>
          <w:sz w:val="18"/>
          <w:szCs w:val="18"/>
          <w:color w:val="auto"/>
        </w:rPr>
        <w:t xml:space="preserve">In November 2025, the FASB issued ASU 2025-09, </w:t>
      </w:r>
      <w:r>
        <w:rPr>
          <w:rFonts w:ascii="Times New Roman" w:cs="Times New Roman" w:eastAsia="Times New Roman" w:hAnsi="Times New Roman"/>
          <w:sz w:val="18"/>
          <w:szCs w:val="18"/>
          <w:i w:val="1"/>
          <w:iCs w:val="1"/>
          <w:color w:val="auto"/>
        </w:rPr>
        <w:t>Derivatives and Hedging (Topic 815): Hedge Accounting</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Improvements </w:t>
      </w:r>
      <w:r>
        <w:rPr>
          <w:rFonts w:ascii="Times New Roman" w:cs="Times New Roman" w:eastAsia="Times New Roman" w:hAnsi="Times New Roman"/>
          <w:sz w:val="18"/>
          <w:szCs w:val="18"/>
          <w:color w:val="auto"/>
        </w:rPr>
        <w:t>(“ASU 2025-09”), to enhance hedge accounting guidance and better align it with entities’ risk management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activities. The amendments expand eligibility for hedge accounting, simplify certain requirements, and address issues related to reference rate reform. Key changes include allowing cash flow hedge accounting for “choose-your-rate” debt instruments, introducing a principles-based “similar risk exposure” criterion for grouping forecasted transactions, permitting component hedging for nonfinancial forecasted transactions, and clarifying the</w:t>
      </w:r>
    </w:p>
    <w:p>
      <w:pPr>
        <w:spacing w:after="0" w:line="40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1" w:name="page12"/>
    <w:bookmarkEnd w:id="11"/>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ind w:left="60" w:right="79"/>
        <w:spacing w:after="0" w:line="278" w:lineRule="auto"/>
        <w:rPr>
          <w:sz w:val="20"/>
          <w:szCs w:val="20"/>
          <w:color w:val="auto"/>
        </w:rPr>
      </w:pPr>
      <w:r>
        <w:rPr>
          <w:rFonts w:ascii="Times New Roman" w:cs="Times New Roman" w:eastAsia="Times New Roman" w:hAnsi="Times New Roman"/>
          <w:sz w:val="18"/>
          <w:szCs w:val="18"/>
          <w:b w:val="1"/>
          <w:bCs w:val="1"/>
          <w:color w:val="auto"/>
        </w:rPr>
        <w:t>RIBBON COMMUNICATIONS INC. Notes to Condensed Consolidated Financial Statements (Continued) (unaudited)</w:t>
      </w:r>
    </w:p>
    <w:p>
      <w:pPr>
        <w:spacing w:after="0" w:line="388" w:lineRule="exact"/>
        <w:rPr>
          <w:sz w:val="20"/>
          <w:szCs w:val="20"/>
          <w:color w:val="auto"/>
        </w:rPr>
      </w:pPr>
    </w:p>
    <w:p>
      <w:pPr>
        <w:ind w:left="60" w:right="159"/>
        <w:spacing w:after="0" w:line="266" w:lineRule="auto"/>
        <w:rPr>
          <w:sz w:val="20"/>
          <w:szCs w:val="20"/>
          <w:color w:val="auto"/>
        </w:rPr>
      </w:pPr>
      <w:r>
        <w:rPr>
          <w:rFonts w:ascii="Times New Roman" w:cs="Times New Roman" w:eastAsia="Times New Roman" w:hAnsi="Times New Roman"/>
          <w:sz w:val="18"/>
          <w:szCs w:val="18"/>
          <w:color w:val="auto"/>
        </w:rPr>
        <w:t>treatment of certain derivative structures. ASU 2025-09 will be effective for the Company beginning with its 2027 interim and annual financial statements, with early adoption permitted. The Company is currently evaluating the impact of this accounting standard on its consolidated financial statements and related disclosures.</w:t>
      </w:r>
    </w:p>
    <w:p>
      <w:pPr>
        <w:spacing w:after="0" w:line="174" w:lineRule="exact"/>
        <w:rPr>
          <w:sz w:val="20"/>
          <w:szCs w:val="20"/>
          <w:color w:val="auto"/>
        </w:rPr>
      </w:pPr>
    </w:p>
    <w:p>
      <w:pPr>
        <w:ind w:left="60" w:right="139" w:firstLine="324"/>
        <w:spacing w:after="0" w:line="256" w:lineRule="auto"/>
        <w:rPr>
          <w:sz w:val="20"/>
          <w:szCs w:val="20"/>
          <w:color w:val="auto"/>
        </w:rPr>
      </w:pPr>
      <w:r>
        <w:rPr>
          <w:rFonts w:ascii="Times New Roman" w:cs="Times New Roman" w:eastAsia="Times New Roman" w:hAnsi="Times New Roman"/>
          <w:sz w:val="18"/>
          <w:szCs w:val="18"/>
          <w:color w:val="auto"/>
        </w:rPr>
        <w:t xml:space="preserve">In September 2025, the Financial Accounting Standards Board (the "FASB") issued ASU 2025-06, </w:t>
      </w:r>
      <w:r>
        <w:rPr>
          <w:rFonts w:ascii="Times New Roman" w:cs="Times New Roman" w:eastAsia="Times New Roman" w:hAnsi="Times New Roman"/>
          <w:sz w:val="18"/>
          <w:szCs w:val="18"/>
          <w:i w:val="1"/>
          <w:iCs w:val="1"/>
          <w:color w:val="auto"/>
        </w:rPr>
        <w:t xml:space="preserve">Intangibles-Goodwill and Other- Internal-Use Software (Subtopic 350-40): Targeted Improvements to the Accounting for Internal-Use Software </w:t>
      </w:r>
      <w:r>
        <w:rPr>
          <w:rFonts w:ascii="Times New Roman" w:cs="Times New Roman" w:eastAsia="Times New Roman" w:hAnsi="Times New Roman"/>
          <w:sz w:val="18"/>
          <w:szCs w:val="18"/>
          <w:color w:val="auto"/>
        </w:rPr>
        <w:t>(“ASU 2025-06”). To clarify how the accounting guidance applies to both linear and nonlinear software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development, this standard removes all references to “developments stages” from ASC 350-40. ASU 2025-06 will be effective for the Company beginning with its 2028 interim and annual financial statements, with early adoption permitted as of the beginning of an annual reporting period. The Company is currently evaluating the impact of this accounting standard on its consolidated financial statements and related disclosures.</w:t>
      </w:r>
    </w:p>
    <w:p>
      <w:pPr>
        <w:spacing w:after="0" w:line="183" w:lineRule="exact"/>
        <w:rPr>
          <w:sz w:val="20"/>
          <w:szCs w:val="20"/>
          <w:color w:val="auto"/>
        </w:rPr>
      </w:pPr>
    </w:p>
    <w:p>
      <w:pPr>
        <w:ind w:left="60" w:right="59" w:firstLine="324"/>
        <w:spacing w:after="0" w:line="255" w:lineRule="auto"/>
        <w:rPr>
          <w:sz w:val="20"/>
          <w:szCs w:val="20"/>
          <w:color w:val="auto"/>
        </w:rPr>
      </w:pPr>
      <w:r>
        <w:rPr>
          <w:rFonts w:ascii="Times New Roman" w:cs="Times New Roman" w:eastAsia="Times New Roman" w:hAnsi="Times New Roman"/>
          <w:sz w:val="18"/>
          <w:szCs w:val="18"/>
          <w:color w:val="auto"/>
        </w:rPr>
        <w:t xml:space="preserve">In July 2025, the FASB issued ASU 2025-05, </w:t>
      </w:r>
      <w:r>
        <w:rPr>
          <w:rFonts w:ascii="Times New Roman" w:cs="Times New Roman" w:eastAsia="Times New Roman" w:hAnsi="Times New Roman"/>
          <w:sz w:val="18"/>
          <w:szCs w:val="18"/>
          <w:i w:val="1"/>
          <w:iCs w:val="1"/>
          <w:color w:val="auto"/>
        </w:rPr>
        <w:t>Financial Instruments-Credit Losses (Topic 326): Measurement of</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Credit Losses for Accounts Receivable and Contract Assets </w:t>
      </w:r>
      <w:r>
        <w:rPr>
          <w:rFonts w:ascii="Times New Roman" w:cs="Times New Roman" w:eastAsia="Times New Roman" w:hAnsi="Times New Roman"/>
          <w:sz w:val="18"/>
          <w:szCs w:val="18"/>
          <w:color w:val="auto"/>
        </w:rPr>
        <w:t>(“ASU 2025-05”), which provides a practical expedient related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to the estimation of expected credit losses for current accounts receivable and current contract assets that arise from transactions accounted for under ASC 606. In developing reasonable and supportable forecasts as part of estimating expected credit losses, all entities may elect a practical expedient that assumes that current conditions as of the balance sheet date do not change for the remaining life of the asset. ASU 2025-05 will be effective for the Company beginning with its 2026 interim and annual financial statements, with early adoption permitted. The Company believes this ASU will have no material impact on its consolidated financial statements.</w:t>
      </w:r>
    </w:p>
    <w:p>
      <w:pPr>
        <w:spacing w:after="0" w:line="185" w:lineRule="exact"/>
        <w:rPr>
          <w:sz w:val="20"/>
          <w:szCs w:val="20"/>
          <w:color w:val="auto"/>
        </w:rPr>
      </w:pPr>
    </w:p>
    <w:p>
      <w:pPr>
        <w:ind w:left="60" w:right="79" w:firstLine="324"/>
        <w:spacing w:after="0" w:line="254" w:lineRule="auto"/>
        <w:rPr>
          <w:sz w:val="20"/>
          <w:szCs w:val="20"/>
          <w:color w:val="auto"/>
        </w:rPr>
      </w:pPr>
      <w:r>
        <w:rPr>
          <w:rFonts w:ascii="Times New Roman" w:cs="Times New Roman" w:eastAsia="Times New Roman" w:hAnsi="Times New Roman"/>
          <w:sz w:val="18"/>
          <w:szCs w:val="18"/>
          <w:color w:val="auto"/>
        </w:rPr>
        <w:t xml:space="preserve">In November 2024, the FASB issued ASU 2024-03, </w:t>
      </w:r>
      <w:r>
        <w:rPr>
          <w:rFonts w:ascii="Times New Roman" w:cs="Times New Roman" w:eastAsia="Times New Roman" w:hAnsi="Times New Roman"/>
          <w:sz w:val="18"/>
          <w:szCs w:val="18"/>
          <w:i w:val="1"/>
          <w:iCs w:val="1"/>
          <w:color w:val="auto"/>
        </w:rPr>
        <w:t>Income Statement, Reporting Comprehensive Income: Expense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Disaggregation Disclosures (Subtopic 220-40) </w:t>
      </w:r>
      <w:r>
        <w:rPr>
          <w:rFonts w:ascii="Times New Roman" w:cs="Times New Roman" w:eastAsia="Times New Roman" w:hAnsi="Times New Roman"/>
          <w:sz w:val="18"/>
          <w:szCs w:val="18"/>
          <w:color w:val="auto"/>
        </w:rPr>
        <w:t>(“ASU 2024-03”), which requires disaggregation of certain expense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captions into specified categories in disclosures within the footnotes to the financial statements. The objective of this standard is to provide investors with information to better understand a public entity’s performance and prospects for future cash flows, and to compare its performance over time with that of other entities. ASU 2024-03 will be effective for the Company beginning with our 2027 annual financial statements and interim financial statements thereafter, with early adoption permitted. The adoption of ASU 2024-03 will require the Company to provide new footnote disclosure about the types of expenses that are included in certain captions on its Statements of Operations, such as Cost of revenue, Research and development, Sales and marketing, and General and administrative.</w:t>
      </w:r>
    </w:p>
    <w:p>
      <w:pPr>
        <w:spacing w:after="0" w:line="200" w:lineRule="exact"/>
        <w:rPr>
          <w:sz w:val="20"/>
          <w:szCs w:val="20"/>
          <w:color w:val="auto"/>
        </w:rPr>
      </w:pPr>
    </w:p>
    <w:p>
      <w:pPr>
        <w:spacing w:after="0" w:line="20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(2) EARNINGS (LOSS) PER SHARE</w:t>
      </w:r>
    </w:p>
    <w:p>
      <w:pPr>
        <w:spacing w:after="0" w:line="229" w:lineRule="exact"/>
        <w:rPr>
          <w:sz w:val="20"/>
          <w:szCs w:val="20"/>
          <w:color w:val="auto"/>
        </w:rPr>
      </w:pPr>
    </w:p>
    <w:p>
      <w:pPr>
        <w:ind w:left="60" w:right="199" w:firstLine="324"/>
        <w:spacing w:after="0" w:line="261" w:lineRule="auto"/>
        <w:rPr>
          <w:sz w:val="20"/>
          <w:szCs w:val="20"/>
          <w:color w:val="auto"/>
        </w:rPr>
      </w:pPr>
      <w:r>
        <w:rPr>
          <w:rFonts w:ascii="Times New Roman" w:cs="Times New Roman" w:eastAsia="Times New Roman" w:hAnsi="Times New Roman"/>
          <w:sz w:val="18"/>
          <w:szCs w:val="18"/>
          <w:color w:val="auto"/>
        </w:rPr>
        <w:t>Basic earnings (loss) per share is computed by dividing net income (loss) by the weighted average number of shares outstanding during the period. For periods in which the Company reports net income, diluted net earnings per share is determined by using the weighted average number of common and dilutive common equivalent shares outstanding during the period, unless the effect is antidilutive.</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2" w:name="page13"/>
    <w:bookmarkEnd w:id="12"/>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ind w:left="40" w:right="59"/>
        <w:spacing w:after="0" w:line="278" w:lineRule="auto"/>
        <w:rPr>
          <w:sz w:val="20"/>
          <w:szCs w:val="20"/>
          <w:color w:val="auto"/>
        </w:rPr>
      </w:pPr>
      <w:r>
        <w:rPr>
          <w:rFonts w:ascii="Times New Roman" w:cs="Times New Roman" w:eastAsia="Times New Roman" w:hAnsi="Times New Roman"/>
          <w:sz w:val="18"/>
          <w:szCs w:val="18"/>
          <w:b w:val="1"/>
          <w:bCs w:val="1"/>
          <w:color w:val="auto"/>
        </w:rPr>
        <w:t>RIBBON COMMUNICATIONS INC. Notes to Condensed Consolidated Financial Statements (Continued) (unaudited)</w:t>
      </w:r>
    </w:p>
    <w:p>
      <w:pPr>
        <w:spacing w:after="0" w:line="38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The shares used to compute loss per share were as follows (in thousands):</w:t>
      </w:r>
    </w:p>
    <w:p>
      <w:pPr>
        <w:spacing w:after="0" w:line="232" w:lineRule="exact"/>
        <w:rPr>
          <w:sz w:val="20"/>
          <w:szCs w:val="20"/>
          <w:color w:val="auto"/>
        </w:rPr>
      </w:pPr>
    </w:p>
    <w:tbl>
      <w:tblPr>
        <w:tblLayout w:type="fixed"/>
        <w:tblInd w:w="60" w:type="dxa"/>
        <w:tblCellMar>
          <w:top w:w="0" w:type="dxa"/>
          <w:left w:w="0" w:type="dxa"/>
          <w:bottom w:w="0" w:type="dxa"/>
          <w:right w:w="0" w:type="dxa"/>
        </w:tblCellMar>
      </w:tblPr>
      <w:tr>
        <w:trPr>
          <w:trHeight w:val="173"/>
        </w:trPr>
        <w:tc>
          <w:tcPr>
            <w:tcW w:w="6940" w:type="dxa"/>
            <w:vAlign w:val="bottom"/>
          </w:tcPr>
          <w:p>
            <w:pPr>
              <w:spacing w:after="0"/>
              <w:rPr>
                <w:sz w:val="15"/>
                <w:szCs w:val="15"/>
                <w:color w:val="auto"/>
              </w:rPr>
            </w:pPr>
          </w:p>
        </w:tc>
        <w:tc>
          <w:tcPr>
            <w:tcW w:w="1960" w:type="dxa"/>
            <w:vAlign w:val="bottom"/>
            <w:tcBorders>
              <w:bottom w:val="single" w:sz="8" w:color="auto"/>
            </w:tcBorders>
            <w:gridSpan w:val="3"/>
          </w:tcPr>
          <w:p>
            <w:pPr>
              <w:jc w:val="right"/>
              <w:ind w:right="278"/>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0" w:type="dxa"/>
            <w:vAlign w:val="bottom"/>
          </w:tcPr>
          <w:p>
            <w:pPr>
              <w:spacing w:after="0"/>
              <w:rPr>
                <w:sz w:val="1"/>
                <w:szCs w:val="1"/>
                <w:color w:val="auto"/>
              </w:rPr>
            </w:pPr>
          </w:p>
        </w:tc>
      </w:tr>
      <w:tr>
        <w:trPr>
          <w:trHeight w:val="117"/>
        </w:trPr>
        <w:tc>
          <w:tcPr>
            <w:tcW w:w="6940" w:type="dxa"/>
            <w:vAlign w:val="bottom"/>
          </w:tcPr>
          <w:p>
            <w:pPr>
              <w:spacing w:after="0"/>
              <w:rPr>
                <w:sz w:val="10"/>
                <w:szCs w:val="10"/>
                <w:color w:val="auto"/>
              </w:rPr>
            </w:pPr>
          </w:p>
        </w:tc>
        <w:tc>
          <w:tcPr>
            <w:tcW w:w="860" w:type="dxa"/>
            <w:vAlign w:val="bottom"/>
          </w:tcPr>
          <w:p>
            <w:pPr>
              <w:jc w:val="right"/>
              <w:ind w:right="60"/>
              <w:spacing w:after="0" w:line="118" w:lineRule="exact"/>
              <w:rPr>
                <w:sz w:val="20"/>
                <w:szCs w:val="20"/>
                <w:color w:val="auto"/>
              </w:rPr>
            </w:pPr>
            <w:r>
              <w:rPr>
                <w:rFonts w:ascii="Times New Roman" w:cs="Times New Roman" w:eastAsia="Times New Roman" w:hAnsi="Times New Roman"/>
                <w:sz w:val="13"/>
                <w:szCs w:val="13"/>
                <w:b w:val="1"/>
                <w:bCs w:val="1"/>
                <w:color w:val="auto"/>
              </w:rPr>
              <w:t>March 31,</w:t>
            </w:r>
          </w:p>
        </w:tc>
        <w:tc>
          <w:tcPr>
            <w:tcW w:w="220" w:type="dxa"/>
            <w:vAlign w:val="bottom"/>
            <w:vMerge w:val="restart"/>
          </w:tcPr>
          <w:p>
            <w:pPr>
              <w:ind w:left="100"/>
              <w:spacing w:after="0"/>
              <w:rPr>
                <w:sz w:val="20"/>
                <w:szCs w:val="20"/>
                <w:color w:val="auto"/>
              </w:rPr>
            </w:pPr>
            <w:r>
              <w:rPr>
                <w:rFonts w:ascii="Times New Roman" w:cs="Times New Roman" w:eastAsia="Times New Roman" w:hAnsi="Times New Roman"/>
                <w:sz w:val="14"/>
                <w:szCs w:val="14"/>
                <w:b w:val="1"/>
                <w:bCs w:val="1"/>
                <w:color w:val="auto"/>
              </w:rPr>
              <w:t>​​​</w:t>
            </w:r>
          </w:p>
        </w:tc>
        <w:tc>
          <w:tcPr>
            <w:tcW w:w="880" w:type="dxa"/>
            <w:vAlign w:val="bottom"/>
          </w:tcPr>
          <w:p>
            <w:pPr>
              <w:jc w:val="right"/>
              <w:ind w:right="78"/>
              <w:spacing w:after="0" w:line="118" w:lineRule="exact"/>
              <w:rPr>
                <w:sz w:val="20"/>
                <w:szCs w:val="20"/>
                <w:color w:val="auto"/>
              </w:rPr>
            </w:pPr>
            <w:r>
              <w:rPr>
                <w:rFonts w:ascii="Times New Roman" w:cs="Times New Roman" w:eastAsia="Times New Roman" w:hAnsi="Times New Roman"/>
                <w:sz w:val="13"/>
                <w:szCs w:val="13"/>
                <w:b w:val="1"/>
                <w:bCs w:val="1"/>
                <w:color w:val="auto"/>
              </w:rPr>
              <w:t>March 31,</w:t>
            </w:r>
          </w:p>
        </w:tc>
        <w:tc>
          <w:tcPr>
            <w:tcW w:w="0" w:type="dxa"/>
            <w:vAlign w:val="bottom"/>
          </w:tcPr>
          <w:p>
            <w:pPr>
              <w:spacing w:after="0"/>
              <w:rPr>
                <w:sz w:val="1"/>
                <w:szCs w:val="1"/>
                <w:color w:val="auto"/>
              </w:rPr>
            </w:pPr>
          </w:p>
        </w:tc>
      </w:tr>
      <w:tr>
        <w:trPr>
          <w:trHeight w:val="173"/>
        </w:trPr>
        <w:tc>
          <w:tcPr>
            <w:tcW w:w="6940" w:type="dxa"/>
            <w:vAlign w:val="bottom"/>
            <w:tcBorders>
              <w:bottom w:val="single" w:sz="8" w:color="CCEEFF"/>
            </w:tcBorders>
          </w:tcPr>
          <w:p>
            <w:pPr>
              <w:spacing w:after="0"/>
              <w:rPr>
                <w:sz w:val="15"/>
                <w:szCs w:val="15"/>
                <w:color w:val="auto"/>
              </w:rPr>
            </w:pPr>
          </w:p>
        </w:tc>
        <w:tc>
          <w:tcPr>
            <w:tcW w:w="860" w:type="dxa"/>
            <w:vAlign w:val="bottom"/>
            <w:tcBorders>
              <w:bottom w:val="single" w:sz="8" w:color="auto"/>
            </w:tcBorders>
          </w:tcPr>
          <w:p>
            <w:pPr>
              <w:jc w:val="right"/>
              <w:ind w:right="200"/>
              <w:spacing w:after="0"/>
              <w:rPr>
                <w:sz w:val="20"/>
                <w:szCs w:val="20"/>
                <w:color w:val="auto"/>
              </w:rPr>
            </w:pPr>
            <w:r>
              <w:rPr>
                <w:rFonts w:ascii="Times New Roman" w:cs="Times New Roman" w:eastAsia="Times New Roman" w:hAnsi="Times New Roman"/>
                <w:sz w:val="14"/>
                <w:szCs w:val="14"/>
                <w:b w:val="1"/>
                <w:bCs w:val="1"/>
                <w:color w:val="auto"/>
              </w:rPr>
              <w:t>2026</w:t>
            </w:r>
          </w:p>
        </w:tc>
        <w:tc>
          <w:tcPr>
            <w:tcW w:w="220" w:type="dxa"/>
            <w:vAlign w:val="bottom"/>
            <w:tcBorders>
              <w:bottom w:val="single" w:sz="8" w:color="CCEEFF"/>
            </w:tcBorders>
            <w:vMerge w:val="continue"/>
          </w:tcPr>
          <w:p>
            <w:pPr>
              <w:spacing w:after="0"/>
              <w:rPr>
                <w:sz w:val="15"/>
                <w:szCs w:val="15"/>
                <w:color w:val="auto"/>
              </w:rPr>
            </w:pPr>
          </w:p>
        </w:tc>
        <w:tc>
          <w:tcPr>
            <w:tcW w:w="880" w:type="dxa"/>
            <w:vAlign w:val="bottom"/>
            <w:tcBorders>
              <w:bottom w:val="single" w:sz="8" w:color="auto"/>
            </w:tcBorders>
          </w:tcPr>
          <w:p>
            <w:pPr>
              <w:jc w:val="right"/>
              <w:ind w:right="218"/>
              <w:spacing w:after="0"/>
              <w:rPr>
                <w:sz w:val="20"/>
                <w:szCs w:val="20"/>
                <w:color w:val="auto"/>
              </w:rPr>
            </w:pPr>
            <w:r>
              <w:rPr>
                <w:rFonts w:ascii="Times New Roman" w:cs="Times New Roman" w:eastAsia="Times New Roman" w:hAnsi="Times New Roman"/>
                <w:sz w:val="14"/>
                <w:szCs w:val="14"/>
                <w:b w:val="1"/>
                <w:bCs w:val="1"/>
                <w:color w:val="auto"/>
              </w:rPr>
              <w:t>2025</w:t>
            </w:r>
          </w:p>
        </w:tc>
        <w:tc>
          <w:tcPr>
            <w:tcW w:w="0" w:type="dxa"/>
            <w:vAlign w:val="bottom"/>
          </w:tcPr>
          <w:p>
            <w:pPr>
              <w:spacing w:after="0"/>
              <w:rPr>
                <w:sz w:val="1"/>
                <w:szCs w:val="1"/>
                <w:color w:val="auto"/>
              </w:rPr>
            </w:pPr>
          </w:p>
        </w:tc>
      </w:tr>
      <w:tr>
        <w:trPr>
          <w:trHeight w:val="210"/>
        </w:trPr>
        <w:tc>
          <w:tcPr>
            <w:tcW w:w="6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Weighted average shares outstanding—basic</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175,661</w:t>
            </w: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175,719</w:t>
            </w:r>
          </w:p>
        </w:tc>
        <w:tc>
          <w:tcPr>
            <w:tcW w:w="0" w:type="dxa"/>
            <w:vAlign w:val="bottom"/>
          </w:tcPr>
          <w:p>
            <w:pPr>
              <w:spacing w:after="0"/>
              <w:rPr>
                <w:sz w:val="1"/>
                <w:szCs w:val="1"/>
                <w:color w:val="auto"/>
              </w:rPr>
            </w:pPr>
          </w:p>
        </w:tc>
      </w:tr>
      <w:tr>
        <w:trPr>
          <w:trHeight w:val="216"/>
        </w:trPr>
        <w:tc>
          <w:tcPr>
            <w:tcW w:w="69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Potential dilutive common shares</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CEEFF"/>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9"/>
        </w:trPr>
        <w:tc>
          <w:tcPr>
            <w:tcW w:w="69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Weighted average shares outstanding—diluted</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175,661</w:t>
            </w:r>
          </w:p>
        </w:tc>
        <w:tc>
          <w:tcPr>
            <w:tcW w:w="220" w:type="dxa"/>
            <w:vAlign w:val="bottom"/>
            <w:tcBorders>
              <w:bottom w:val="single" w:sz="8" w:color="CCEEFF"/>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175,719</w:t>
            </w:r>
          </w:p>
        </w:tc>
        <w:tc>
          <w:tcPr>
            <w:tcW w:w="0" w:type="dxa"/>
            <w:vAlign w:val="bottom"/>
          </w:tcPr>
          <w:p>
            <w:pPr>
              <w:spacing w:after="0"/>
              <w:rPr>
                <w:sz w:val="1"/>
                <w:szCs w:val="1"/>
                <w:color w:val="auto"/>
              </w:rPr>
            </w:pPr>
          </w:p>
        </w:tc>
      </w:tr>
      <w:tr>
        <w:trPr>
          <w:trHeight w:val="20"/>
        </w:trPr>
        <w:tc>
          <w:tcPr>
            <w:tcW w:w="694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left="60" w:right="179" w:firstLine="324"/>
        <w:spacing w:after="0" w:line="266" w:lineRule="auto"/>
        <w:rPr>
          <w:sz w:val="20"/>
          <w:szCs w:val="20"/>
          <w:color w:val="auto"/>
        </w:rPr>
      </w:pPr>
      <w:r>
        <w:rPr>
          <w:rFonts w:ascii="Times New Roman" w:cs="Times New Roman" w:eastAsia="Times New Roman" w:hAnsi="Times New Roman"/>
          <w:sz w:val="18"/>
          <w:szCs w:val="18"/>
          <w:color w:val="auto"/>
        </w:rPr>
        <w:t>Options to purchase the Company’s common stock and unvested restricted and performance-based stock units aggregating 14.7 million and 6.8 million shares were excluded from the computation of diluted loss per share for the three months ended March 31, 2026 and 2025, respectively, because their effect would have been antidilutive.</w:t>
      </w:r>
    </w:p>
    <w:p>
      <w:pPr>
        <w:spacing w:after="0" w:line="176" w:lineRule="exact"/>
        <w:rPr>
          <w:sz w:val="20"/>
          <w:szCs w:val="20"/>
          <w:color w:val="auto"/>
        </w:rPr>
      </w:pPr>
    </w:p>
    <w:p>
      <w:pPr>
        <w:ind w:left="60" w:right="299" w:firstLine="324"/>
        <w:spacing w:after="0" w:line="261" w:lineRule="auto"/>
        <w:rPr>
          <w:sz w:val="20"/>
          <w:szCs w:val="20"/>
          <w:color w:val="auto"/>
        </w:rPr>
      </w:pPr>
      <w:r>
        <w:rPr>
          <w:rFonts w:ascii="Times New Roman" w:cs="Times New Roman" w:eastAsia="Times New Roman" w:hAnsi="Times New Roman"/>
          <w:sz w:val="18"/>
          <w:szCs w:val="18"/>
          <w:color w:val="auto"/>
        </w:rPr>
        <w:t>In connection with a private placement completed in March 2023, the Company issued warrants that remain outstanding following the June 2024 redemption of the related preferred stock. No warrant exercises occurred during the three months ended March 31, 2026. In the three months ended March 31, 2025, holders exercised 0.2 million warrants, and the remaining warrants continue to be outstanding without modification (See Note 11).</w:t>
      </w:r>
    </w:p>
    <w:p>
      <w:pPr>
        <w:spacing w:after="0" w:line="180" w:lineRule="exact"/>
        <w:rPr>
          <w:sz w:val="20"/>
          <w:szCs w:val="20"/>
          <w:color w:val="auto"/>
        </w:rPr>
      </w:pPr>
    </w:p>
    <w:p>
      <w:pPr>
        <w:ind w:left="60" w:right="159" w:firstLine="324"/>
        <w:spacing w:after="0" w:line="256" w:lineRule="auto"/>
        <w:rPr>
          <w:sz w:val="20"/>
          <w:szCs w:val="20"/>
          <w:color w:val="auto"/>
        </w:rPr>
      </w:pPr>
      <w:r>
        <w:rPr>
          <w:rFonts w:ascii="Times New Roman" w:cs="Times New Roman" w:eastAsia="Times New Roman" w:hAnsi="Times New Roman"/>
          <w:sz w:val="18"/>
          <w:szCs w:val="18"/>
          <w:color w:val="auto"/>
        </w:rPr>
        <w:t>The potential number of dilutive shares from the warrants outstanding totaled 4.7 million shares as of March 31, 2026 and 2025, respectively. There was no impact on weighted average shares outstanding from these warrants for the three months ended March 31, 2026 as the average market price of the Company’s common stock was below the exercise price of $3.77 per share and their effect would have been antidilutive. For the three months ended March 31, 2025, 0.5 million warrants would have been included in the calculation of diluted loss per share but had no impact due to the Company’s net loss position.</w:t>
      </w:r>
    </w:p>
    <w:p>
      <w:pPr>
        <w:spacing w:after="0" w:line="18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(3) INVENTORY</w:t>
      </w:r>
    </w:p>
    <w:p>
      <w:pPr>
        <w:spacing w:after="0" w:line="22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Inventory at March 31, 2026 and December 31, 2025 consisted of the following (in thousands):</w:t>
      </w:r>
    </w:p>
    <w:p>
      <w:pPr>
        <w:spacing w:after="0" w:line="220"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4040" w:type="dxa"/>
            <w:vAlign w:val="bottom"/>
          </w:tcPr>
          <w:p>
            <w:pPr>
              <w:spacing w:after="0"/>
              <w:rPr>
                <w:sz w:val="13"/>
                <w:szCs w:val="13"/>
                <w:color w:val="auto"/>
              </w:rPr>
            </w:pPr>
          </w:p>
        </w:tc>
        <w:tc>
          <w:tcPr>
            <w:tcW w:w="27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0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160" w:type="dxa"/>
            <w:vAlign w:val="bottom"/>
          </w:tcPr>
          <w:p>
            <w:pPr>
              <w:spacing w:after="0"/>
              <w:rPr>
                <w:sz w:val="13"/>
                <w:szCs w:val="13"/>
                <w:color w:val="auto"/>
              </w:rPr>
            </w:pPr>
          </w:p>
        </w:tc>
        <w:tc>
          <w:tcPr>
            <w:tcW w:w="1000" w:type="dxa"/>
            <w:vAlign w:val="bottom"/>
            <w:gridSpan w:val="3"/>
          </w:tcPr>
          <w:p>
            <w:pPr>
              <w:ind w:left="6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73"/>
        </w:trPr>
        <w:tc>
          <w:tcPr>
            <w:tcW w:w="4040" w:type="dxa"/>
            <w:vAlign w:val="bottom"/>
          </w:tcPr>
          <w:p>
            <w:pPr>
              <w:spacing w:after="0"/>
              <w:rPr>
                <w:sz w:val="15"/>
                <w:szCs w:val="15"/>
                <w:color w:val="auto"/>
              </w:rPr>
            </w:pPr>
          </w:p>
        </w:tc>
        <w:tc>
          <w:tcPr>
            <w:tcW w:w="27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60" w:type="dxa"/>
            <w:vAlign w:val="bottom"/>
          </w:tcPr>
          <w:p>
            <w:pPr>
              <w:jc w:val="right"/>
              <w:ind w:right="255"/>
              <w:spacing w:after="0"/>
              <w:rPr>
                <w:sz w:val="20"/>
                <w:szCs w:val="20"/>
                <w:color w:val="auto"/>
              </w:rPr>
            </w:pPr>
            <w:r>
              <w:rPr>
                <w:rFonts w:ascii="Times New Roman" w:cs="Times New Roman" w:eastAsia="Times New Roman" w:hAnsi="Times New Roman"/>
                <w:sz w:val="14"/>
                <w:szCs w:val="14"/>
                <w:b w:val="1"/>
                <w:bCs w:val="1"/>
                <w:color w:val="auto"/>
              </w:rPr>
              <w:t>2026</w:t>
            </w:r>
          </w:p>
        </w:tc>
        <w:tc>
          <w:tcPr>
            <w:tcW w:w="40" w:type="dxa"/>
            <w:vAlign w:val="bottom"/>
          </w:tcPr>
          <w:p>
            <w:pPr>
              <w:spacing w:after="0"/>
              <w:rPr>
                <w:sz w:val="15"/>
                <w:szCs w:val="15"/>
                <w:color w:val="auto"/>
              </w:rPr>
            </w:pPr>
          </w:p>
        </w:tc>
        <w:tc>
          <w:tcPr>
            <w:tcW w:w="380" w:type="dxa"/>
            <w:vAlign w:val="bottom"/>
            <w:gridSpan w:val="2"/>
          </w:tcPr>
          <w:p>
            <w:pPr>
              <w:jc w:val="right"/>
              <w:ind w:right="136"/>
              <w:spacing w:after="0"/>
              <w:rPr>
                <w:sz w:val="20"/>
                <w:szCs w:val="20"/>
                <w:color w:val="auto"/>
              </w:rPr>
            </w:pPr>
            <w:r>
              <w:rPr>
                <w:rFonts w:ascii="Times New Roman" w:cs="Times New Roman" w:eastAsia="Times New Roman" w:hAnsi="Times New Roman"/>
                <w:sz w:val="14"/>
                <w:szCs w:val="14"/>
                <w:b w:val="1"/>
                <w:bCs w:val="1"/>
                <w:color w:val="auto"/>
              </w:rPr>
              <w:t>​​​</w:t>
            </w:r>
          </w:p>
        </w:tc>
        <w:tc>
          <w:tcPr>
            <w:tcW w:w="760" w:type="dxa"/>
            <w:vAlign w:val="bottom"/>
          </w:tcPr>
          <w:p>
            <w:pPr>
              <w:jc w:val="right"/>
              <w:ind w:right="253"/>
              <w:spacing w:after="0"/>
              <w:rPr>
                <w:sz w:val="20"/>
                <w:szCs w:val="20"/>
                <w:color w:val="auto"/>
              </w:rPr>
            </w:pPr>
            <w:r>
              <w:rPr>
                <w:rFonts w:ascii="Times New Roman" w:cs="Times New Roman" w:eastAsia="Times New Roman" w:hAnsi="Times New Roman"/>
                <w:sz w:val="14"/>
                <w:szCs w:val="14"/>
                <w:b w:val="1"/>
                <w:bCs w:val="1"/>
                <w:color w:val="auto"/>
              </w:rPr>
              <w:t>2025</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40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On-hand assemblies and finished goods inventories</w:t>
            </w:r>
          </w:p>
        </w:tc>
        <w:tc>
          <w:tcPr>
            <w:tcW w:w="27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97,796</w:t>
            </w:r>
          </w:p>
        </w:tc>
        <w:tc>
          <w:tcPr>
            <w:tcW w:w="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36"/>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92,981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Deferred cost of goods sold</w:t>
            </w:r>
          </w:p>
        </w:tc>
        <w:tc>
          <w:tcPr>
            <w:tcW w:w="27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1,945</w:t>
            </w:r>
          </w:p>
        </w:tc>
        <w:tc>
          <w:tcPr>
            <w:tcW w:w="40" w:type="dxa"/>
            <w:vAlign w:val="bottom"/>
            <w:tcBorders>
              <w:bottom w:val="single" w:sz="8" w:color="CCEEFF"/>
            </w:tcBorders>
          </w:tcPr>
          <w:p>
            <w:pPr>
              <w:spacing w:after="0"/>
              <w:rPr>
                <w:sz w:val="18"/>
                <w:szCs w:val="18"/>
                <w:color w:val="auto"/>
              </w:rPr>
            </w:pPr>
          </w:p>
        </w:tc>
        <w:tc>
          <w:tcPr>
            <w:tcW w:w="16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2,421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040" w:type="dxa"/>
            <w:vAlign w:val="bottom"/>
            <w:shd w:val="clear" w:color="auto" w:fill="CCEEFF"/>
          </w:tcPr>
          <w:p>
            <w:pPr>
              <w:spacing w:after="0"/>
              <w:rPr>
                <w:sz w:val="18"/>
                <w:szCs w:val="18"/>
                <w:color w:val="auto"/>
              </w:rPr>
            </w:pPr>
          </w:p>
        </w:tc>
        <w:tc>
          <w:tcPr>
            <w:tcW w:w="27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99,741</w:t>
            </w: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95,402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Less noncurrent portion (included in Other assets)</w:t>
            </w:r>
          </w:p>
        </w:tc>
        <w:tc>
          <w:tcPr>
            <w:tcW w:w="2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(18,278)</w:t>
            </w: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(16,596)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0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Current portion</w:t>
            </w:r>
          </w:p>
        </w:tc>
        <w:tc>
          <w:tcPr>
            <w:tcW w:w="270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81,463</w:t>
            </w:r>
          </w:p>
        </w:tc>
        <w:tc>
          <w:tcPr>
            <w:tcW w:w="4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jc w:val="right"/>
              <w:ind w:right="36"/>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78,806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040" w:type="dxa"/>
            <w:vAlign w:val="bottom"/>
          </w:tcPr>
          <w:p>
            <w:pPr>
              <w:spacing w:after="0" w:line="20" w:lineRule="exact"/>
              <w:rPr>
                <w:sz w:val="1"/>
                <w:szCs w:val="1"/>
                <w:color w:val="auto"/>
              </w:rPr>
            </w:pPr>
          </w:p>
        </w:tc>
        <w:tc>
          <w:tcPr>
            <w:tcW w:w="2700" w:type="dxa"/>
            <w:vAlign w:val="bottom"/>
            <w:vMerge w:val="restart"/>
          </w:tcPr>
          <w:p>
            <w:pPr>
              <w:jc w:val="right"/>
              <w:ind w:right="2090"/>
              <w:spacing w:after="0"/>
              <w:rPr>
                <w:sz w:val="20"/>
                <w:szCs w:val="20"/>
                <w:color w:val="auto"/>
              </w:rPr>
            </w:pPr>
            <w:r>
              <w:rPr>
                <w:rFonts w:ascii="Times New Roman" w:cs="Times New Roman" w:eastAsia="Times New Roman" w:hAnsi="Times New Roman"/>
                <w:sz w:val="18"/>
                <w:szCs w:val="18"/>
                <w:color w:val="auto"/>
              </w:rPr>
              <w:t>13</w:t>
            </w:r>
          </w:p>
        </w:tc>
        <w:tc>
          <w:tcPr>
            <w:tcW w:w="1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72"/>
        </w:trPr>
        <w:tc>
          <w:tcPr>
            <w:tcW w:w="4040" w:type="dxa"/>
            <w:vAlign w:val="bottom"/>
          </w:tcPr>
          <w:p>
            <w:pPr>
              <w:spacing w:after="0"/>
              <w:rPr>
                <w:sz w:val="24"/>
                <w:szCs w:val="24"/>
                <w:color w:val="auto"/>
              </w:rPr>
            </w:pPr>
          </w:p>
        </w:tc>
        <w:tc>
          <w:tcPr>
            <w:tcW w:w="2700" w:type="dxa"/>
            <w:vAlign w:val="bottom"/>
            <w:vMerge w:val="continue"/>
          </w:tcPr>
          <w:p>
            <w:pPr>
              <w:spacing w:after="0"/>
              <w:rPr>
                <w:sz w:val="24"/>
                <w:szCs w:val="24"/>
                <w:color w:val="auto"/>
              </w:rPr>
            </w:pPr>
          </w:p>
        </w:tc>
        <w:tc>
          <w:tcPr>
            <w:tcW w:w="1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47"/>
        </w:trPr>
        <w:tc>
          <w:tcPr>
            <w:tcW w:w="4040" w:type="dxa"/>
            <w:vAlign w:val="bottom"/>
            <w:tcBorders>
              <w:bottom w:val="single" w:sz="8" w:color="auto"/>
            </w:tcBorders>
          </w:tcPr>
          <w:p>
            <w:pPr>
              <w:spacing w:after="0"/>
              <w:rPr>
                <w:sz w:val="24"/>
                <w:szCs w:val="24"/>
                <w:color w:val="auto"/>
              </w:rPr>
            </w:pPr>
          </w:p>
        </w:tc>
        <w:tc>
          <w:tcPr>
            <w:tcW w:w="27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513" w:right="1440" w:bottom="1440" w:gutter="0" w:footer="0" w:header="0"/>
        </w:sectPr>
      </w:pPr>
    </w:p>
    <w:bookmarkStart w:id="13" w:name="page14"/>
    <w:bookmarkEnd w:id="13"/>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ind w:left="40" w:right="59"/>
        <w:spacing w:after="0" w:line="278" w:lineRule="auto"/>
        <w:rPr>
          <w:sz w:val="20"/>
          <w:szCs w:val="20"/>
          <w:color w:val="auto"/>
        </w:rPr>
      </w:pPr>
      <w:r>
        <w:rPr>
          <w:rFonts w:ascii="Times New Roman" w:cs="Times New Roman" w:eastAsia="Times New Roman" w:hAnsi="Times New Roman"/>
          <w:sz w:val="18"/>
          <w:szCs w:val="18"/>
          <w:b w:val="1"/>
          <w:bCs w:val="1"/>
          <w:color w:val="auto"/>
        </w:rPr>
        <w:t>RIBBON COMMUNICATIONS INC. Notes to Condensed Consolidated Financial Statements (Continued) (unaudited)</w:t>
      </w:r>
    </w:p>
    <w:p>
      <w:pPr>
        <w:spacing w:after="0" w:line="38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(4) INTANGIBLE ASSETS AND GOODWILL</w:t>
      </w:r>
    </w:p>
    <w:p>
      <w:pPr>
        <w:spacing w:after="0" w:line="22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The Company’s intangible assets at March 31, 2026 and December 31, 2025 consisted of the following (in thousands):</w:t>
      </w:r>
    </w:p>
    <w:p>
      <w:pPr>
        <w:spacing w:after="0" w:line="233"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5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w:t>
            </w:r>
          </w:p>
        </w:tc>
        <w:tc>
          <w:tcPr>
            <w:tcW w:w="76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6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average</w:t>
            </w: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20" w:type="dxa"/>
            <w:vAlign w:val="bottom"/>
            <w:gridSpan w:val="3"/>
          </w:tcPr>
          <w:p>
            <w:pPr>
              <w:jc w:val="center"/>
              <w:ind w:right="20"/>
              <w:spacing w:after="0" w:line="149" w:lineRule="exact"/>
              <w:rPr>
                <w:sz w:val="20"/>
                <w:szCs w:val="20"/>
                <w:color w:val="auto"/>
              </w:rPr>
            </w:pPr>
            <w:r>
              <w:rPr>
                <w:rFonts w:ascii="Times New Roman" w:cs="Times New Roman" w:eastAsia="Times New Roman" w:hAnsi="Times New Roman"/>
                <w:sz w:val="14"/>
                <w:szCs w:val="14"/>
                <w:b w:val="1"/>
                <w:bCs w:val="1"/>
                <w:color w:val="auto"/>
              </w:rPr>
              <w:t>amortization</w:t>
            </w:r>
          </w:p>
        </w:tc>
        <w:tc>
          <w:tcPr>
            <w:tcW w:w="920" w:type="dxa"/>
            <w:vAlign w:val="bottom"/>
            <w:gridSpan w:val="4"/>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w:t>
            </w:r>
          </w:p>
        </w:tc>
        <w:tc>
          <w:tcPr>
            <w:tcW w:w="960" w:type="dxa"/>
            <w:vAlign w:val="bottom"/>
            <w:gridSpan w:val="4"/>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260" w:type="dxa"/>
            <w:vAlign w:val="bottom"/>
            <w:gridSpan w:val="3"/>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680" w:type="dxa"/>
            <w:vAlign w:val="bottom"/>
            <w:gridSpan w:val="2"/>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w w:val="95"/>
              </w:rPr>
              <w:t>Net</w:t>
            </w:r>
          </w:p>
        </w:tc>
        <w:tc>
          <w:tcPr>
            <w:tcW w:w="0" w:type="dxa"/>
            <w:vAlign w:val="bottom"/>
          </w:tcPr>
          <w:p>
            <w:pPr>
              <w:spacing w:after="0"/>
              <w:rPr>
                <w:sz w:val="1"/>
                <w:szCs w:val="1"/>
                <w:color w:val="auto"/>
              </w:rPr>
            </w:pPr>
          </w:p>
        </w:tc>
      </w:tr>
      <w:tr>
        <w:trPr>
          <w:trHeight w:val="148"/>
        </w:trPr>
        <w:tc>
          <w:tcPr>
            <w:tcW w:w="5140" w:type="dxa"/>
            <w:vAlign w:val="bottom"/>
            <w:gridSpan w:val="3"/>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March 31, 2026</w:t>
            </w:r>
          </w:p>
        </w:tc>
        <w:tc>
          <w:tcPr>
            <w:tcW w:w="200" w:type="dxa"/>
            <w:vAlign w:val="bottom"/>
            <w:gridSpan w:val="2"/>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w:t>
            </w:r>
          </w:p>
        </w:tc>
        <w:tc>
          <w:tcPr>
            <w:tcW w:w="760" w:type="dxa"/>
            <w:vAlign w:val="bottom"/>
            <w:gridSpan w:val="2"/>
          </w:tcPr>
          <w:p>
            <w:pPr>
              <w:jc w:val="center"/>
              <w:ind w:right="80"/>
              <w:spacing w:after="0" w:line="149" w:lineRule="exact"/>
              <w:rPr>
                <w:sz w:val="20"/>
                <w:szCs w:val="20"/>
                <w:color w:val="auto"/>
              </w:rPr>
            </w:pPr>
            <w:r>
              <w:rPr>
                <w:rFonts w:ascii="Times New Roman" w:cs="Times New Roman" w:eastAsia="Times New Roman" w:hAnsi="Times New Roman"/>
                <w:sz w:val="14"/>
                <w:szCs w:val="14"/>
                <w:b w:val="1"/>
                <w:bCs w:val="1"/>
                <w:color w:val="auto"/>
              </w:rPr>
              <w:t>period</w:t>
            </w:r>
          </w:p>
        </w:tc>
        <w:tc>
          <w:tcPr>
            <w:tcW w:w="920" w:type="dxa"/>
            <w:vAlign w:val="bottom"/>
            <w:gridSpan w:val="4"/>
            <w:vMerge w:val="continue"/>
          </w:tcPr>
          <w:p>
            <w:pPr>
              <w:spacing w:after="0"/>
              <w:rPr>
                <w:sz w:val="12"/>
                <w:szCs w:val="12"/>
                <w:color w:val="auto"/>
              </w:rPr>
            </w:pPr>
          </w:p>
        </w:tc>
        <w:tc>
          <w:tcPr>
            <w:tcW w:w="960" w:type="dxa"/>
            <w:vAlign w:val="bottom"/>
            <w:gridSpan w:val="4"/>
            <w:vMerge w:val="continue"/>
          </w:tcPr>
          <w:p>
            <w:pPr>
              <w:spacing w:after="0"/>
              <w:rPr>
                <w:sz w:val="12"/>
                <w:szCs w:val="12"/>
                <w:color w:val="auto"/>
              </w:rPr>
            </w:pPr>
          </w:p>
        </w:tc>
        <w:tc>
          <w:tcPr>
            <w:tcW w:w="260" w:type="dxa"/>
            <w:vAlign w:val="bottom"/>
            <w:gridSpan w:val="3"/>
            <w:vMerge w:val="continue"/>
          </w:tcPr>
          <w:p>
            <w:pPr>
              <w:spacing w:after="0"/>
              <w:rPr>
                <w:sz w:val="12"/>
                <w:szCs w:val="12"/>
                <w:color w:val="auto"/>
              </w:rPr>
            </w:pPr>
          </w:p>
        </w:tc>
        <w:tc>
          <w:tcPr>
            <w:tcW w:w="680" w:type="dxa"/>
            <w:vAlign w:val="bottom"/>
            <w:gridSpan w:val="2"/>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carrying</w:t>
            </w:r>
          </w:p>
        </w:tc>
        <w:tc>
          <w:tcPr>
            <w:tcW w:w="0" w:type="dxa"/>
            <w:vAlign w:val="bottom"/>
          </w:tcPr>
          <w:p>
            <w:pPr>
              <w:spacing w:after="0"/>
              <w:rPr>
                <w:sz w:val="1"/>
                <w:szCs w:val="1"/>
                <w:color w:val="auto"/>
              </w:rPr>
            </w:pPr>
          </w:p>
        </w:tc>
      </w:tr>
      <w:tr>
        <w:trPr>
          <w:trHeight w:val="173"/>
        </w:trPr>
        <w:tc>
          <w:tcPr>
            <w:tcW w:w="5140" w:type="dxa"/>
            <w:vAlign w:val="bottom"/>
            <w:gridSpan w:val="3"/>
            <w:vMerge w:val="continue"/>
          </w:tcPr>
          <w:p>
            <w:pPr>
              <w:spacing w:after="0"/>
              <w:rPr>
                <w:sz w:val="15"/>
                <w:szCs w:val="15"/>
                <w:color w:val="auto"/>
              </w:rPr>
            </w:pPr>
          </w:p>
        </w:tc>
        <w:tc>
          <w:tcPr>
            <w:tcW w:w="200" w:type="dxa"/>
            <w:vAlign w:val="bottom"/>
            <w:gridSpan w:val="2"/>
            <w:vMerge w:val="continue"/>
          </w:tcPr>
          <w:p>
            <w:pPr>
              <w:spacing w:after="0"/>
              <w:rPr>
                <w:sz w:val="15"/>
                <w:szCs w:val="15"/>
                <w:color w:val="auto"/>
              </w:rPr>
            </w:pPr>
          </w:p>
        </w:tc>
        <w:tc>
          <w:tcPr>
            <w:tcW w:w="76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(years)</w:t>
            </w: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780" w:type="dxa"/>
            <w:vAlign w:val="bottom"/>
            <w:gridSpan w:val="2"/>
          </w:tcPr>
          <w:p>
            <w:pPr>
              <w:ind w:left="240"/>
              <w:spacing w:after="0"/>
              <w:rPr>
                <w:sz w:val="20"/>
                <w:szCs w:val="20"/>
                <w:color w:val="auto"/>
              </w:rPr>
            </w:pPr>
            <w:r>
              <w:rPr>
                <w:rFonts w:ascii="Times New Roman" w:cs="Times New Roman" w:eastAsia="Times New Roman" w:hAnsi="Times New Roman"/>
                <w:sz w:val="14"/>
                <w:szCs w:val="14"/>
                <w:b w:val="1"/>
                <w:bCs w:val="1"/>
                <w:color w:val="auto"/>
              </w:rPr>
              <w:t>Cost</w:t>
            </w:r>
          </w:p>
        </w:tc>
        <w:tc>
          <w:tcPr>
            <w:tcW w:w="960" w:type="dxa"/>
            <w:vAlign w:val="bottom"/>
            <w:gridSpan w:val="4"/>
          </w:tcPr>
          <w:p>
            <w:pPr>
              <w:ind w:left="60"/>
              <w:spacing w:after="0"/>
              <w:rPr>
                <w:sz w:val="20"/>
                <w:szCs w:val="20"/>
                <w:color w:val="auto"/>
              </w:rPr>
            </w:pPr>
            <w:r>
              <w:rPr>
                <w:rFonts w:ascii="Times New Roman" w:cs="Times New Roman" w:eastAsia="Times New Roman" w:hAnsi="Times New Roman"/>
                <w:sz w:val="14"/>
                <w:szCs w:val="14"/>
                <w:b w:val="1"/>
                <w:bCs w:val="1"/>
                <w:color w:val="auto"/>
              </w:rPr>
              <w:t>​​​amortization</w:t>
            </w:r>
          </w:p>
        </w:tc>
        <w:tc>
          <w:tcPr>
            <w:tcW w:w="26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68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value</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120" w:type="dxa"/>
            <w:vAlign w:val="bottom"/>
            <w:tcBorders>
              <w:top w:val="single" w:sz="8" w:color="auto"/>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Developed technology</w:t>
            </w:r>
          </w:p>
        </w:tc>
        <w:tc>
          <w:tcPr>
            <w:tcW w:w="14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7.84</w:t>
            </w:r>
          </w:p>
        </w:tc>
        <w:tc>
          <w:tcPr>
            <w:tcW w:w="2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$ 340,380</w:t>
            </w:r>
          </w:p>
        </w:tc>
        <w:tc>
          <w:tcPr>
            <w:tcW w:w="2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ind w:right="4"/>
              <w:spacing w:after="0"/>
              <w:rPr>
                <w:sz w:val="20"/>
                <w:szCs w:val="20"/>
                <w:color w:val="auto"/>
              </w:rPr>
            </w:pPr>
            <w:r>
              <w:rPr>
                <w:rFonts w:ascii="Times New Roman" w:cs="Times New Roman" w:eastAsia="Times New Roman" w:hAnsi="Times New Roman"/>
                <w:sz w:val="11"/>
                <w:szCs w:val="11"/>
                <w:color w:val="auto"/>
                <w:w w:val="71"/>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285,357</w:t>
            </w:r>
          </w:p>
        </w:tc>
        <w:tc>
          <w:tcPr>
            <w:tcW w:w="14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55,023</w:t>
            </w:r>
          </w:p>
        </w:tc>
        <w:tc>
          <w:tcPr>
            <w:tcW w:w="2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Customer relationships</w:t>
            </w: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11.86</w:t>
            </w:r>
          </w:p>
        </w:tc>
        <w:tc>
          <w:tcPr>
            <w:tcW w:w="20" w:type="dxa"/>
            <w:vAlign w:val="bottom"/>
          </w:tcPr>
          <w:p>
            <w:pPr>
              <w:spacing w:after="0"/>
              <w:rPr>
                <w:sz w:val="18"/>
                <w:szCs w:val="18"/>
                <w:color w:val="auto"/>
              </w:rPr>
            </w:pPr>
          </w:p>
        </w:tc>
        <w:tc>
          <w:tcPr>
            <w:tcW w:w="9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268,140</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190,118</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78,022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Software licenses</w:t>
            </w: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3.00</w:t>
            </w:r>
          </w:p>
        </w:tc>
        <w:tc>
          <w:tcPr>
            <w:tcW w:w="20" w:type="dxa"/>
            <w:vAlign w:val="bottom"/>
            <w:shd w:val="clear" w:color="auto" w:fill="CCEEFF"/>
          </w:tcPr>
          <w:p>
            <w:pPr>
              <w:spacing w:after="0"/>
              <w:rPr>
                <w:sz w:val="18"/>
                <w:szCs w:val="18"/>
                <w:color w:val="auto"/>
              </w:rPr>
            </w:pPr>
          </w:p>
        </w:tc>
        <w:tc>
          <w:tcPr>
            <w:tcW w:w="9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6,855</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5,667</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1,188</w:t>
            </w: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Trade names</w:t>
            </w: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3.88</w:t>
            </w:r>
          </w:p>
        </w:tc>
        <w:tc>
          <w:tcPr>
            <w:tcW w:w="20" w:type="dxa"/>
            <w:vAlign w:val="bottom"/>
          </w:tcPr>
          <w:p>
            <w:pPr>
              <w:spacing w:after="0"/>
              <w:rPr>
                <w:sz w:val="18"/>
                <w:szCs w:val="18"/>
                <w:color w:val="auto"/>
              </w:rPr>
            </w:pPr>
          </w:p>
        </w:tc>
        <w:tc>
          <w:tcPr>
            <w:tcW w:w="9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5,000</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5,000</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100" w:type="dxa"/>
            <w:vAlign w:val="bottom"/>
            <w:tcBorders>
              <w:top w:val="single" w:sz="8" w:color="CCEEFF"/>
              <w:bottom w:val="single" w:sz="8" w:color="CCEEFF"/>
            </w:tcBorders>
            <w:shd w:val="clear" w:color="auto" w:fill="CCEEFF"/>
          </w:tcPr>
          <w:p>
            <w:pPr>
              <w:spacing w:after="0"/>
              <w:rPr>
                <w:sz w:val="18"/>
                <w:szCs w:val="18"/>
                <w:color w:val="auto"/>
              </w:rPr>
            </w:pP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60" w:type="dxa"/>
            <w:vAlign w:val="bottom"/>
            <w:tcBorders>
              <w:top w:val="single" w:sz="8" w:color="CCEEFF"/>
              <w:bottom w:val="single" w:sz="8" w:color="CCEEFF"/>
            </w:tcBorders>
            <w:shd w:val="clear" w:color="auto" w:fill="CCEEFF"/>
          </w:tcPr>
          <w:p>
            <w:pPr>
              <w:spacing w:after="0"/>
              <w:rPr>
                <w:sz w:val="18"/>
                <w:szCs w:val="18"/>
                <w:color w:val="auto"/>
              </w:rPr>
            </w:pPr>
          </w:p>
        </w:tc>
        <w:tc>
          <w:tcPr>
            <w:tcW w:w="740" w:type="dxa"/>
            <w:vAlign w:val="bottom"/>
            <w:tcBorders>
              <w:top w:val="single" w:sz="8" w:color="CCEEFF"/>
              <w:bottom w:val="single" w:sz="8" w:color="CCEEFF"/>
            </w:tcBorders>
            <w:shd w:val="clear" w:color="auto" w:fill="CCEEFF"/>
          </w:tcPr>
          <w:p>
            <w:pPr>
              <w:spacing w:after="0"/>
              <w:rPr>
                <w:sz w:val="18"/>
                <w:szCs w:val="18"/>
                <w:color w:val="auto"/>
              </w:rPr>
            </w:pP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$ 620,375</w:t>
            </w:r>
          </w:p>
        </w:tc>
        <w:tc>
          <w:tcPr>
            <w:tcW w:w="20" w:type="dxa"/>
            <w:vAlign w:val="bottom"/>
            <w:tcBorders>
              <w:top w:val="single" w:sz="8" w:color="auto"/>
              <w:bottom w:val="single" w:sz="8" w:color="auto"/>
            </w:tcBorders>
            <w:shd w:val="clear" w:color="auto" w:fill="CCEEFF"/>
          </w:tcPr>
          <w:p>
            <w:pPr>
              <w:spacing w:after="0"/>
              <w:rPr>
                <w:sz w:val="18"/>
                <w:szCs w:val="18"/>
                <w:color w:val="auto"/>
              </w:rPr>
            </w:pP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ind w:right="4"/>
              <w:spacing w:after="0"/>
              <w:rPr>
                <w:sz w:val="20"/>
                <w:szCs w:val="20"/>
                <w:color w:val="auto"/>
              </w:rPr>
            </w:pPr>
            <w:r>
              <w:rPr>
                <w:rFonts w:ascii="Times New Roman" w:cs="Times New Roman" w:eastAsia="Times New Roman" w:hAnsi="Times New Roman"/>
                <w:sz w:val="11"/>
                <w:szCs w:val="11"/>
                <w:color w:val="auto"/>
                <w:w w:val="71"/>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486,142</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76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$ 134,233</w:t>
            </w:r>
          </w:p>
        </w:tc>
        <w:tc>
          <w:tcPr>
            <w:tcW w:w="20" w:type="dxa"/>
            <w:vAlign w:val="bottom"/>
            <w:tcBorders>
              <w:top w:val="single" w:sz="8" w:color="auto"/>
              <w:bottom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gridSpan w:val="2"/>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w:t>
            </w:r>
          </w:p>
        </w:tc>
        <w:tc>
          <w:tcPr>
            <w:tcW w:w="76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7"/>
        </w:trPr>
        <w:tc>
          <w:tcPr>
            <w:tcW w:w="20" w:type="dxa"/>
            <w:vAlign w:val="bottom"/>
          </w:tcPr>
          <w:p>
            <w:pPr>
              <w:spacing w:after="0"/>
              <w:rPr>
                <w:sz w:val="24"/>
                <w:szCs w:val="24"/>
                <w:color w:val="auto"/>
              </w:rPr>
            </w:pPr>
          </w:p>
        </w:tc>
        <w:tc>
          <w:tcPr>
            <w:tcW w:w="5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gridSpan w:val="2"/>
            <w:vMerge w:val="continue"/>
          </w:tcPr>
          <w:p>
            <w:pPr>
              <w:spacing w:after="0"/>
              <w:rPr>
                <w:sz w:val="24"/>
                <w:szCs w:val="24"/>
                <w:color w:val="auto"/>
              </w:rPr>
            </w:pPr>
          </w:p>
        </w:tc>
        <w:tc>
          <w:tcPr>
            <w:tcW w:w="760" w:type="dxa"/>
            <w:vAlign w:val="bottom"/>
            <w:gridSpan w:val="2"/>
            <w:vMerge w:val="continue"/>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6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average</w:t>
            </w: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20" w:type="dxa"/>
            <w:vAlign w:val="bottom"/>
            <w:gridSpan w:val="3"/>
          </w:tcPr>
          <w:p>
            <w:pPr>
              <w:jc w:val="center"/>
              <w:ind w:right="40"/>
              <w:spacing w:after="0" w:line="149" w:lineRule="exact"/>
              <w:rPr>
                <w:sz w:val="20"/>
                <w:szCs w:val="20"/>
                <w:color w:val="auto"/>
              </w:rPr>
            </w:pPr>
            <w:r>
              <w:rPr>
                <w:rFonts w:ascii="Times New Roman" w:cs="Times New Roman" w:eastAsia="Times New Roman" w:hAnsi="Times New Roman"/>
                <w:sz w:val="14"/>
                <w:szCs w:val="14"/>
                <w:b w:val="1"/>
                <w:bCs w:val="1"/>
                <w:color w:val="auto"/>
              </w:rPr>
              <w:t>amortization</w:t>
            </w:r>
          </w:p>
        </w:tc>
        <w:tc>
          <w:tcPr>
            <w:tcW w:w="920" w:type="dxa"/>
            <w:vAlign w:val="bottom"/>
            <w:gridSpan w:val="4"/>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w:t>
            </w:r>
          </w:p>
        </w:tc>
        <w:tc>
          <w:tcPr>
            <w:tcW w:w="960" w:type="dxa"/>
            <w:vAlign w:val="bottom"/>
            <w:gridSpan w:val="4"/>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260" w:type="dxa"/>
            <w:vAlign w:val="bottom"/>
            <w:gridSpan w:val="3"/>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680" w:type="dxa"/>
            <w:vAlign w:val="bottom"/>
            <w:gridSpan w:val="2"/>
          </w:tcPr>
          <w:p>
            <w:pPr>
              <w:jc w:val="center"/>
              <w:ind w:right="140"/>
              <w:spacing w:after="0" w:line="149" w:lineRule="exact"/>
              <w:rPr>
                <w:sz w:val="20"/>
                <w:szCs w:val="20"/>
                <w:color w:val="auto"/>
              </w:rPr>
            </w:pPr>
            <w:r>
              <w:rPr>
                <w:rFonts w:ascii="Times New Roman" w:cs="Times New Roman" w:eastAsia="Times New Roman" w:hAnsi="Times New Roman"/>
                <w:sz w:val="14"/>
                <w:szCs w:val="14"/>
                <w:b w:val="1"/>
                <w:bCs w:val="1"/>
                <w:color w:val="auto"/>
              </w:rPr>
              <w:t>Net</w:t>
            </w:r>
          </w:p>
        </w:tc>
        <w:tc>
          <w:tcPr>
            <w:tcW w:w="0" w:type="dxa"/>
            <w:vAlign w:val="bottom"/>
          </w:tcPr>
          <w:p>
            <w:pPr>
              <w:spacing w:after="0"/>
              <w:rPr>
                <w:sz w:val="1"/>
                <w:szCs w:val="1"/>
                <w:color w:val="auto"/>
              </w:rPr>
            </w:pPr>
          </w:p>
        </w:tc>
      </w:tr>
      <w:tr>
        <w:trPr>
          <w:trHeight w:val="149"/>
        </w:trPr>
        <w:tc>
          <w:tcPr>
            <w:tcW w:w="5140" w:type="dxa"/>
            <w:vAlign w:val="bottom"/>
            <w:gridSpan w:val="3"/>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December 31, 2025</w:t>
            </w:r>
          </w:p>
        </w:tc>
        <w:tc>
          <w:tcPr>
            <w:tcW w:w="200" w:type="dxa"/>
            <w:vAlign w:val="bottom"/>
            <w:gridSpan w:val="2"/>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w:t>
            </w:r>
          </w:p>
        </w:tc>
        <w:tc>
          <w:tcPr>
            <w:tcW w:w="760" w:type="dxa"/>
            <w:vAlign w:val="bottom"/>
            <w:gridSpan w:val="2"/>
          </w:tcPr>
          <w:p>
            <w:pPr>
              <w:jc w:val="center"/>
              <w:ind w:right="80"/>
              <w:spacing w:after="0" w:line="149" w:lineRule="exact"/>
              <w:rPr>
                <w:sz w:val="20"/>
                <w:szCs w:val="20"/>
                <w:color w:val="auto"/>
              </w:rPr>
            </w:pPr>
            <w:r>
              <w:rPr>
                <w:rFonts w:ascii="Times New Roman" w:cs="Times New Roman" w:eastAsia="Times New Roman" w:hAnsi="Times New Roman"/>
                <w:sz w:val="14"/>
                <w:szCs w:val="14"/>
                <w:b w:val="1"/>
                <w:bCs w:val="1"/>
                <w:color w:val="auto"/>
              </w:rPr>
              <w:t>period</w:t>
            </w:r>
          </w:p>
        </w:tc>
        <w:tc>
          <w:tcPr>
            <w:tcW w:w="920" w:type="dxa"/>
            <w:vAlign w:val="bottom"/>
            <w:gridSpan w:val="4"/>
            <w:vMerge w:val="continue"/>
          </w:tcPr>
          <w:p>
            <w:pPr>
              <w:spacing w:after="0"/>
              <w:rPr>
                <w:sz w:val="12"/>
                <w:szCs w:val="12"/>
                <w:color w:val="auto"/>
              </w:rPr>
            </w:pPr>
          </w:p>
        </w:tc>
        <w:tc>
          <w:tcPr>
            <w:tcW w:w="960" w:type="dxa"/>
            <w:vAlign w:val="bottom"/>
            <w:gridSpan w:val="4"/>
            <w:vMerge w:val="continue"/>
          </w:tcPr>
          <w:p>
            <w:pPr>
              <w:spacing w:after="0"/>
              <w:rPr>
                <w:sz w:val="12"/>
                <w:szCs w:val="12"/>
                <w:color w:val="auto"/>
              </w:rPr>
            </w:pPr>
          </w:p>
        </w:tc>
        <w:tc>
          <w:tcPr>
            <w:tcW w:w="260" w:type="dxa"/>
            <w:vAlign w:val="bottom"/>
            <w:gridSpan w:val="3"/>
            <w:vMerge w:val="continue"/>
          </w:tcPr>
          <w:p>
            <w:pPr>
              <w:spacing w:after="0"/>
              <w:rPr>
                <w:sz w:val="12"/>
                <w:szCs w:val="12"/>
                <w:color w:val="auto"/>
              </w:rPr>
            </w:pPr>
          </w:p>
        </w:tc>
        <w:tc>
          <w:tcPr>
            <w:tcW w:w="680" w:type="dxa"/>
            <w:vAlign w:val="bottom"/>
            <w:gridSpan w:val="2"/>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carrying</w:t>
            </w:r>
          </w:p>
        </w:tc>
        <w:tc>
          <w:tcPr>
            <w:tcW w:w="0" w:type="dxa"/>
            <w:vAlign w:val="bottom"/>
          </w:tcPr>
          <w:p>
            <w:pPr>
              <w:spacing w:after="0"/>
              <w:rPr>
                <w:sz w:val="1"/>
                <w:szCs w:val="1"/>
                <w:color w:val="auto"/>
              </w:rPr>
            </w:pPr>
          </w:p>
        </w:tc>
      </w:tr>
      <w:tr>
        <w:trPr>
          <w:trHeight w:val="173"/>
        </w:trPr>
        <w:tc>
          <w:tcPr>
            <w:tcW w:w="5140" w:type="dxa"/>
            <w:vAlign w:val="bottom"/>
            <w:gridSpan w:val="3"/>
            <w:vMerge w:val="continue"/>
          </w:tcPr>
          <w:p>
            <w:pPr>
              <w:spacing w:after="0"/>
              <w:rPr>
                <w:sz w:val="15"/>
                <w:szCs w:val="15"/>
                <w:color w:val="auto"/>
              </w:rPr>
            </w:pPr>
          </w:p>
        </w:tc>
        <w:tc>
          <w:tcPr>
            <w:tcW w:w="200" w:type="dxa"/>
            <w:vAlign w:val="bottom"/>
            <w:gridSpan w:val="2"/>
            <w:vMerge w:val="continue"/>
          </w:tcPr>
          <w:p>
            <w:pPr>
              <w:spacing w:after="0"/>
              <w:rPr>
                <w:sz w:val="15"/>
                <w:szCs w:val="15"/>
                <w:color w:val="auto"/>
              </w:rPr>
            </w:pPr>
          </w:p>
        </w:tc>
        <w:tc>
          <w:tcPr>
            <w:tcW w:w="76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(years)</w:t>
            </w: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780" w:type="dxa"/>
            <w:vAlign w:val="bottom"/>
            <w:gridSpan w:val="2"/>
          </w:tcPr>
          <w:p>
            <w:pPr>
              <w:ind w:left="240"/>
              <w:spacing w:after="0"/>
              <w:rPr>
                <w:sz w:val="20"/>
                <w:szCs w:val="20"/>
                <w:color w:val="auto"/>
              </w:rPr>
            </w:pPr>
            <w:r>
              <w:rPr>
                <w:rFonts w:ascii="Times New Roman" w:cs="Times New Roman" w:eastAsia="Times New Roman" w:hAnsi="Times New Roman"/>
                <w:sz w:val="14"/>
                <w:szCs w:val="14"/>
                <w:b w:val="1"/>
                <w:bCs w:val="1"/>
                <w:color w:val="auto"/>
              </w:rPr>
              <w:t>Cost</w:t>
            </w:r>
          </w:p>
        </w:tc>
        <w:tc>
          <w:tcPr>
            <w:tcW w:w="960" w:type="dxa"/>
            <w:vAlign w:val="bottom"/>
            <w:gridSpan w:val="4"/>
          </w:tcPr>
          <w:p>
            <w:pPr>
              <w:ind w:left="60"/>
              <w:spacing w:after="0"/>
              <w:rPr>
                <w:sz w:val="20"/>
                <w:szCs w:val="20"/>
                <w:color w:val="auto"/>
              </w:rPr>
            </w:pPr>
            <w:r>
              <w:rPr>
                <w:rFonts w:ascii="Times New Roman" w:cs="Times New Roman" w:eastAsia="Times New Roman" w:hAnsi="Times New Roman"/>
                <w:sz w:val="14"/>
                <w:szCs w:val="14"/>
                <w:b w:val="1"/>
                <w:bCs w:val="1"/>
                <w:color w:val="auto"/>
              </w:rPr>
              <w:t>​​​amortization</w:t>
            </w:r>
          </w:p>
        </w:tc>
        <w:tc>
          <w:tcPr>
            <w:tcW w:w="26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68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value</w:t>
            </w:r>
          </w:p>
        </w:tc>
        <w:tc>
          <w:tcPr>
            <w:tcW w:w="0" w:type="dxa"/>
            <w:vAlign w:val="bottom"/>
          </w:tcPr>
          <w:p>
            <w:pPr>
              <w:spacing w:after="0"/>
              <w:rPr>
                <w:sz w:val="1"/>
                <w:szCs w:val="1"/>
                <w:color w:val="auto"/>
              </w:rPr>
            </w:pPr>
          </w:p>
        </w:tc>
      </w:tr>
      <w:tr>
        <w:trPr>
          <w:trHeight w:val="209"/>
        </w:trPr>
        <w:tc>
          <w:tcPr>
            <w:tcW w:w="5120" w:type="dxa"/>
            <w:vAlign w:val="bottom"/>
            <w:tcBorders>
              <w:top w:val="single" w:sz="8" w:color="auto"/>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Developed technology</w:t>
            </w:r>
          </w:p>
        </w:tc>
        <w:tc>
          <w:tcPr>
            <w:tcW w:w="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7.84</w:t>
            </w:r>
          </w:p>
        </w:tc>
        <w:tc>
          <w:tcPr>
            <w:tcW w:w="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78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$ 340,380</w:t>
            </w:r>
          </w:p>
        </w:tc>
        <w:tc>
          <w:tcPr>
            <w:tcW w:w="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gridSpan w:val="2"/>
            <w:shd w:val="clear" w:color="auto" w:fill="CCEEFF"/>
          </w:tcPr>
          <w:p>
            <w:pPr>
              <w:jc w:val="right"/>
              <w:ind w:right="4"/>
              <w:spacing w:after="0"/>
              <w:rPr>
                <w:sz w:val="20"/>
                <w:szCs w:val="20"/>
                <w:color w:val="auto"/>
              </w:rPr>
            </w:pPr>
            <w:r>
              <w:rPr>
                <w:rFonts w:ascii="Times New Roman" w:cs="Times New Roman" w:eastAsia="Times New Roman" w:hAnsi="Times New Roman"/>
                <w:sz w:val="17"/>
                <w:szCs w:val="17"/>
                <w:color w:val="auto"/>
                <w:w w:val="70"/>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281,000</w:t>
            </w:r>
          </w:p>
        </w:tc>
        <w:tc>
          <w:tcPr>
            <w:tcW w:w="1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59,380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4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Customer relationships</w:t>
            </w: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11.86</w:t>
            </w:r>
          </w:p>
        </w:tc>
        <w:tc>
          <w:tcPr>
            <w:tcW w:w="20" w:type="dxa"/>
            <w:vAlign w:val="bottom"/>
          </w:tcPr>
          <w:p>
            <w:pPr>
              <w:spacing w:after="0"/>
              <w:rPr>
                <w:sz w:val="18"/>
                <w:szCs w:val="18"/>
                <w:color w:val="auto"/>
              </w:rPr>
            </w:pPr>
          </w:p>
        </w:tc>
        <w:tc>
          <w:tcPr>
            <w:tcW w:w="9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268,140</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184,462</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83,678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4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Software licenses</w:t>
            </w: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3.00</w:t>
            </w:r>
          </w:p>
        </w:tc>
        <w:tc>
          <w:tcPr>
            <w:tcW w:w="20" w:type="dxa"/>
            <w:vAlign w:val="bottom"/>
            <w:shd w:val="clear" w:color="auto" w:fill="CCEEFF"/>
          </w:tcPr>
          <w:p>
            <w:pPr>
              <w:spacing w:after="0"/>
              <w:rPr>
                <w:sz w:val="18"/>
                <w:szCs w:val="18"/>
                <w:color w:val="auto"/>
              </w:rPr>
            </w:pPr>
          </w:p>
        </w:tc>
        <w:tc>
          <w:tcPr>
            <w:tcW w:w="9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5,748</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5,462</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4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Trade names</w:t>
            </w: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3.88</w:t>
            </w:r>
          </w:p>
        </w:tc>
        <w:tc>
          <w:tcPr>
            <w:tcW w:w="20" w:type="dxa"/>
            <w:vAlign w:val="bottom"/>
          </w:tcPr>
          <w:p>
            <w:pPr>
              <w:spacing w:after="0"/>
              <w:rPr>
                <w:sz w:val="18"/>
                <w:szCs w:val="18"/>
                <w:color w:val="auto"/>
              </w:rPr>
            </w:pPr>
          </w:p>
        </w:tc>
        <w:tc>
          <w:tcPr>
            <w:tcW w:w="9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5,000</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5,000</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5100" w:type="dxa"/>
            <w:vAlign w:val="bottom"/>
            <w:tcBorders>
              <w:top w:val="single" w:sz="8" w:color="CCEEFF"/>
              <w:bottom w:val="single" w:sz="8" w:color="CCEEFF"/>
            </w:tcBorders>
            <w:shd w:val="clear" w:color="auto" w:fill="CCEEFF"/>
          </w:tcPr>
          <w:p>
            <w:pPr>
              <w:spacing w:after="0"/>
              <w:rPr>
                <w:sz w:val="18"/>
                <w:szCs w:val="18"/>
                <w:color w:val="auto"/>
              </w:rPr>
            </w:pP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60" w:type="dxa"/>
            <w:vAlign w:val="bottom"/>
            <w:tcBorders>
              <w:top w:val="single" w:sz="8" w:color="CCEEFF"/>
              <w:bottom w:val="single" w:sz="8" w:color="CCEEFF"/>
            </w:tcBorders>
            <w:shd w:val="clear" w:color="auto" w:fill="CCEEFF"/>
          </w:tcPr>
          <w:p>
            <w:pPr>
              <w:spacing w:after="0"/>
              <w:rPr>
                <w:sz w:val="18"/>
                <w:szCs w:val="18"/>
                <w:color w:val="auto"/>
              </w:rPr>
            </w:pPr>
          </w:p>
        </w:tc>
        <w:tc>
          <w:tcPr>
            <w:tcW w:w="740" w:type="dxa"/>
            <w:vAlign w:val="bottom"/>
            <w:tcBorders>
              <w:top w:val="single" w:sz="8" w:color="CCEEFF"/>
              <w:bottom w:val="single" w:sz="8" w:color="CCEEFF"/>
            </w:tcBorders>
            <w:shd w:val="clear" w:color="auto" w:fill="CCEEFF"/>
          </w:tcPr>
          <w:p>
            <w:pPr>
              <w:spacing w:after="0"/>
              <w:rPr>
                <w:sz w:val="18"/>
                <w:szCs w:val="18"/>
                <w:color w:val="auto"/>
              </w:rPr>
            </w:pP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78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$ 619,268</w:t>
            </w: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gridSpan w:val="2"/>
            <w:shd w:val="clear" w:color="auto" w:fill="CCEEFF"/>
          </w:tcPr>
          <w:p>
            <w:pPr>
              <w:jc w:val="right"/>
              <w:ind w:right="4"/>
              <w:spacing w:after="0"/>
              <w:rPr>
                <w:sz w:val="20"/>
                <w:szCs w:val="20"/>
                <w:color w:val="auto"/>
              </w:rPr>
            </w:pPr>
            <w:r>
              <w:rPr>
                <w:rFonts w:ascii="Times New Roman" w:cs="Times New Roman" w:eastAsia="Times New Roman" w:hAnsi="Times New Roman"/>
                <w:sz w:val="17"/>
                <w:szCs w:val="17"/>
                <w:color w:val="auto"/>
                <w:w w:val="70"/>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475,924</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780" w:type="dxa"/>
            <w:vAlign w:val="bottom"/>
            <w:tcBorders>
              <w:top w:val="single" w:sz="8" w:color="auto"/>
              <w:bottom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$ 143,344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left="60" w:right="539" w:firstLine="324"/>
        <w:spacing w:after="0" w:line="282" w:lineRule="auto"/>
        <w:rPr>
          <w:sz w:val="20"/>
          <w:szCs w:val="20"/>
          <w:color w:val="auto"/>
        </w:rPr>
      </w:pPr>
      <w:r>
        <w:rPr>
          <w:rFonts w:ascii="Times New Roman" w:cs="Times New Roman" w:eastAsia="Times New Roman" w:hAnsi="Times New Roman"/>
          <w:sz w:val="18"/>
          <w:szCs w:val="18"/>
          <w:color w:val="auto"/>
        </w:rPr>
        <w:t>Estimated future amortization expense for the Company’s intangible assets at March 31, 2026 was as follows (in thousands):</w:t>
      </w:r>
    </w:p>
    <w:p>
      <w:pPr>
        <w:spacing w:after="0" w:line="169"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77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Years ending December 31,</w:t>
            </w:r>
          </w:p>
        </w:tc>
        <w:tc>
          <w:tcPr>
            <w:tcW w:w="100" w:type="dxa"/>
            <w:vAlign w:val="bottom"/>
            <w:tcBorders>
              <w:bottom w:val="single" w:sz="8" w:color="CCEEFF"/>
            </w:tcBorders>
          </w:tcPr>
          <w:p>
            <w:pPr>
              <w:spacing w:after="0"/>
              <w:rPr>
                <w:sz w:val="15"/>
                <w:szCs w:val="15"/>
                <w:color w:val="auto"/>
              </w:rPr>
            </w:pPr>
          </w:p>
        </w:tc>
        <w:tc>
          <w:tcPr>
            <w:tcW w:w="1020" w:type="dxa"/>
            <w:vAlign w:val="bottom"/>
            <w:tcBorders>
              <w:bottom w:val="single" w:sz="8" w:color="CCEEFF"/>
            </w:tcBorders>
          </w:tcPr>
          <w:p>
            <w:pPr>
              <w:jc w:val="right"/>
              <w:ind w:right="872"/>
              <w:spacing w:after="0"/>
              <w:rPr>
                <w:sz w:val="20"/>
                <w:szCs w:val="20"/>
                <w:color w:val="auto"/>
              </w:rPr>
            </w:pPr>
            <w:r>
              <w:rPr>
                <w:rFonts w:ascii="Times New Roman" w:cs="Times New Roman" w:eastAsia="Times New Roman" w:hAnsi="Times New Roman"/>
                <w:sz w:val="14"/>
                <w:szCs w:val="14"/>
                <w:color w:val="auto"/>
              </w:rPr>
              <w:t>​</w:t>
            </w:r>
          </w:p>
        </w:tc>
      </w:tr>
      <w:tr>
        <w:trPr>
          <w:trHeight w:val="210"/>
        </w:trPr>
        <w:tc>
          <w:tcPr>
            <w:tcW w:w="7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Remainder of 2026</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29,292</w:t>
            </w:r>
          </w:p>
        </w:tc>
      </w:tr>
      <w:tr>
        <w:trPr>
          <w:trHeight w:val="216"/>
        </w:trPr>
        <w:tc>
          <w:tcPr>
            <w:tcW w:w="7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2027</w:t>
            </w:r>
          </w:p>
        </w:tc>
        <w:tc>
          <w:tcPr>
            <w:tcW w:w="1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34,347</w:t>
            </w:r>
          </w:p>
        </w:tc>
      </w:tr>
      <w:tr>
        <w:trPr>
          <w:trHeight w:val="216"/>
        </w:trPr>
        <w:tc>
          <w:tcPr>
            <w:tcW w:w="7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2028</w:t>
            </w: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23,769</w:t>
            </w:r>
          </w:p>
        </w:tc>
      </w:tr>
      <w:tr>
        <w:trPr>
          <w:trHeight w:val="216"/>
        </w:trPr>
        <w:tc>
          <w:tcPr>
            <w:tcW w:w="7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2029</w:t>
            </w:r>
          </w:p>
        </w:tc>
        <w:tc>
          <w:tcPr>
            <w:tcW w:w="1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18,380</w:t>
            </w:r>
          </w:p>
        </w:tc>
      </w:tr>
      <w:tr>
        <w:trPr>
          <w:trHeight w:val="216"/>
        </w:trPr>
        <w:tc>
          <w:tcPr>
            <w:tcW w:w="7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2030</w:t>
            </w: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7,723</w:t>
            </w:r>
          </w:p>
        </w:tc>
      </w:tr>
      <w:tr>
        <w:trPr>
          <w:trHeight w:val="216"/>
        </w:trPr>
        <w:tc>
          <w:tcPr>
            <w:tcW w:w="7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2031</w:t>
            </w:r>
          </w:p>
        </w:tc>
        <w:tc>
          <w:tcPr>
            <w:tcW w:w="1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5,927</w:t>
            </w:r>
          </w:p>
        </w:tc>
      </w:tr>
      <w:tr>
        <w:trPr>
          <w:trHeight w:val="216"/>
        </w:trPr>
        <w:tc>
          <w:tcPr>
            <w:tcW w:w="7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Thereafter</w:t>
            </w:r>
          </w:p>
        </w:tc>
        <w:tc>
          <w:tcPr>
            <w:tcW w:w="10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14,795</w:t>
            </w:r>
          </w:p>
        </w:tc>
      </w:tr>
      <w:tr>
        <w:trPr>
          <w:trHeight w:val="210"/>
        </w:trPr>
        <w:tc>
          <w:tcPr>
            <w:tcW w:w="778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134,233</w:t>
            </w:r>
          </w:p>
        </w:tc>
      </w:tr>
      <w:tr>
        <w:trPr>
          <w:trHeight w:val="20"/>
        </w:trPr>
        <w:tc>
          <w:tcPr>
            <w:tcW w:w="77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There were no changes to the carrying value of the Company’s goodwill in the three months ended March 31, 2026.</w:t>
      </w:r>
    </w:p>
    <w:p>
      <w:pPr>
        <w:spacing w:after="0" w:line="2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The components of goodwill at both March 31, 2026 and December 31, 2025 were as follows (in thousands):</w:t>
      </w:r>
    </w:p>
    <w:p>
      <w:pPr>
        <w:spacing w:after="0" w:line="201"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3320" w:type="dxa"/>
            <w:vAlign w:val="bottom"/>
          </w:tcPr>
          <w:p>
            <w:pPr>
              <w:spacing w:after="0"/>
              <w:rPr>
                <w:sz w:val="13"/>
                <w:szCs w:val="13"/>
                <w:color w:val="auto"/>
              </w:rPr>
            </w:pPr>
          </w:p>
        </w:tc>
        <w:tc>
          <w:tcPr>
            <w:tcW w:w="26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60" w:type="dxa"/>
            <w:vAlign w:val="bottom"/>
          </w:tcPr>
          <w:p>
            <w:pPr>
              <w:jc w:val="right"/>
              <w:ind w:right="17"/>
              <w:spacing w:after="0"/>
              <w:rPr>
                <w:sz w:val="20"/>
                <w:szCs w:val="20"/>
                <w:color w:val="auto"/>
              </w:rPr>
            </w:pPr>
            <w:r>
              <w:rPr>
                <w:rFonts w:ascii="Times New Roman" w:cs="Times New Roman" w:eastAsia="Times New Roman" w:hAnsi="Times New Roman"/>
                <w:sz w:val="14"/>
                <w:szCs w:val="14"/>
                <w:b w:val="1"/>
                <w:bCs w:val="1"/>
                <w:color w:val="auto"/>
              </w:rPr>
              <w:t>Cloud and</w:t>
            </w:r>
          </w:p>
        </w:tc>
        <w:tc>
          <w:tcPr>
            <w:tcW w:w="280" w:type="dxa"/>
            <w:vAlign w:val="bottom"/>
            <w:gridSpan w:val="2"/>
          </w:tcPr>
          <w:p>
            <w:pPr>
              <w:jc w:val="right"/>
              <w:ind w:right="16"/>
              <w:spacing w:after="0"/>
              <w:rPr>
                <w:sz w:val="20"/>
                <w:szCs w:val="20"/>
                <w:color w:val="auto"/>
              </w:rPr>
            </w:pPr>
            <w:r>
              <w:rPr>
                <w:rFonts w:ascii="Times New Roman" w:cs="Times New Roman" w:eastAsia="Times New Roman" w:hAnsi="Times New Roman"/>
                <w:sz w:val="14"/>
                <w:szCs w:val="14"/>
                <w:b w:val="1"/>
                <w:bCs w:val="1"/>
                <w:color w:val="auto"/>
              </w:rPr>
              <w:t>​​​</w:t>
            </w:r>
          </w:p>
        </w:tc>
        <w:tc>
          <w:tcPr>
            <w:tcW w:w="760" w:type="dxa"/>
            <w:vAlign w:val="bottom"/>
          </w:tcPr>
          <w:p>
            <w:pPr>
              <w:jc w:val="right"/>
              <w:ind w:right="37"/>
              <w:spacing w:after="0"/>
              <w:rPr>
                <w:sz w:val="20"/>
                <w:szCs w:val="20"/>
                <w:color w:val="auto"/>
              </w:rPr>
            </w:pPr>
            <w:r>
              <w:rPr>
                <w:rFonts w:ascii="Times New Roman" w:cs="Times New Roman" w:eastAsia="Times New Roman" w:hAnsi="Times New Roman"/>
                <w:sz w:val="14"/>
                <w:szCs w:val="14"/>
                <w:b w:val="1"/>
                <w:bCs w:val="1"/>
                <w:color w:val="auto"/>
              </w:rPr>
              <w:t>IP Optical</w:t>
            </w:r>
          </w:p>
        </w:tc>
        <w:tc>
          <w:tcPr>
            <w:tcW w:w="300" w:type="dxa"/>
            <w:vAlign w:val="bottom"/>
            <w:gridSpan w:val="2"/>
          </w:tcPr>
          <w:p>
            <w:pPr>
              <w:jc w:val="right"/>
              <w:ind w:right="36"/>
              <w:spacing w:after="0"/>
              <w:rPr>
                <w:sz w:val="20"/>
                <w:szCs w:val="20"/>
                <w:color w:val="auto"/>
              </w:rPr>
            </w:pPr>
            <w:r>
              <w:rPr>
                <w:rFonts w:ascii="Times New Roman" w:cs="Times New Roman" w:eastAsia="Times New Roman" w:hAnsi="Times New Roman"/>
                <w:sz w:val="14"/>
                <w:szCs w:val="14"/>
                <w:b w:val="1"/>
                <w:bCs w:val="1"/>
                <w:color w:val="auto"/>
              </w:rPr>
              <w:t>​​​</w:t>
            </w:r>
          </w:p>
        </w:tc>
        <w:tc>
          <w:tcPr>
            <w:tcW w:w="760" w:type="dxa"/>
            <w:vAlign w:val="bottom"/>
            <w:vMerge w:val="restart"/>
          </w:tcPr>
          <w:p>
            <w:pPr>
              <w:jc w:val="right"/>
              <w:ind w:right="195"/>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3320" w:type="dxa"/>
            <w:vAlign w:val="bottom"/>
            <w:tcBorders>
              <w:bottom w:val="single" w:sz="8" w:color="CCEEFF"/>
            </w:tcBorders>
          </w:tcPr>
          <w:p>
            <w:pPr>
              <w:spacing w:after="0"/>
              <w:rPr>
                <w:sz w:val="15"/>
                <w:szCs w:val="15"/>
                <w:color w:val="auto"/>
              </w:rPr>
            </w:pPr>
          </w:p>
        </w:tc>
        <w:tc>
          <w:tcPr>
            <w:tcW w:w="2640" w:type="dxa"/>
            <w:vAlign w:val="bottom"/>
            <w:tcBorders>
              <w:bottom w:val="single" w:sz="8" w:color="CCEEFF"/>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right"/>
              <w:ind w:right="177"/>
              <w:spacing w:after="0"/>
              <w:rPr>
                <w:sz w:val="20"/>
                <w:szCs w:val="20"/>
                <w:color w:val="auto"/>
              </w:rPr>
            </w:pPr>
            <w:r>
              <w:rPr>
                <w:rFonts w:ascii="Times New Roman" w:cs="Times New Roman" w:eastAsia="Times New Roman" w:hAnsi="Times New Roman"/>
                <w:sz w:val="14"/>
                <w:szCs w:val="14"/>
                <w:b w:val="1"/>
                <w:bCs w:val="1"/>
                <w:color w:val="auto"/>
              </w:rPr>
              <w:t>Edge</w:t>
            </w:r>
          </w:p>
        </w:tc>
        <w:tc>
          <w:tcPr>
            <w:tcW w:w="18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right"/>
              <w:ind w:right="57"/>
              <w:spacing w:after="0"/>
              <w:rPr>
                <w:sz w:val="20"/>
                <w:szCs w:val="20"/>
                <w:color w:val="auto"/>
              </w:rPr>
            </w:pPr>
            <w:r>
              <w:rPr>
                <w:rFonts w:ascii="Times New Roman" w:cs="Times New Roman" w:eastAsia="Times New Roman" w:hAnsi="Times New Roman"/>
                <w:sz w:val="14"/>
                <w:szCs w:val="14"/>
                <w:b w:val="1"/>
                <w:bCs w:val="1"/>
                <w:color w:val="auto"/>
              </w:rPr>
              <w:t>Networks</w:t>
            </w:r>
          </w:p>
        </w:tc>
        <w:tc>
          <w:tcPr>
            <w:tcW w:w="18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Goodwill</w:t>
            </w:r>
          </w:p>
        </w:tc>
        <w:tc>
          <w:tcPr>
            <w:tcW w:w="264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392,302</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191,996</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584,298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Accumulated impairment losses</w:t>
            </w:r>
          </w:p>
        </w:tc>
        <w:tc>
          <w:tcPr>
            <w:tcW w:w="2640" w:type="dxa"/>
            <w:vAlign w:val="bottom"/>
            <w:tcBorders>
              <w:bottom w:val="single" w:sz="8" w:color="CCEEFF"/>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(167,406)</w:t>
            </w:r>
          </w:p>
        </w:tc>
        <w:tc>
          <w:tcPr>
            <w:tcW w:w="18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(116,000)</w:t>
            </w:r>
          </w:p>
        </w:tc>
        <w:tc>
          <w:tcPr>
            <w:tcW w:w="18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(283,406)</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320" w:type="dxa"/>
            <w:vAlign w:val="bottom"/>
            <w:tcBorders>
              <w:bottom w:val="single" w:sz="8" w:color="CCEEFF"/>
            </w:tcBorders>
            <w:shd w:val="clear" w:color="auto" w:fill="CCEEFF"/>
          </w:tcPr>
          <w:p>
            <w:pPr>
              <w:spacing w:after="0"/>
              <w:rPr>
                <w:sz w:val="18"/>
                <w:szCs w:val="18"/>
                <w:color w:val="auto"/>
              </w:rPr>
            </w:pPr>
          </w:p>
        </w:tc>
        <w:tc>
          <w:tcPr>
            <w:tcW w:w="264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224,896</w:t>
            </w:r>
          </w:p>
        </w:tc>
        <w:tc>
          <w:tcPr>
            <w:tcW w:w="18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75,996</w:t>
            </w:r>
          </w:p>
        </w:tc>
        <w:tc>
          <w:tcPr>
            <w:tcW w:w="18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300,892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320" w:type="dxa"/>
            <w:vAlign w:val="bottom"/>
          </w:tcPr>
          <w:p>
            <w:pPr>
              <w:spacing w:after="0" w:line="20" w:lineRule="exact"/>
              <w:rPr>
                <w:sz w:val="1"/>
                <w:szCs w:val="1"/>
                <w:color w:val="auto"/>
              </w:rPr>
            </w:pPr>
          </w:p>
        </w:tc>
        <w:tc>
          <w:tcPr>
            <w:tcW w:w="2640" w:type="dxa"/>
            <w:vAlign w:val="bottom"/>
            <w:vMerge w:val="restart"/>
          </w:tcPr>
          <w:p>
            <w:pPr>
              <w:jc w:val="right"/>
              <w:ind w:right="1330"/>
              <w:spacing w:after="0"/>
              <w:rPr>
                <w:sz w:val="20"/>
                <w:szCs w:val="20"/>
                <w:color w:val="auto"/>
              </w:rPr>
            </w:pPr>
            <w:r>
              <w:rPr>
                <w:rFonts w:ascii="Times New Roman" w:cs="Times New Roman" w:eastAsia="Times New Roman" w:hAnsi="Times New Roman"/>
                <w:sz w:val="18"/>
                <w:szCs w:val="18"/>
                <w:color w:val="auto"/>
              </w:rPr>
              <w:t>14</w:t>
            </w:r>
          </w:p>
        </w:tc>
        <w:tc>
          <w:tcPr>
            <w:tcW w:w="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71"/>
        </w:trPr>
        <w:tc>
          <w:tcPr>
            <w:tcW w:w="20" w:type="dxa"/>
            <w:vAlign w:val="bottom"/>
          </w:tcPr>
          <w:p>
            <w:pPr>
              <w:spacing w:after="0"/>
              <w:rPr>
                <w:sz w:val="24"/>
                <w:szCs w:val="24"/>
                <w:color w:val="auto"/>
              </w:rPr>
            </w:pPr>
          </w:p>
        </w:tc>
        <w:tc>
          <w:tcPr>
            <w:tcW w:w="3320" w:type="dxa"/>
            <w:vAlign w:val="bottom"/>
          </w:tcPr>
          <w:p>
            <w:pPr>
              <w:spacing w:after="0"/>
              <w:rPr>
                <w:sz w:val="24"/>
                <w:szCs w:val="24"/>
                <w:color w:val="auto"/>
              </w:rPr>
            </w:pPr>
          </w:p>
        </w:tc>
        <w:tc>
          <w:tcPr>
            <w:tcW w:w="2640" w:type="dxa"/>
            <w:vAlign w:val="bottom"/>
            <w:vMerge w:val="continue"/>
          </w:tcPr>
          <w:p>
            <w:pPr>
              <w:spacing w:after="0"/>
              <w:rPr>
                <w:sz w:val="24"/>
                <w:szCs w:val="24"/>
                <w:color w:val="auto"/>
              </w:rPr>
            </w:pPr>
          </w:p>
        </w:tc>
        <w:tc>
          <w:tcPr>
            <w:tcW w:w="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47"/>
        </w:trPr>
        <w:tc>
          <w:tcPr>
            <w:tcW w:w="20" w:type="dxa"/>
            <w:vAlign w:val="bottom"/>
            <w:tcBorders>
              <w:bottom w:val="single" w:sz="8" w:color="auto"/>
            </w:tcBorders>
          </w:tcPr>
          <w:p>
            <w:pPr>
              <w:spacing w:after="0"/>
              <w:rPr>
                <w:sz w:val="24"/>
                <w:szCs w:val="24"/>
                <w:color w:val="auto"/>
              </w:rPr>
            </w:pPr>
          </w:p>
        </w:tc>
        <w:tc>
          <w:tcPr>
            <w:tcW w:w="3320" w:type="dxa"/>
            <w:vAlign w:val="bottom"/>
            <w:tcBorders>
              <w:bottom w:val="single" w:sz="8" w:color="auto"/>
            </w:tcBorders>
          </w:tcPr>
          <w:p>
            <w:pPr>
              <w:spacing w:after="0"/>
              <w:rPr>
                <w:sz w:val="24"/>
                <w:szCs w:val="24"/>
                <w:color w:val="auto"/>
              </w:rPr>
            </w:pPr>
          </w:p>
        </w:tc>
        <w:tc>
          <w:tcPr>
            <w:tcW w:w="26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513" w:right="1440" w:bottom="1440" w:gutter="0" w:footer="0" w:header="0"/>
        </w:sectPr>
      </w:pPr>
    </w:p>
    <w:bookmarkStart w:id="14" w:name="page15"/>
    <w:bookmarkEnd w:id="14"/>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ind w:left="40" w:right="59"/>
        <w:spacing w:after="0" w:line="278" w:lineRule="auto"/>
        <w:rPr>
          <w:sz w:val="20"/>
          <w:szCs w:val="20"/>
          <w:color w:val="auto"/>
        </w:rPr>
      </w:pPr>
      <w:r>
        <w:rPr>
          <w:rFonts w:ascii="Times New Roman" w:cs="Times New Roman" w:eastAsia="Times New Roman" w:hAnsi="Times New Roman"/>
          <w:sz w:val="18"/>
          <w:szCs w:val="18"/>
          <w:b w:val="1"/>
          <w:bCs w:val="1"/>
          <w:color w:val="auto"/>
        </w:rPr>
        <w:t>RIBBON COMMUNICATIONS INC. Notes to Condensed Consolidated Financial Statements (Continued) (unaudited)</w:t>
      </w:r>
    </w:p>
    <w:p>
      <w:pPr>
        <w:spacing w:after="0" w:line="38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(5) FAIR VALUE HIERARCHY</w:t>
      </w:r>
    </w:p>
    <w:p>
      <w:pPr>
        <w:spacing w:after="0" w:line="229" w:lineRule="exact"/>
        <w:rPr>
          <w:sz w:val="20"/>
          <w:szCs w:val="20"/>
          <w:color w:val="auto"/>
        </w:rPr>
      </w:pPr>
    </w:p>
    <w:p>
      <w:pPr>
        <w:ind w:left="60" w:right="179" w:firstLine="324"/>
        <w:spacing w:after="0" w:line="277" w:lineRule="auto"/>
        <w:rPr>
          <w:sz w:val="20"/>
          <w:szCs w:val="20"/>
          <w:color w:val="auto"/>
        </w:rPr>
      </w:pPr>
      <w:r>
        <w:rPr>
          <w:rFonts w:ascii="Times New Roman" w:cs="Times New Roman" w:eastAsia="Times New Roman" w:hAnsi="Times New Roman"/>
          <w:sz w:val="17"/>
          <w:szCs w:val="17"/>
          <w:color w:val="auto"/>
        </w:rPr>
        <w:t>The carrying amounts of the Company’s cash equivalents, accounts receivable, accounts payable and borrowings under a revolving credit facility in the condensed consolidated balance sheets approximate fair value due to the immediate or short-term nature of these financial instruments. The carrying amount of the Company’s term debt at March 31, 2026 and December 31, 2025 also approximates fair value, based on prevailing market conditions. The Company’s warrant liability had a fair value of $0.7 million and $1.9 million as of March 31, 2026 and December 31, 2025, respectively.</w:t>
      </w:r>
    </w:p>
    <w:p>
      <w:pPr>
        <w:spacing w:after="0" w:line="168" w:lineRule="exact"/>
        <w:rPr>
          <w:sz w:val="20"/>
          <w:szCs w:val="20"/>
          <w:color w:val="auto"/>
        </w:rPr>
      </w:pPr>
    </w:p>
    <w:p>
      <w:pPr>
        <w:ind w:left="60" w:right="139" w:firstLine="324"/>
        <w:spacing w:after="0" w:line="256" w:lineRule="auto"/>
        <w:rPr>
          <w:sz w:val="20"/>
          <w:szCs w:val="20"/>
          <w:color w:val="auto"/>
        </w:rPr>
      </w:pPr>
      <w:r>
        <w:rPr>
          <w:rFonts w:ascii="Times New Roman" w:cs="Times New Roman" w:eastAsia="Times New Roman" w:hAnsi="Times New Roman"/>
          <w:sz w:val="18"/>
          <w:szCs w:val="18"/>
          <w:color w:val="auto"/>
        </w:rPr>
        <w:t>Fair value is the price that would be received to sell an asset or paid to transfer a liability in an orderly transaction between market participants. As such, fair value is a market-based measurement that should be determined based on assumptions that market participants would use in pricing an asset or a liability. The three-tier fair value hierarchy is based on the level of independent, objective evidence surrounding the inputs used to measure fair value. A financial instrument’s categorization within the fair value hierarchy is based upon the lowest level of input that is significant to the fair value measurement. The fair value hierarchy is as follows:</w:t>
      </w:r>
    </w:p>
    <w:p>
      <w:pPr>
        <w:spacing w:after="0" w:line="187" w:lineRule="exact"/>
        <w:rPr>
          <w:sz w:val="20"/>
          <w:szCs w:val="20"/>
          <w:color w:val="auto"/>
        </w:rPr>
      </w:pPr>
    </w:p>
    <w:p>
      <w:pPr>
        <w:jc w:val="both"/>
        <w:ind w:left="1040" w:right="199" w:hanging="315"/>
        <w:spacing w:after="0" w:line="266" w:lineRule="auto"/>
        <w:tabs>
          <w:tab w:leader="none" w:pos="10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1 applies to assets or liabilities for which there are quoted prices in active markets for identical assets or liabilities. The Company had no assets or liabilities fair valued using Level 1 inputs at March 31, 2026 or December 31, 2025.</w:t>
      </w:r>
    </w:p>
    <w:p>
      <w:pPr>
        <w:spacing w:after="0" w:line="175" w:lineRule="exact"/>
        <w:rPr>
          <w:rFonts w:ascii="Times New Roman" w:cs="Times New Roman" w:eastAsia="Times New Roman" w:hAnsi="Times New Roman"/>
          <w:sz w:val="18"/>
          <w:szCs w:val="18"/>
          <w:color w:val="auto"/>
        </w:rPr>
      </w:pPr>
    </w:p>
    <w:p>
      <w:pPr>
        <w:ind w:left="1040" w:right="219" w:hanging="315"/>
        <w:spacing w:after="0" w:line="254" w:lineRule="auto"/>
        <w:tabs>
          <w:tab w:leader="none" w:pos="10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2 applies to assets or liabilities for which there are inputs that are directly or indirectly observable in the marketplace, such as quoted prices for similar assets or liabilities in active markets or quoted prices for identical assets or liabilities in markets with insufficient volume or infrequent transactions (less active markets). At December 31, 2025, the Company determined the fair value of its defined benefit plans’ assets using Level 2 inputs. There were no significant changes to the Company’s defined benefit plans’ assets during the three months ended March 31, 2026 that required the calculation of their fair value as of March 31, 2026. Level 2 inputs were also used to determine the fair value of the Company’s derivative financial instruments at March 31, 2026.</w:t>
      </w:r>
    </w:p>
    <w:p>
      <w:pPr>
        <w:spacing w:after="0" w:line="191" w:lineRule="exact"/>
        <w:rPr>
          <w:rFonts w:ascii="Times New Roman" w:cs="Times New Roman" w:eastAsia="Times New Roman" w:hAnsi="Times New Roman"/>
          <w:sz w:val="18"/>
          <w:szCs w:val="18"/>
          <w:color w:val="auto"/>
        </w:rPr>
      </w:pPr>
    </w:p>
    <w:p>
      <w:pPr>
        <w:ind w:left="1040" w:right="79" w:hanging="315"/>
        <w:spacing w:after="0" w:line="266" w:lineRule="auto"/>
        <w:tabs>
          <w:tab w:leader="none" w:pos="10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3 applies to assets or liabilities for which there are unobservable inputs to the valuation methodology that are significant to the measurement of the fair value of the assets or liabilities. Level 3 inputs were used to determine the fair value of the Company’s warrants at March 31, 2026 and December 31, 2025.</w:t>
      </w:r>
    </w:p>
    <w:p>
      <w:pPr>
        <w:spacing w:after="0" w:line="176" w:lineRule="exact"/>
        <w:rPr>
          <w:sz w:val="20"/>
          <w:szCs w:val="20"/>
          <w:color w:val="auto"/>
        </w:rPr>
      </w:pPr>
    </w:p>
    <w:p>
      <w:pPr>
        <w:ind w:left="60" w:right="259" w:firstLine="324"/>
        <w:spacing w:after="0" w:line="282" w:lineRule="auto"/>
        <w:rPr>
          <w:sz w:val="20"/>
          <w:szCs w:val="20"/>
          <w:color w:val="auto"/>
        </w:rPr>
      </w:pPr>
      <w:r>
        <w:rPr>
          <w:rFonts w:ascii="Times New Roman" w:cs="Times New Roman" w:eastAsia="Times New Roman" w:hAnsi="Times New Roman"/>
          <w:sz w:val="18"/>
          <w:szCs w:val="18"/>
          <w:color w:val="auto"/>
        </w:rPr>
        <w:t>The Company had no transfers between Level 2 and Level 3 fair value measurements during the three months ended March 31, 2026 and 2025.</w:t>
      </w:r>
    </w:p>
    <w:p>
      <w:pPr>
        <w:spacing w:after="0" w:line="15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(6) ACCRUED EXPENSES AND OTHER</w:t>
      </w:r>
    </w:p>
    <w:p>
      <w:pPr>
        <w:spacing w:after="0" w:line="22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Accrued expenses at March 31, 2026 and December 31, 2025 consisted of the following (in thousands):</w:t>
      </w:r>
    </w:p>
    <w:p>
      <w:pPr>
        <w:spacing w:after="0" w:line="220"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3700" w:type="dxa"/>
            <w:vAlign w:val="bottom"/>
          </w:tcPr>
          <w:p>
            <w:pPr>
              <w:spacing w:after="0"/>
              <w:rPr>
                <w:sz w:val="13"/>
                <w:szCs w:val="13"/>
                <w:color w:val="auto"/>
              </w:rPr>
            </w:pPr>
          </w:p>
        </w:tc>
        <w:tc>
          <w:tcPr>
            <w:tcW w:w="30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60" w:type="dxa"/>
            <w:vAlign w:val="bottom"/>
          </w:tcPr>
          <w:p>
            <w:pPr>
              <w:jc w:val="right"/>
              <w:ind w:right="115"/>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200" w:type="dxa"/>
            <w:vAlign w:val="bottom"/>
          </w:tcPr>
          <w:p>
            <w:pPr>
              <w:spacing w:after="0"/>
              <w:rPr>
                <w:sz w:val="13"/>
                <w:szCs w:val="13"/>
                <w:color w:val="auto"/>
              </w:rPr>
            </w:pPr>
          </w:p>
        </w:tc>
        <w:tc>
          <w:tcPr>
            <w:tcW w:w="1000" w:type="dxa"/>
            <w:vAlign w:val="bottom"/>
            <w:gridSpan w:val="3"/>
          </w:tcPr>
          <w:p>
            <w:pPr>
              <w:ind w:left="6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73"/>
        </w:trPr>
        <w:tc>
          <w:tcPr>
            <w:tcW w:w="3700" w:type="dxa"/>
            <w:vAlign w:val="bottom"/>
          </w:tcPr>
          <w:p>
            <w:pPr>
              <w:spacing w:after="0"/>
              <w:rPr>
                <w:sz w:val="15"/>
                <w:szCs w:val="15"/>
                <w:color w:val="auto"/>
              </w:rPr>
            </w:pPr>
          </w:p>
        </w:tc>
        <w:tc>
          <w:tcPr>
            <w:tcW w:w="30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60" w:type="dxa"/>
            <w:vAlign w:val="bottom"/>
          </w:tcPr>
          <w:p>
            <w:pPr>
              <w:jc w:val="right"/>
              <w:ind w:right="255"/>
              <w:spacing w:after="0"/>
              <w:rPr>
                <w:sz w:val="20"/>
                <w:szCs w:val="20"/>
                <w:color w:val="auto"/>
              </w:rPr>
            </w:pPr>
            <w:r>
              <w:rPr>
                <w:rFonts w:ascii="Times New Roman" w:cs="Times New Roman" w:eastAsia="Times New Roman" w:hAnsi="Times New Roman"/>
                <w:sz w:val="14"/>
                <w:szCs w:val="14"/>
                <w:b w:val="1"/>
                <w:bCs w:val="1"/>
                <w:color w:val="auto"/>
              </w:rPr>
              <w:t>2026</w:t>
            </w:r>
          </w:p>
        </w:tc>
        <w:tc>
          <w:tcPr>
            <w:tcW w:w="420" w:type="dxa"/>
            <w:vAlign w:val="bottom"/>
            <w:gridSpan w:val="2"/>
          </w:tcPr>
          <w:p>
            <w:pPr>
              <w:jc w:val="right"/>
              <w:ind w:right="156"/>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Pr>
          <w:p>
            <w:pPr>
              <w:jc w:val="right"/>
              <w:ind w:right="253"/>
              <w:spacing w:after="0"/>
              <w:rPr>
                <w:sz w:val="20"/>
                <w:szCs w:val="20"/>
                <w:color w:val="auto"/>
              </w:rPr>
            </w:pPr>
            <w:r>
              <w:rPr>
                <w:rFonts w:ascii="Times New Roman" w:cs="Times New Roman" w:eastAsia="Times New Roman" w:hAnsi="Times New Roman"/>
                <w:sz w:val="14"/>
                <w:szCs w:val="14"/>
                <w:b w:val="1"/>
                <w:bCs w:val="1"/>
                <w:color w:val="auto"/>
              </w:rPr>
              <w:t>2025</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37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Employee compensation and related costs</w:t>
            </w:r>
          </w:p>
        </w:tc>
        <w:tc>
          <w:tcPr>
            <w:tcW w:w="30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31,055</w:t>
            </w:r>
          </w:p>
        </w:tc>
        <w:tc>
          <w:tcPr>
            <w:tcW w:w="2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36"/>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37,857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Professional fees</w:t>
            </w:r>
          </w:p>
        </w:tc>
        <w:tc>
          <w:tcPr>
            <w:tcW w:w="3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14,603</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14,400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Taxes payable</w:t>
            </w:r>
          </w:p>
        </w:tc>
        <w:tc>
          <w:tcPr>
            <w:tcW w:w="30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3,652</w:t>
            </w: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5,541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304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28,580</w:t>
            </w:r>
          </w:p>
        </w:tc>
        <w:tc>
          <w:tcPr>
            <w:tcW w:w="2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32,961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700" w:type="dxa"/>
            <w:vAlign w:val="bottom"/>
            <w:tcBorders>
              <w:bottom w:val="single" w:sz="8" w:color="CCEEFF"/>
            </w:tcBorders>
            <w:shd w:val="clear" w:color="auto" w:fill="CCEEFF"/>
          </w:tcPr>
          <w:p>
            <w:pPr>
              <w:spacing w:after="0"/>
              <w:rPr>
                <w:sz w:val="18"/>
                <w:szCs w:val="18"/>
                <w:color w:val="auto"/>
              </w:rPr>
            </w:pPr>
          </w:p>
        </w:tc>
        <w:tc>
          <w:tcPr>
            <w:tcW w:w="304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77,890</w:t>
            </w:r>
          </w:p>
        </w:tc>
        <w:tc>
          <w:tcPr>
            <w:tcW w:w="20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jc w:val="right"/>
              <w:ind w:right="36"/>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90,759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700" w:type="dxa"/>
            <w:vAlign w:val="bottom"/>
          </w:tcPr>
          <w:p>
            <w:pPr>
              <w:spacing w:after="0" w:line="20" w:lineRule="exact"/>
              <w:rPr>
                <w:sz w:val="1"/>
                <w:szCs w:val="1"/>
                <w:color w:val="auto"/>
              </w:rPr>
            </w:pPr>
          </w:p>
        </w:tc>
        <w:tc>
          <w:tcPr>
            <w:tcW w:w="3040" w:type="dxa"/>
            <w:vAlign w:val="bottom"/>
            <w:vMerge w:val="restart"/>
          </w:tcPr>
          <w:p>
            <w:pPr>
              <w:jc w:val="right"/>
              <w:ind w:right="2090"/>
              <w:spacing w:after="0"/>
              <w:rPr>
                <w:sz w:val="20"/>
                <w:szCs w:val="20"/>
                <w:color w:val="auto"/>
              </w:rPr>
            </w:pPr>
            <w:r>
              <w:rPr>
                <w:rFonts w:ascii="Times New Roman" w:cs="Times New Roman" w:eastAsia="Times New Roman" w:hAnsi="Times New Roman"/>
                <w:sz w:val="18"/>
                <w:szCs w:val="18"/>
                <w:color w:val="auto"/>
              </w:rPr>
              <w:t>15</w:t>
            </w:r>
          </w:p>
        </w:tc>
        <w:tc>
          <w:tcPr>
            <w:tcW w:w="1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71"/>
        </w:trPr>
        <w:tc>
          <w:tcPr>
            <w:tcW w:w="3700" w:type="dxa"/>
            <w:vAlign w:val="bottom"/>
          </w:tcPr>
          <w:p>
            <w:pPr>
              <w:spacing w:after="0"/>
              <w:rPr>
                <w:sz w:val="24"/>
                <w:szCs w:val="24"/>
                <w:color w:val="auto"/>
              </w:rPr>
            </w:pPr>
          </w:p>
        </w:tc>
        <w:tc>
          <w:tcPr>
            <w:tcW w:w="3040" w:type="dxa"/>
            <w:vAlign w:val="bottom"/>
            <w:vMerge w:val="continue"/>
          </w:tcPr>
          <w:p>
            <w:pPr>
              <w:spacing w:after="0"/>
              <w:rPr>
                <w:sz w:val="24"/>
                <w:szCs w:val="24"/>
                <w:color w:val="auto"/>
              </w:rPr>
            </w:pPr>
          </w:p>
        </w:tc>
        <w:tc>
          <w:tcPr>
            <w:tcW w:w="1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47"/>
        </w:trPr>
        <w:tc>
          <w:tcPr>
            <w:tcW w:w="3700" w:type="dxa"/>
            <w:vAlign w:val="bottom"/>
            <w:tcBorders>
              <w:bottom w:val="single" w:sz="8" w:color="auto"/>
            </w:tcBorders>
          </w:tcPr>
          <w:p>
            <w:pPr>
              <w:spacing w:after="0"/>
              <w:rPr>
                <w:sz w:val="24"/>
                <w:szCs w:val="24"/>
                <w:color w:val="auto"/>
              </w:rPr>
            </w:pPr>
          </w:p>
        </w:tc>
        <w:tc>
          <w:tcPr>
            <w:tcW w:w="30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513" w:right="1440" w:bottom="1440" w:gutter="0" w:footer="0" w:header="0"/>
        </w:sectPr>
      </w:pPr>
    </w:p>
    <w:bookmarkStart w:id="15" w:name="page16"/>
    <w:bookmarkEnd w:id="15"/>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ind w:left="40" w:right="59"/>
        <w:spacing w:after="0" w:line="278" w:lineRule="auto"/>
        <w:rPr>
          <w:sz w:val="20"/>
          <w:szCs w:val="20"/>
          <w:color w:val="auto"/>
        </w:rPr>
      </w:pPr>
      <w:r>
        <w:rPr>
          <w:rFonts w:ascii="Times New Roman" w:cs="Times New Roman" w:eastAsia="Times New Roman" w:hAnsi="Times New Roman"/>
          <w:sz w:val="18"/>
          <w:szCs w:val="18"/>
          <w:b w:val="1"/>
          <w:bCs w:val="1"/>
          <w:color w:val="auto"/>
        </w:rPr>
        <w:t>RIBBON COMMUNICATIONS INC. Notes to Condensed Consolidated Financial Statements (Continued) (unaudited)</w:t>
      </w:r>
    </w:p>
    <w:p>
      <w:pPr>
        <w:spacing w:after="0" w:line="38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(7) WARRANTY</w:t>
      </w:r>
    </w:p>
    <w:p>
      <w:pPr>
        <w:spacing w:after="0" w:line="229" w:lineRule="exact"/>
        <w:rPr>
          <w:sz w:val="20"/>
          <w:szCs w:val="20"/>
          <w:color w:val="auto"/>
        </w:rPr>
      </w:pPr>
    </w:p>
    <w:p>
      <w:pPr>
        <w:ind w:left="60" w:right="79" w:firstLine="324"/>
        <w:spacing w:after="0" w:line="282" w:lineRule="auto"/>
        <w:rPr>
          <w:sz w:val="20"/>
          <w:szCs w:val="20"/>
          <w:color w:val="auto"/>
        </w:rPr>
      </w:pPr>
      <w:r>
        <w:rPr>
          <w:rFonts w:ascii="Times New Roman" w:cs="Times New Roman" w:eastAsia="Times New Roman" w:hAnsi="Times New Roman"/>
          <w:sz w:val="18"/>
          <w:szCs w:val="18"/>
          <w:color w:val="auto"/>
        </w:rPr>
        <w:t>The changes in the Company’s warranty accrual balance in the three months ended March 31, 2026 were as follows (in thousands):</w:t>
      </w:r>
    </w:p>
    <w:p>
      <w:pPr>
        <w:spacing w:after="0" w:line="193" w:lineRule="exact"/>
        <w:rPr>
          <w:sz w:val="20"/>
          <w:szCs w:val="20"/>
          <w:color w:val="auto"/>
        </w:rPr>
      </w:pPr>
    </w:p>
    <w:tbl>
      <w:tblPr>
        <w:tblLayout w:type="fixed"/>
        <w:tblInd w:w="40" w:type="dxa"/>
        <w:tblCellMar>
          <w:top w:w="0" w:type="dxa"/>
          <w:left w:w="0" w:type="dxa"/>
          <w:bottom w:w="0" w:type="dxa"/>
          <w:right w:w="0" w:type="dxa"/>
        </w:tblCellMar>
      </w:tblPr>
      <w:tr>
        <w:trPr>
          <w:trHeight w:val="216"/>
        </w:trPr>
        <w:tc>
          <w:tcPr>
            <w:tcW w:w="7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January 1, 2026</w:t>
            </w: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12,819</w:t>
            </w:r>
          </w:p>
        </w:tc>
      </w:tr>
      <w:tr>
        <w:trPr>
          <w:trHeight w:val="216"/>
        </w:trPr>
        <w:tc>
          <w:tcPr>
            <w:tcW w:w="7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Current period provisions</w:t>
            </w:r>
          </w:p>
        </w:tc>
        <w:tc>
          <w:tcPr>
            <w:tcW w:w="3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1,355</w:t>
            </w:r>
          </w:p>
        </w:tc>
      </w:tr>
      <w:tr>
        <w:trPr>
          <w:trHeight w:val="216"/>
        </w:trPr>
        <w:tc>
          <w:tcPr>
            <w:tcW w:w="7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Settlements</w:t>
            </w:r>
          </w:p>
        </w:tc>
        <w:tc>
          <w:tcPr>
            <w:tcW w:w="34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(1,351)</w:t>
            </w:r>
          </w:p>
        </w:tc>
      </w:tr>
      <w:tr>
        <w:trPr>
          <w:trHeight w:val="209"/>
        </w:trPr>
        <w:tc>
          <w:tcPr>
            <w:tcW w:w="7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Balance at March 31, 2026</w:t>
            </w:r>
          </w:p>
        </w:tc>
        <w:tc>
          <w:tcPr>
            <w:tcW w:w="3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12,823</w:t>
            </w:r>
          </w:p>
        </w:tc>
      </w:tr>
      <w:tr>
        <w:trPr>
          <w:trHeight w:val="20"/>
        </w:trPr>
        <w:tc>
          <w:tcPr>
            <w:tcW w:w="77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r>
    </w:tbl>
    <w:p>
      <w:pPr>
        <w:spacing w:after="0" w:line="225" w:lineRule="exact"/>
        <w:rPr>
          <w:sz w:val="20"/>
          <w:szCs w:val="20"/>
          <w:color w:val="auto"/>
        </w:rPr>
      </w:pPr>
    </w:p>
    <w:p>
      <w:pPr>
        <w:ind w:left="60" w:right="139" w:firstLine="324"/>
        <w:spacing w:after="0" w:line="266" w:lineRule="auto"/>
        <w:rPr>
          <w:sz w:val="20"/>
          <w:szCs w:val="20"/>
          <w:color w:val="auto"/>
        </w:rPr>
      </w:pPr>
      <w:r>
        <w:rPr>
          <w:rFonts w:ascii="Times New Roman" w:cs="Times New Roman" w:eastAsia="Times New Roman" w:hAnsi="Times New Roman"/>
          <w:sz w:val="18"/>
          <w:szCs w:val="18"/>
          <w:color w:val="auto"/>
        </w:rPr>
        <w:t>At March 31, 2026, the Company’s accrual for product warranties was reflected in its condensed consolidated balance sheet as a current liability in Accrued expenses and other of $5.3 million, and as a long-term liability in Other long-term liabilities of $7.5 million.</w:t>
      </w:r>
    </w:p>
    <w:p>
      <w:pPr>
        <w:spacing w:after="0" w:line="38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(8) RESTRUCTURING AND FACILITIES CONSOLIDATION INITIATIVES</w:t>
      </w:r>
    </w:p>
    <w:p>
      <w:pPr>
        <w:spacing w:after="0" w:line="229" w:lineRule="exact"/>
        <w:rPr>
          <w:sz w:val="20"/>
          <w:szCs w:val="20"/>
          <w:color w:val="auto"/>
        </w:rPr>
      </w:pPr>
    </w:p>
    <w:p>
      <w:pPr>
        <w:ind w:left="60" w:right="119" w:firstLine="324"/>
        <w:spacing w:after="0" w:line="261" w:lineRule="auto"/>
        <w:rPr>
          <w:sz w:val="20"/>
          <w:szCs w:val="20"/>
          <w:color w:val="auto"/>
        </w:rPr>
      </w:pPr>
      <w:r>
        <w:rPr>
          <w:rFonts w:ascii="Times New Roman" w:cs="Times New Roman" w:eastAsia="Times New Roman" w:hAnsi="Times New Roman"/>
          <w:sz w:val="18"/>
          <w:szCs w:val="18"/>
          <w:color w:val="auto"/>
        </w:rPr>
        <w:t>The Company recorded restructuring and related expense aggregating $2.0 million and $5.3 million in the three months ended March 31, 2026 and 2025, respectively. Restructuring and related expense includes restructuring expense (primarily severance and related costs), estimated future variable and other lease costs for vacated properties with no intent or ability to sublease, and accelerated rent amortization expense.</w:t>
      </w:r>
    </w:p>
    <w:p>
      <w:pPr>
        <w:spacing w:after="0" w:line="180" w:lineRule="exact"/>
        <w:rPr>
          <w:sz w:val="20"/>
          <w:szCs w:val="20"/>
          <w:color w:val="auto"/>
        </w:rPr>
      </w:pPr>
    </w:p>
    <w:p>
      <w:pPr>
        <w:ind w:left="60" w:right="339" w:firstLine="324"/>
        <w:spacing w:after="0" w:line="254" w:lineRule="auto"/>
        <w:rPr>
          <w:sz w:val="20"/>
          <w:szCs w:val="20"/>
          <w:color w:val="auto"/>
        </w:rPr>
      </w:pPr>
      <w:r>
        <w:rPr>
          <w:rFonts w:ascii="Times New Roman" w:cs="Times New Roman" w:eastAsia="Times New Roman" w:hAnsi="Times New Roman"/>
          <w:sz w:val="18"/>
          <w:szCs w:val="18"/>
          <w:color w:val="auto"/>
        </w:rPr>
        <w:t>For restructuring events that involve lease assets and liabilities, the Company applies lease reassessment and modification guidance and evaluates the right-of-use assets for potential impairment. If the Company plans to exit all or distinct portions of a facility and does not have the ability or intent to sublease, the Company will accelerate the amortization of each of those lease components through the vacate date. The accelerated amortization is recorded as a component of Restructuring and related expense in the Company’s condensed consolidated statements of operations. Related variable lease expenses will continue to be expensed as incurred through the vacate date, at which time the Company will reassess the liability balance to ensure it appropriately reflects the remaining liability associated with the premises and record a liability for the estimated future variable lease costs.</w:t>
      </w:r>
    </w:p>
    <w:p>
      <w:pPr>
        <w:spacing w:after="0" w:line="192" w:lineRule="exact"/>
        <w:rPr>
          <w:sz w:val="20"/>
          <w:szCs w:val="20"/>
          <w:color w:val="auto"/>
        </w:rPr>
      </w:pPr>
    </w:p>
    <w:p>
      <w:pPr>
        <w:ind w:left="60" w:right="79" w:firstLine="324"/>
        <w:spacing w:after="0" w:line="254" w:lineRule="auto"/>
        <w:rPr>
          <w:sz w:val="20"/>
          <w:szCs w:val="20"/>
          <w:color w:val="auto"/>
        </w:rPr>
      </w:pPr>
      <w:r>
        <w:rPr>
          <w:rFonts w:ascii="Times New Roman" w:cs="Times New Roman" w:eastAsia="Times New Roman" w:hAnsi="Times New Roman"/>
          <w:sz w:val="18"/>
          <w:szCs w:val="18"/>
          <w:color w:val="auto"/>
        </w:rPr>
        <w:t>Accelerated amortization of lease assets is recognized from the date that the Company commences the plan to fully or partially vacate a facility, for which there is no intent or ability to enter into a sublease, through the final vacate date. Amounts of accelerated rent amortization that are included as a component of restructuring and related expense are excluded from the tables below, as the liability for lease payments for each respective facility is included as a component of Operating lease liabilities in the Company’s condensed consolidated balance sheets at March 31, 2026 and</w:t>
      </w:r>
    </w:p>
    <w:p>
      <w:pPr>
        <w:spacing w:after="0" w:line="3" w:lineRule="exact"/>
        <w:rPr>
          <w:sz w:val="20"/>
          <w:szCs w:val="20"/>
          <w:color w:val="auto"/>
        </w:rPr>
      </w:pPr>
    </w:p>
    <w:p>
      <w:pPr>
        <w:ind w:left="60" w:right="559"/>
        <w:spacing w:after="0" w:line="260" w:lineRule="auto"/>
        <w:rPr>
          <w:sz w:val="20"/>
          <w:szCs w:val="20"/>
          <w:color w:val="auto"/>
        </w:rPr>
      </w:pPr>
      <w:r>
        <w:rPr>
          <w:rFonts w:ascii="Times New Roman" w:cs="Times New Roman" w:eastAsia="Times New Roman" w:hAnsi="Times New Roman"/>
          <w:sz w:val="18"/>
          <w:szCs w:val="18"/>
          <w:color w:val="auto"/>
        </w:rPr>
        <w:t>December 31, 2025 (see Note 17). The Company may incur additional future expense if it is unable to sublease other locations included in the facilities initiative.</w:t>
      </w:r>
    </w:p>
    <w:p>
      <w:pPr>
        <w:spacing w:after="0" w:line="181" w:lineRule="exact"/>
        <w:rPr>
          <w:sz w:val="20"/>
          <w:szCs w:val="20"/>
          <w:color w:val="auto"/>
        </w:rPr>
      </w:pPr>
    </w:p>
    <w:p>
      <w:pPr>
        <w:ind w:left="60" w:right="359" w:firstLine="324"/>
        <w:spacing w:after="0" w:line="282" w:lineRule="auto"/>
        <w:rPr>
          <w:sz w:val="20"/>
          <w:szCs w:val="20"/>
          <w:color w:val="auto"/>
        </w:rPr>
      </w:pPr>
      <w:r>
        <w:rPr>
          <w:rFonts w:ascii="Times New Roman" w:cs="Times New Roman" w:eastAsia="Times New Roman" w:hAnsi="Times New Roman"/>
          <w:sz w:val="18"/>
          <w:szCs w:val="18"/>
          <w:color w:val="auto"/>
        </w:rPr>
        <w:t>The components of restructuring and related expense for the three months ended March 31, 2026 and 2025 were as follows (in thousands):</w:t>
      </w:r>
    </w:p>
    <w:p>
      <w:pPr>
        <w:spacing w:after="0" w:line="169"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3660" w:type="dxa"/>
            <w:vAlign w:val="bottom"/>
          </w:tcPr>
          <w:p>
            <w:pPr>
              <w:spacing w:after="0"/>
              <w:rPr>
                <w:sz w:val="15"/>
                <w:szCs w:val="15"/>
                <w:color w:val="auto"/>
              </w:rPr>
            </w:pPr>
          </w:p>
        </w:tc>
        <w:tc>
          <w:tcPr>
            <w:tcW w:w="30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60" w:type="dxa"/>
            <w:vAlign w:val="bottom"/>
            <w:gridSpan w:val="5"/>
          </w:tcPr>
          <w:p>
            <w:pPr>
              <w:ind w:left="34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0" w:type="dxa"/>
            <w:vAlign w:val="bottom"/>
          </w:tcPr>
          <w:p>
            <w:pPr>
              <w:spacing w:after="0"/>
              <w:rPr>
                <w:sz w:val="1"/>
                <w:szCs w:val="1"/>
                <w:color w:val="auto"/>
              </w:rPr>
            </w:pPr>
          </w:p>
        </w:tc>
      </w:tr>
      <w:tr>
        <w:trPr>
          <w:trHeight w:val="117"/>
        </w:trPr>
        <w:tc>
          <w:tcPr>
            <w:tcW w:w="3660" w:type="dxa"/>
            <w:vAlign w:val="bottom"/>
          </w:tcPr>
          <w:p>
            <w:pPr>
              <w:spacing w:after="0"/>
              <w:rPr>
                <w:sz w:val="10"/>
                <w:szCs w:val="10"/>
                <w:color w:val="auto"/>
              </w:rPr>
            </w:pPr>
          </w:p>
        </w:tc>
        <w:tc>
          <w:tcPr>
            <w:tcW w:w="3080" w:type="dxa"/>
            <w:vAlign w:val="bottom"/>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860" w:type="dxa"/>
            <w:vAlign w:val="bottom"/>
            <w:tcBorders>
              <w:top w:val="single" w:sz="8" w:color="auto"/>
            </w:tcBorders>
          </w:tcPr>
          <w:p>
            <w:pPr>
              <w:jc w:val="right"/>
              <w:ind w:right="120"/>
              <w:spacing w:after="0" w:line="118" w:lineRule="exact"/>
              <w:rPr>
                <w:sz w:val="20"/>
                <w:szCs w:val="20"/>
                <w:color w:val="auto"/>
              </w:rPr>
            </w:pPr>
            <w:r>
              <w:rPr>
                <w:rFonts w:ascii="Times New Roman" w:cs="Times New Roman" w:eastAsia="Times New Roman" w:hAnsi="Times New Roman"/>
                <w:sz w:val="13"/>
                <w:szCs w:val="13"/>
                <w:b w:val="1"/>
                <w:bCs w:val="1"/>
                <w:color w:val="auto"/>
              </w:rPr>
              <w:t>March 31,</w:t>
            </w:r>
          </w:p>
        </w:tc>
        <w:tc>
          <w:tcPr>
            <w:tcW w:w="320" w:type="dxa"/>
            <w:vAlign w:val="bottom"/>
            <w:tcBorders>
              <w:top w:val="single" w:sz="8" w:color="auto"/>
            </w:tcBorders>
            <w:gridSpan w:val="2"/>
            <w:vMerge w:val="restart"/>
          </w:tcPr>
          <w:p>
            <w:pPr>
              <w:jc w:val="right"/>
              <w:ind w:right="50"/>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Borders>
              <w:top w:val="single" w:sz="8" w:color="auto"/>
            </w:tcBorders>
          </w:tcPr>
          <w:p>
            <w:pPr>
              <w:jc w:val="right"/>
              <w:ind w:right="98"/>
              <w:spacing w:after="0" w:line="118" w:lineRule="exact"/>
              <w:rPr>
                <w:sz w:val="20"/>
                <w:szCs w:val="20"/>
                <w:color w:val="auto"/>
              </w:rPr>
            </w:pPr>
            <w:r>
              <w:rPr>
                <w:rFonts w:ascii="Times New Roman" w:cs="Times New Roman" w:eastAsia="Times New Roman" w:hAnsi="Times New Roman"/>
                <w:sz w:val="13"/>
                <w:szCs w:val="13"/>
                <w:b w:val="1"/>
                <w:bCs w:val="1"/>
                <w:color w:val="auto"/>
              </w:rPr>
              <w:t>March 31,</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3"/>
        </w:trPr>
        <w:tc>
          <w:tcPr>
            <w:tcW w:w="3660" w:type="dxa"/>
            <w:vAlign w:val="bottom"/>
          </w:tcPr>
          <w:p>
            <w:pPr>
              <w:spacing w:after="0"/>
              <w:rPr>
                <w:sz w:val="15"/>
                <w:szCs w:val="15"/>
                <w:color w:val="auto"/>
              </w:rPr>
            </w:pPr>
          </w:p>
        </w:tc>
        <w:tc>
          <w:tcPr>
            <w:tcW w:w="30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60" w:type="dxa"/>
            <w:vAlign w:val="bottom"/>
          </w:tcPr>
          <w:p>
            <w:pPr>
              <w:jc w:val="right"/>
              <w:ind w:right="260"/>
              <w:spacing w:after="0"/>
              <w:rPr>
                <w:sz w:val="20"/>
                <w:szCs w:val="20"/>
                <w:color w:val="auto"/>
              </w:rPr>
            </w:pPr>
            <w:r>
              <w:rPr>
                <w:rFonts w:ascii="Times New Roman" w:cs="Times New Roman" w:eastAsia="Times New Roman" w:hAnsi="Times New Roman"/>
                <w:sz w:val="14"/>
                <w:szCs w:val="14"/>
                <w:b w:val="1"/>
                <w:bCs w:val="1"/>
                <w:color w:val="auto"/>
              </w:rPr>
              <w:t>2026</w:t>
            </w:r>
          </w:p>
        </w:tc>
        <w:tc>
          <w:tcPr>
            <w:tcW w:w="320" w:type="dxa"/>
            <w:vAlign w:val="bottom"/>
            <w:gridSpan w:val="2"/>
            <w:vMerge w:val="continue"/>
          </w:tcPr>
          <w:p>
            <w:pPr>
              <w:spacing w:after="0"/>
              <w:rPr>
                <w:sz w:val="15"/>
                <w:szCs w:val="15"/>
                <w:color w:val="auto"/>
              </w:rPr>
            </w:pPr>
          </w:p>
        </w:tc>
        <w:tc>
          <w:tcPr>
            <w:tcW w:w="860" w:type="dxa"/>
            <w:vAlign w:val="bottom"/>
          </w:tcPr>
          <w:p>
            <w:pPr>
              <w:jc w:val="right"/>
              <w:ind w:right="258"/>
              <w:spacing w:after="0"/>
              <w:rPr>
                <w:sz w:val="20"/>
                <w:szCs w:val="20"/>
                <w:color w:val="auto"/>
              </w:rPr>
            </w:pPr>
            <w:r>
              <w:rPr>
                <w:rFonts w:ascii="Times New Roman" w:cs="Times New Roman" w:eastAsia="Times New Roman" w:hAnsi="Times New Roman"/>
                <w:sz w:val="14"/>
                <w:szCs w:val="14"/>
                <w:b w:val="1"/>
                <w:bCs w:val="1"/>
                <w:color w:val="auto"/>
              </w:rPr>
              <w:t>2025</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36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Severance and related costs</w:t>
            </w:r>
          </w:p>
        </w:tc>
        <w:tc>
          <w:tcPr>
            <w:tcW w:w="30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853</w:t>
            </w:r>
          </w:p>
        </w:tc>
        <w:tc>
          <w:tcPr>
            <w:tcW w:w="2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2,276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Variable and other facilities-related costs</w:t>
            </w:r>
          </w:p>
        </w:tc>
        <w:tc>
          <w:tcPr>
            <w:tcW w:w="308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1,185</w:t>
            </w:r>
          </w:p>
        </w:tc>
        <w:tc>
          <w:tcPr>
            <w:tcW w:w="2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3,065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660" w:type="dxa"/>
            <w:vAlign w:val="bottom"/>
            <w:tcBorders>
              <w:bottom w:val="single" w:sz="8" w:color="CCEEFF"/>
            </w:tcBorders>
            <w:shd w:val="clear" w:color="auto" w:fill="CCEEFF"/>
          </w:tcPr>
          <w:p>
            <w:pPr>
              <w:spacing w:after="0"/>
              <w:rPr>
                <w:sz w:val="18"/>
                <w:szCs w:val="18"/>
                <w:color w:val="auto"/>
              </w:rPr>
            </w:pPr>
          </w:p>
        </w:tc>
        <w:tc>
          <w:tcPr>
            <w:tcW w:w="308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2,038</w:t>
            </w:r>
          </w:p>
        </w:tc>
        <w:tc>
          <w:tcPr>
            <w:tcW w:w="2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5,341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660" w:type="dxa"/>
            <w:vAlign w:val="bottom"/>
          </w:tcPr>
          <w:p>
            <w:pPr>
              <w:spacing w:after="0" w:line="20" w:lineRule="exact"/>
              <w:rPr>
                <w:sz w:val="1"/>
                <w:szCs w:val="1"/>
                <w:color w:val="auto"/>
              </w:rPr>
            </w:pPr>
          </w:p>
        </w:tc>
        <w:tc>
          <w:tcPr>
            <w:tcW w:w="3080" w:type="dxa"/>
            <w:vAlign w:val="bottom"/>
            <w:vMerge w:val="restart"/>
          </w:tcPr>
          <w:p>
            <w:pPr>
              <w:jc w:val="right"/>
              <w:ind w:right="2090"/>
              <w:spacing w:after="0"/>
              <w:rPr>
                <w:sz w:val="20"/>
                <w:szCs w:val="20"/>
                <w:color w:val="auto"/>
              </w:rPr>
            </w:pPr>
            <w:r>
              <w:rPr>
                <w:rFonts w:ascii="Times New Roman" w:cs="Times New Roman" w:eastAsia="Times New Roman" w:hAnsi="Times New Roman"/>
                <w:sz w:val="18"/>
                <w:szCs w:val="18"/>
                <w:color w:val="auto"/>
              </w:rPr>
              <w:t>16</w:t>
            </w:r>
          </w:p>
        </w:tc>
        <w:tc>
          <w:tcPr>
            <w:tcW w:w="1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44"/>
        </w:trPr>
        <w:tc>
          <w:tcPr>
            <w:tcW w:w="3660" w:type="dxa"/>
            <w:vAlign w:val="bottom"/>
          </w:tcPr>
          <w:p>
            <w:pPr>
              <w:spacing w:after="0"/>
              <w:rPr>
                <w:sz w:val="24"/>
                <w:szCs w:val="24"/>
                <w:color w:val="auto"/>
              </w:rPr>
            </w:pPr>
          </w:p>
        </w:tc>
        <w:tc>
          <w:tcPr>
            <w:tcW w:w="3080" w:type="dxa"/>
            <w:vAlign w:val="bottom"/>
            <w:vMerge w:val="continue"/>
          </w:tcPr>
          <w:p>
            <w:pPr>
              <w:spacing w:after="0"/>
              <w:rPr>
                <w:sz w:val="24"/>
                <w:szCs w:val="24"/>
                <w:color w:val="auto"/>
              </w:rPr>
            </w:pPr>
          </w:p>
        </w:tc>
        <w:tc>
          <w:tcPr>
            <w:tcW w:w="1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47"/>
        </w:trPr>
        <w:tc>
          <w:tcPr>
            <w:tcW w:w="3660" w:type="dxa"/>
            <w:vAlign w:val="bottom"/>
            <w:tcBorders>
              <w:bottom w:val="single" w:sz="8" w:color="auto"/>
            </w:tcBorders>
          </w:tcPr>
          <w:p>
            <w:pPr>
              <w:spacing w:after="0"/>
              <w:rPr>
                <w:sz w:val="24"/>
                <w:szCs w:val="24"/>
                <w:color w:val="auto"/>
              </w:rPr>
            </w:pPr>
          </w:p>
        </w:tc>
        <w:tc>
          <w:tcPr>
            <w:tcW w:w="30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513" w:right="1440" w:bottom="1440" w:gutter="0" w:footer="0" w:header="0"/>
        </w:sectPr>
      </w:pPr>
    </w:p>
    <w:bookmarkStart w:id="16" w:name="page17"/>
    <w:bookmarkEnd w:id="16"/>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ind w:left="1500" w:right="1840"/>
        <w:spacing w:after="0" w:line="278" w:lineRule="auto"/>
        <w:rPr>
          <w:sz w:val="20"/>
          <w:szCs w:val="20"/>
          <w:color w:val="auto"/>
        </w:rPr>
      </w:pPr>
      <w:r>
        <w:rPr>
          <w:rFonts w:ascii="Times New Roman" w:cs="Times New Roman" w:eastAsia="Times New Roman" w:hAnsi="Times New Roman"/>
          <w:sz w:val="18"/>
          <w:szCs w:val="18"/>
          <w:b w:val="1"/>
          <w:bCs w:val="1"/>
          <w:color w:val="auto"/>
        </w:rPr>
        <w:t>RIBBON COMMUNICATIONS INC. Notes to Condensed Consolidated Financial Statements (Continued) (unaudited)</w:t>
      </w:r>
    </w:p>
    <w:p>
      <w:pPr>
        <w:spacing w:after="0" w:line="388" w:lineRule="exact"/>
        <w:rPr>
          <w:sz w:val="20"/>
          <w:szCs w:val="20"/>
          <w:color w:val="auto"/>
        </w:rPr>
      </w:pPr>
    </w:p>
    <w:p>
      <w:pPr>
        <w:ind w:left="60" w:right="219" w:firstLine="324"/>
        <w:spacing w:after="0" w:line="282" w:lineRule="auto"/>
        <w:rPr>
          <w:sz w:val="20"/>
          <w:szCs w:val="20"/>
          <w:color w:val="auto"/>
        </w:rPr>
      </w:pPr>
      <w:r>
        <w:rPr>
          <w:rFonts w:ascii="Times New Roman" w:cs="Times New Roman" w:eastAsia="Times New Roman" w:hAnsi="Times New Roman"/>
          <w:sz w:val="18"/>
          <w:szCs w:val="18"/>
          <w:color w:val="auto"/>
        </w:rPr>
        <w:t>The following table presents the rollforward of accrued restructuring liabilities for the Company’s restructuring plans for the three months ended March 31, 2026 (in thousands):</w:t>
      </w:r>
    </w:p>
    <w:p>
      <w:pPr>
        <w:spacing w:after="0" w:line="156"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36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60" w:type="dxa"/>
            <w:vAlign w:val="bottom"/>
            <w:gridSpan w:val="2"/>
          </w:tcPr>
          <w:p>
            <w:pPr>
              <w:jc w:val="right"/>
              <w:ind w:right="320"/>
              <w:spacing w:after="0"/>
              <w:rPr>
                <w:sz w:val="20"/>
                <w:szCs w:val="20"/>
                <w:color w:val="auto"/>
              </w:rPr>
            </w:pPr>
            <w:r>
              <w:rPr>
                <w:rFonts w:ascii="Times New Roman" w:cs="Times New Roman" w:eastAsia="Times New Roman" w:hAnsi="Times New Roman"/>
                <w:sz w:val="14"/>
                <w:szCs w:val="14"/>
                <w:b w:val="1"/>
                <w:bCs w:val="1"/>
                <w:color w:val="auto"/>
              </w:rPr>
              <w:t>2022 and Prior</w:t>
            </w:r>
          </w:p>
        </w:tc>
        <w:tc>
          <w:tcPr>
            <w:tcW w:w="140" w:type="dxa"/>
            <w:vAlign w:val="bottom"/>
          </w:tcPr>
          <w:p>
            <w:pPr>
              <w:spacing w:after="0"/>
              <w:rPr>
                <w:sz w:val="13"/>
                <w:szCs w:val="13"/>
                <w:color w:val="auto"/>
              </w:rPr>
            </w:pPr>
          </w:p>
        </w:tc>
        <w:tc>
          <w:tcPr>
            <w:tcW w:w="1020" w:type="dxa"/>
            <w:vAlign w:val="bottom"/>
          </w:tcPr>
          <w:p>
            <w:pPr>
              <w:ind w:left="280"/>
              <w:spacing w:after="0"/>
              <w:rPr>
                <w:sz w:val="20"/>
                <w:szCs w:val="20"/>
                <w:color w:val="auto"/>
              </w:rPr>
            </w:pPr>
            <w:r>
              <w:rPr>
                <w:rFonts w:ascii="Times New Roman" w:cs="Times New Roman" w:eastAsia="Times New Roman" w:hAnsi="Times New Roman"/>
                <w:sz w:val="14"/>
                <w:szCs w:val="14"/>
                <w:b w:val="1"/>
                <w:bCs w:val="1"/>
                <w:color w:val="auto"/>
              </w:rPr>
              <w:t>2025</w:t>
            </w:r>
          </w:p>
        </w:tc>
        <w:tc>
          <w:tcPr>
            <w:tcW w:w="1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0" w:type="dxa"/>
            <w:vAlign w:val="bottom"/>
          </w:tcPr>
          <w:p>
            <w:pPr>
              <w:jc w:val="right"/>
              <w:ind w:right="358"/>
              <w:spacing w:after="0"/>
              <w:rPr>
                <w:sz w:val="20"/>
                <w:szCs w:val="20"/>
                <w:color w:val="auto"/>
              </w:rPr>
            </w:pPr>
            <w:r>
              <w:rPr>
                <w:rFonts w:ascii="Times New Roman" w:cs="Times New Roman" w:eastAsia="Times New Roman" w:hAnsi="Times New Roman"/>
                <w:sz w:val="14"/>
                <w:szCs w:val="14"/>
                <w:b w:val="1"/>
                <w:bCs w:val="1"/>
                <w:color w:val="auto"/>
              </w:rPr>
              <w:t>2026</w:t>
            </w:r>
          </w:p>
        </w:tc>
        <w:tc>
          <w:tcPr>
            <w:tcW w:w="2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3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60" w:type="dxa"/>
            <w:vAlign w:val="bottom"/>
            <w:gridSpan w:val="2"/>
          </w:tcPr>
          <w:p>
            <w:pPr>
              <w:jc w:val="right"/>
              <w:ind w:right="280"/>
              <w:spacing w:after="0" w:line="149" w:lineRule="exact"/>
              <w:rPr>
                <w:sz w:val="20"/>
                <w:szCs w:val="20"/>
                <w:color w:val="auto"/>
              </w:rPr>
            </w:pPr>
            <w:r>
              <w:rPr>
                <w:rFonts w:ascii="Times New Roman" w:cs="Times New Roman" w:eastAsia="Times New Roman" w:hAnsi="Times New Roman"/>
                <w:sz w:val="14"/>
                <w:szCs w:val="14"/>
                <w:b w:val="1"/>
                <w:bCs w:val="1"/>
                <w:color w:val="auto"/>
              </w:rPr>
              <w:t>Restructuring</w:t>
            </w:r>
          </w:p>
        </w:tc>
        <w:tc>
          <w:tcPr>
            <w:tcW w:w="140" w:type="dxa"/>
            <w:vAlign w:val="bottom"/>
          </w:tcPr>
          <w:p>
            <w:pPr>
              <w:spacing w:after="0"/>
              <w:rPr>
                <w:sz w:val="12"/>
                <w:szCs w:val="12"/>
                <w:color w:val="auto"/>
              </w:rPr>
            </w:pPr>
          </w:p>
        </w:tc>
        <w:tc>
          <w:tcPr>
            <w:tcW w:w="1200" w:type="dxa"/>
            <w:vAlign w:val="bottom"/>
            <w:gridSpan w:val="2"/>
          </w:tcPr>
          <w:p>
            <w:pPr>
              <w:ind w:left="60"/>
              <w:spacing w:after="0" w:line="149" w:lineRule="exact"/>
              <w:rPr>
                <w:sz w:val="20"/>
                <w:szCs w:val="20"/>
                <w:color w:val="auto"/>
              </w:rPr>
            </w:pPr>
            <w:r>
              <w:rPr>
                <w:rFonts w:ascii="Times New Roman" w:cs="Times New Roman" w:eastAsia="Times New Roman" w:hAnsi="Times New Roman"/>
                <w:sz w:val="14"/>
                <w:szCs w:val="14"/>
                <w:b w:val="1"/>
                <w:bCs w:val="1"/>
                <w:color w:val="auto"/>
              </w:rPr>
              <w:t>Restructuring</w:t>
            </w:r>
          </w:p>
        </w:tc>
        <w:tc>
          <w:tcPr>
            <w:tcW w:w="160" w:type="dxa"/>
            <w:vAlign w:val="bottom"/>
          </w:tcPr>
          <w:p>
            <w:pPr>
              <w:spacing w:after="0"/>
              <w:rPr>
                <w:sz w:val="12"/>
                <w:szCs w:val="12"/>
                <w:color w:val="auto"/>
              </w:rPr>
            </w:pPr>
          </w:p>
        </w:tc>
        <w:tc>
          <w:tcPr>
            <w:tcW w:w="1200" w:type="dxa"/>
            <w:vAlign w:val="bottom"/>
            <w:gridSpan w:val="2"/>
          </w:tcPr>
          <w:p>
            <w:pPr>
              <w:jc w:val="right"/>
              <w:ind w:right="280"/>
              <w:spacing w:after="0" w:line="149" w:lineRule="exact"/>
              <w:rPr>
                <w:sz w:val="20"/>
                <w:szCs w:val="20"/>
                <w:color w:val="auto"/>
              </w:rPr>
            </w:pPr>
            <w:r>
              <w:rPr>
                <w:rFonts w:ascii="Times New Roman" w:cs="Times New Roman" w:eastAsia="Times New Roman" w:hAnsi="Times New Roman"/>
                <w:sz w:val="14"/>
                <w:szCs w:val="14"/>
                <w:b w:val="1"/>
                <w:bCs w:val="1"/>
                <w:color w:val="auto"/>
              </w:rPr>
              <w:t>Restructuring</w:t>
            </w:r>
          </w:p>
        </w:tc>
        <w:tc>
          <w:tcPr>
            <w:tcW w:w="260" w:type="dxa"/>
            <w:vAlign w:val="bottom"/>
          </w:tcPr>
          <w:p>
            <w:pPr>
              <w:spacing w:after="0"/>
              <w:rPr>
                <w:sz w:val="12"/>
                <w:szCs w:val="12"/>
                <w:color w:val="auto"/>
              </w:rPr>
            </w:pPr>
          </w:p>
        </w:tc>
        <w:tc>
          <w:tcPr>
            <w:tcW w:w="900" w:type="dxa"/>
            <w:vAlign w:val="bottom"/>
            <w:vMerge w:val="restart"/>
          </w:tcPr>
          <w:p>
            <w:pPr>
              <w:jc w:val="right"/>
              <w:ind w:right="334"/>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73"/>
        </w:trPr>
        <w:tc>
          <w:tcPr>
            <w:tcW w:w="3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60" w:type="dxa"/>
            <w:vAlign w:val="bottom"/>
            <w:gridSpan w:val="2"/>
          </w:tcPr>
          <w:p>
            <w:pPr>
              <w:jc w:val="right"/>
              <w:ind w:right="600"/>
              <w:spacing w:after="0"/>
              <w:rPr>
                <w:sz w:val="20"/>
                <w:szCs w:val="20"/>
                <w:color w:val="auto"/>
              </w:rPr>
            </w:pPr>
            <w:r>
              <w:rPr>
                <w:rFonts w:ascii="Times New Roman" w:cs="Times New Roman" w:eastAsia="Times New Roman" w:hAnsi="Times New Roman"/>
                <w:sz w:val="14"/>
                <w:szCs w:val="14"/>
                <w:b w:val="1"/>
                <w:bCs w:val="1"/>
                <w:color w:val="auto"/>
              </w:rPr>
              <w:t>Plans</w:t>
            </w:r>
          </w:p>
        </w:tc>
        <w:tc>
          <w:tcPr>
            <w:tcW w:w="140" w:type="dxa"/>
            <w:vAlign w:val="bottom"/>
          </w:tcPr>
          <w:p>
            <w:pPr>
              <w:spacing w:after="0"/>
              <w:rPr>
                <w:sz w:val="15"/>
                <w:szCs w:val="15"/>
                <w:color w:val="auto"/>
              </w:rPr>
            </w:pPr>
          </w:p>
        </w:tc>
        <w:tc>
          <w:tcPr>
            <w:tcW w:w="1200" w:type="dxa"/>
            <w:vAlign w:val="bottom"/>
            <w:gridSpan w:val="2"/>
          </w:tcPr>
          <w:p>
            <w:pPr>
              <w:ind w:left="300"/>
              <w:spacing w:after="0"/>
              <w:rPr>
                <w:sz w:val="20"/>
                <w:szCs w:val="20"/>
                <w:color w:val="auto"/>
              </w:rPr>
            </w:pPr>
            <w:r>
              <w:rPr>
                <w:rFonts w:ascii="Times New Roman" w:cs="Times New Roman" w:eastAsia="Times New Roman" w:hAnsi="Times New Roman"/>
                <w:sz w:val="14"/>
                <w:szCs w:val="14"/>
                <w:b w:val="1"/>
                <w:bCs w:val="1"/>
                <w:color w:val="auto"/>
              </w:rPr>
              <w:t>Plan</w:t>
            </w:r>
          </w:p>
        </w:tc>
        <w:tc>
          <w:tcPr>
            <w:tcW w:w="160" w:type="dxa"/>
            <w:vAlign w:val="bottom"/>
          </w:tcPr>
          <w:p>
            <w:pPr>
              <w:spacing w:after="0"/>
              <w:rPr>
                <w:sz w:val="15"/>
                <w:szCs w:val="15"/>
                <w:color w:val="auto"/>
              </w:rPr>
            </w:pPr>
          </w:p>
        </w:tc>
        <w:tc>
          <w:tcPr>
            <w:tcW w:w="1200" w:type="dxa"/>
            <w:vAlign w:val="bottom"/>
            <w:gridSpan w:val="2"/>
          </w:tcPr>
          <w:p>
            <w:pPr>
              <w:jc w:val="right"/>
              <w:ind w:right="640"/>
              <w:spacing w:after="0"/>
              <w:rPr>
                <w:sz w:val="20"/>
                <w:szCs w:val="20"/>
                <w:color w:val="auto"/>
              </w:rPr>
            </w:pPr>
            <w:r>
              <w:rPr>
                <w:rFonts w:ascii="Times New Roman" w:cs="Times New Roman" w:eastAsia="Times New Roman" w:hAnsi="Times New Roman"/>
                <w:sz w:val="14"/>
                <w:szCs w:val="14"/>
                <w:b w:val="1"/>
                <w:bCs w:val="1"/>
                <w:color w:val="auto"/>
              </w:rPr>
              <w:t>Plan</w:t>
            </w:r>
          </w:p>
        </w:tc>
        <w:tc>
          <w:tcPr>
            <w:tcW w:w="260" w:type="dxa"/>
            <w:vAlign w:val="bottom"/>
          </w:tcPr>
          <w:p>
            <w:pPr>
              <w:spacing w:after="0"/>
              <w:rPr>
                <w:sz w:val="15"/>
                <w:szCs w:val="15"/>
                <w:color w:val="auto"/>
              </w:rPr>
            </w:pPr>
          </w:p>
        </w:tc>
        <w:tc>
          <w:tcPr>
            <w:tcW w:w="9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36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Balances, January 1, 2026</w:t>
            </w: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806</w:t>
            </w:r>
          </w:p>
        </w:tc>
        <w:tc>
          <w:tcPr>
            <w:tcW w:w="2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622</w:t>
            </w:r>
          </w:p>
        </w:tc>
        <w:tc>
          <w:tcPr>
            <w:tcW w:w="1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8,461</w:t>
            </w:r>
          </w:p>
        </w:tc>
        <w:tc>
          <w:tcPr>
            <w:tcW w:w="2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9,889</w:t>
            </w:r>
          </w:p>
        </w:tc>
        <w:tc>
          <w:tcPr>
            <w:tcW w:w="0" w:type="dxa"/>
            <w:vAlign w:val="bottom"/>
          </w:tcPr>
          <w:p>
            <w:pPr>
              <w:spacing w:after="0"/>
              <w:rPr>
                <w:sz w:val="1"/>
                <w:szCs w:val="1"/>
                <w:color w:val="auto"/>
              </w:rPr>
            </w:pPr>
          </w:p>
        </w:tc>
      </w:tr>
      <w:tr>
        <w:trPr>
          <w:trHeight w:val="216"/>
        </w:trPr>
        <w:tc>
          <w:tcPr>
            <w:tcW w:w="3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Charged to expense</w:t>
            </w:r>
          </w:p>
        </w:tc>
        <w:tc>
          <w:tcPr>
            <w:tcW w:w="1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683</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1,315</w:t>
            </w: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2,038</w:t>
            </w:r>
          </w:p>
        </w:tc>
        <w:tc>
          <w:tcPr>
            <w:tcW w:w="0" w:type="dxa"/>
            <w:vAlign w:val="bottom"/>
          </w:tcPr>
          <w:p>
            <w:pPr>
              <w:spacing w:after="0"/>
              <w:rPr>
                <w:sz w:val="1"/>
                <w:szCs w:val="1"/>
                <w:color w:val="auto"/>
              </w:rPr>
            </w:pPr>
          </w:p>
        </w:tc>
      </w:tr>
      <w:tr>
        <w:trPr>
          <w:trHeight w:val="216"/>
        </w:trPr>
        <w:tc>
          <w:tcPr>
            <w:tcW w:w="3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Payments</w:t>
            </w: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(747)</w:t>
            </w: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(238)</w:t>
            </w:r>
          </w:p>
        </w:tc>
        <w:tc>
          <w:tcPr>
            <w:tcW w:w="1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(6,507)</w:t>
            </w: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(7,492)</w:t>
            </w:r>
          </w:p>
        </w:tc>
        <w:tc>
          <w:tcPr>
            <w:tcW w:w="0" w:type="dxa"/>
            <w:vAlign w:val="bottom"/>
          </w:tcPr>
          <w:p>
            <w:pPr>
              <w:spacing w:after="0"/>
              <w:rPr>
                <w:sz w:val="1"/>
                <w:szCs w:val="1"/>
                <w:color w:val="auto"/>
              </w:rPr>
            </w:pPr>
          </w:p>
        </w:tc>
      </w:tr>
      <w:tr>
        <w:trPr>
          <w:trHeight w:val="210"/>
        </w:trPr>
        <w:tc>
          <w:tcPr>
            <w:tcW w:w="3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Balances, March 31, 2026</w:t>
            </w: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742</w:t>
            </w:r>
          </w:p>
        </w:tc>
        <w:tc>
          <w:tcPr>
            <w:tcW w:w="20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424</w:t>
            </w:r>
          </w:p>
        </w:tc>
        <w:tc>
          <w:tcPr>
            <w:tcW w:w="180" w:type="dxa"/>
            <w:vAlign w:val="bottom"/>
          </w:tcPr>
          <w:p>
            <w:pPr>
              <w:spacing w:after="0"/>
              <w:rPr>
                <w:sz w:val="18"/>
                <w:szCs w:val="18"/>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3,269</w:t>
            </w:r>
          </w:p>
        </w:tc>
        <w:tc>
          <w:tcPr>
            <w:tcW w:w="200" w:type="dxa"/>
            <w:vAlign w:val="bottom"/>
          </w:tcPr>
          <w:p>
            <w:pPr>
              <w:spacing w:after="0"/>
              <w:rPr>
                <w:sz w:val="18"/>
                <w:szCs w:val="18"/>
                <w:color w:val="auto"/>
              </w:rPr>
            </w:pPr>
          </w:p>
        </w:tc>
        <w:tc>
          <w:tcPr>
            <w:tcW w:w="260" w:type="dxa"/>
            <w:vAlign w:val="bottom"/>
            <w:tcBorders>
              <w:top w:val="single" w:sz="8" w:color="auto"/>
              <w:bottom w:val="single" w:sz="8" w:color="auto"/>
            </w:tcBorders>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4,435</w:t>
            </w:r>
          </w:p>
        </w:tc>
        <w:tc>
          <w:tcPr>
            <w:tcW w:w="0" w:type="dxa"/>
            <w:vAlign w:val="bottom"/>
          </w:tcPr>
          <w:p>
            <w:pPr>
              <w:spacing w:after="0"/>
              <w:rPr>
                <w:sz w:val="1"/>
                <w:szCs w:val="1"/>
                <w:color w:val="auto"/>
              </w:rPr>
            </w:pPr>
          </w:p>
        </w:tc>
      </w:tr>
      <w:tr>
        <w:trPr>
          <w:trHeight w:val="20"/>
        </w:trPr>
        <w:tc>
          <w:tcPr>
            <w:tcW w:w="36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2026 Restructuring Plan</w:t>
      </w:r>
    </w:p>
    <w:p>
      <w:pPr>
        <w:spacing w:after="0" w:line="229" w:lineRule="exact"/>
        <w:rPr>
          <w:sz w:val="20"/>
          <w:szCs w:val="20"/>
          <w:color w:val="auto"/>
        </w:rPr>
      </w:pPr>
    </w:p>
    <w:p>
      <w:pPr>
        <w:ind w:left="60" w:right="79" w:firstLine="324"/>
        <w:spacing w:after="0" w:line="258" w:lineRule="auto"/>
        <w:rPr>
          <w:sz w:val="20"/>
          <w:szCs w:val="20"/>
          <w:color w:val="auto"/>
        </w:rPr>
      </w:pPr>
      <w:r>
        <w:rPr>
          <w:rFonts w:ascii="Times New Roman" w:cs="Times New Roman" w:eastAsia="Times New Roman" w:hAnsi="Times New Roman"/>
          <w:sz w:val="18"/>
          <w:szCs w:val="18"/>
          <w:color w:val="auto"/>
        </w:rPr>
        <w:t>During the fourth quarter of 2025, the Company’s President and Chief Executive Officer (“CEO”) approved a strategic restructuring program (the "2026 Restructuring Plan") that consists of workforce reductions in certain of the Company’s operating locations to correspond with current sales levels in those areas. Any positions eliminated in countries outside the United States are subject to local law and consultation requirements. In connection with the 2026 Restructuring Plan, the Company recorded restructuring and related expense of $1.3 million in the three months ended March 31, 2026.</w:t>
      </w:r>
    </w:p>
    <w:p>
      <w:pPr>
        <w:spacing w:after="0" w:line="17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2025 Restructuring Plan</w:t>
      </w:r>
    </w:p>
    <w:p>
      <w:pPr>
        <w:spacing w:after="0" w:line="229" w:lineRule="exact"/>
        <w:rPr>
          <w:sz w:val="20"/>
          <w:szCs w:val="20"/>
          <w:color w:val="auto"/>
        </w:rPr>
      </w:pPr>
    </w:p>
    <w:p>
      <w:pPr>
        <w:ind w:left="60" w:right="119" w:firstLine="324"/>
        <w:spacing w:after="0" w:line="255" w:lineRule="auto"/>
        <w:rPr>
          <w:sz w:val="20"/>
          <w:szCs w:val="20"/>
          <w:color w:val="auto"/>
        </w:rPr>
      </w:pPr>
      <w:r>
        <w:rPr>
          <w:rFonts w:ascii="Times New Roman" w:cs="Times New Roman" w:eastAsia="Times New Roman" w:hAnsi="Times New Roman"/>
          <w:sz w:val="18"/>
          <w:szCs w:val="18"/>
          <w:color w:val="auto"/>
        </w:rPr>
        <w:t>During the first quarter of 2025, the Company’s President and CEO approved a strategic restructuring program (as subsequently amended, the "2025 Restructuring Plan") that consists of workforce reductions in certain of the Company’s operating locations to correspond with current sales levels in those areas. The 2025 Restructuring Plan was amended in the third quarter of 2025 to reflect an increase in the scope of the proposed reductions. Any positions eliminated in countries outside the United States are subject to local law and consultation requirements. In connection with the 2025 Restructuring Plan, the Company recorded nominal restructuring and related expense in the three months ended March 31, 2026, and $2.4 million in the three months ended March 31, 2025, respectively.</w:t>
      </w:r>
    </w:p>
    <w:p>
      <w:pPr>
        <w:spacing w:after="0" w:line="18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2022 and Prior Restructuring Plans</w:t>
      </w:r>
    </w:p>
    <w:p>
      <w:pPr>
        <w:spacing w:after="0" w:line="229" w:lineRule="exact"/>
        <w:rPr>
          <w:sz w:val="20"/>
          <w:szCs w:val="20"/>
          <w:color w:val="auto"/>
        </w:rPr>
      </w:pPr>
    </w:p>
    <w:p>
      <w:pPr>
        <w:ind w:left="60" w:right="139" w:firstLine="324"/>
        <w:spacing w:after="0" w:line="261" w:lineRule="auto"/>
        <w:rPr>
          <w:sz w:val="20"/>
          <w:szCs w:val="20"/>
          <w:color w:val="auto"/>
        </w:rPr>
      </w:pPr>
      <w:r>
        <w:rPr>
          <w:rFonts w:ascii="Times New Roman" w:cs="Times New Roman" w:eastAsia="Times New Roman" w:hAnsi="Times New Roman"/>
          <w:sz w:val="18"/>
          <w:szCs w:val="18"/>
          <w:color w:val="auto"/>
        </w:rPr>
        <w:t>Prior to December 31, 2022, the Company engaged in various restructuring activities that included consolidation of facilities and workforce reductions. Substantially all the ongoing costs incurred under such plans in the periods presented relate to variable and other facilities-related costs. In connection with these plans, the Company recorded restructuring and related expense of $0.7 million and $3.1 million in the three months ended March 31, 2026 and 2025, respectively.</w:t>
      </w:r>
    </w:p>
    <w:p>
      <w:pPr>
        <w:spacing w:after="0" w:line="18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Balance Sheet Classification</w:t>
      </w:r>
    </w:p>
    <w:p>
      <w:pPr>
        <w:spacing w:after="0" w:line="229" w:lineRule="exact"/>
        <w:rPr>
          <w:sz w:val="20"/>
          <w:szCs w:val="20"/>
          <w:color w:val="auto"/>
        </w:rPr>
      </w:pPr>
    </w:p>
    <w:p>
      <w:pPr>
        <w:ind w:left="60" w:right="339" w:firstLine="324"/>
        <w:spacing w:after="0" w:line="258" w:lineRule="auto"/>
        <w:rPr>
          <w:sz w:val="20"/>
          <w:szCs w:val="20"/>
          <w:color w:val="auto"/>
        </w:rPr>
      </w:pPr>
      <w:r>
        <w:rPr>
          <w:rFonts w:ascii="Times New Roman" w:cs="Times New Roman" w:eastAsia="Times New Roman" w:hAnsi="Times New Roman"/>
          <w:sz w:val="18"/>
          <w:szCs w:val="18"/>
          <w:color w:val="auto"/>
        </w:rPr>
        <w:t>The current portions of accrued restructuring were $4.0 million and $9.4 million at March 31, 2026 and December 31, 2025, respectively, and are included as components of Accrued expenses and other in the condensed consolidated balance sheets. The long-term portions of accrued restructuring are included as components of Other long-term liabilities in the condensed consolidated balance sheets. The long-term portions of accrued restructuring were $0.4 million and $0.5 million at March 31, 2026 and December 31, 2025, respectively.</w:t>
      </w:r>
    </w:p>
    <w:p>
      <w:pPr>
        <w:spacing w:after="0" w:line="3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7" w:name="page18"/>
    <w:bookmarkEnd w:id="17"/>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ind w:left="60" w:right="79"/>
        <w:spacing w:after="0" w:line="278" w:lineRule="auto"/>
        <w:rPr>
          <w:sz w:val="20"/>
          <w:szCs w:val="20"/>
          <w:color w:val="auto"/>
        </w:rPr>
      </w:pPr>
      <w:r>
        <w:rPr>
          <w:rFonts w:ascii="Times New Roman" w:cs="Times New Roman" w:eastAsia="Times New Roman" w:hAnsi="Times New Roman"/>
          <w:sz w:val="18"/>
          <w:szCs w:val="18"/>
          <w:b w:val="1"/>
          <w:bCs w:val="1"/>
          <w:color w:val="auto"/>
        </w:rPr>
        <w:t>RIBBON COMMUNICATIONS INC. Notes to Condensed Consolidated Financial Statements (Continued) (unaudited)</w:t>
      </w:r>
    </w:p>
    <w:p>
      <w:pPr>
        <w:spacing w:after="0" w:line="38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(9) DEBT</w:t>
      </w:r>
    </w:p>
    <w:p>
      <w:pPr>
        <w:spacing w:after="0" w:line="229" w:lineRule="exact"/>
        <w:rPr>
          <w:sz w:val="20"/>
          <w:szCs w:val="20"/>
          <w:color w:val="auto"/>
        </w:rPr>
      </w:pPr>
    </w:p>
    <w:p>
      <w:pPr>
        <w:ind w:left="60" w:right="179" w:firstLine="324"/>
        <w:spacing w:after="0" w:line="261" w:lineRule="auto"/>
        <w:rPr>
          <w:sz w:val="20"/>
          <w:szCs w:val="20"/>
          <w:color w:val="auto"/>
        </w:rPr>
      </w:pPr>
      <w:r>
        <w:rPr>
          <w:rFonts w:ascii="Times New Roman" w:cs="Times New Roman" w:eastAsia="Times New Roman" w:hAnsi="Times New Roman"/>
          <w:sz w:val="18"/>
          <w:szCs w:val="18"/>
          <w:color w:val="auto"/>
        </w:rPr>
        <w:t>As of March 31, 2026, the Company had $339.9 million outstanding under its current credit facility (the “2024 Credit Facility”), all of which relate to the term loan. Scheduled quarterly principal repayments continued during the period in accordance with the credit agreement. There were no amounts outstanding under the revolving credit facility, and the Company had $35.0 million of available borrowing capacity as of March 31, 2026.</w:t>
      </w:r>
    </w:p>
    <w:p>
      <w:pPr>
        <w:spacing w:after="0" w:line="180" w:lineRule="exact"/>
        <w:rPr>
          <w:sz w:val="20"/>
          <w:szCs w:val="20"/>
          <w:color w:val="auto"/>
        </w:rPr>
      </w:pPr>
    </w:p>
    <w:p>
      <w:pPr>
        <w:ind w:left="60" w:right="1219" w:firstLine="324"/>
        <w:spacing w:after="0" w:line="282" w:lineRule="auto"/>
        <w:rPr>
          <w:sz w:val="20"/>
          <w:szCs w:val="20"/>
          <w:color w:val="auto"/>
        </w:rPr>
      </w:pPr>
      <w:r>
        <w:rPr>
          <w:rFonts w:ascii="Times New Roman" w:cs="Times New Roman" w:eastAsia="Times New Roman" w:hAnsi="Times New Roman"/>
          <w:sz w:val="18"/>
          <w:szCs w:val="18"/>
          <w:color w:val="auto"/>
        </w:rPr>
        <w:t>The Company remained in compliance with all financial covenants under the 2024 Credit Facility as of March 31, 2026.</w:t>
      </w:r>
    </w:p>
    <w:p>
      <w:pPr>
        <w:spacing w:after="0" w:line="162" w:lineRule="exact"/>
        <w:rPr>
          <w:sz w:val="20"/>
          <w:szCs w:val="20"/>
          <w:color w:val="auto"/>
        </w:rPr>
      </w:pPr>
    </w:p>
    <w:p>
      <w:pPr>
        <w:ind w:left="60" w:right="159" w:firstLine="324"/>
        <w:spacing w:after="0" w:line="255" w:lineRule="auto"/>
        <w:rPr>
          <w:sz w:val="20"/>
          <w:szCs w:val="20"/>
          <w:color w:val="auto"/>
        </w:rPr>
      </w:pPr>
      <w:r>
        <w:rPr>
          <w:rFonts w:ascii="Times New Roman" w:cs="Times New Roman" w:eastAsia="Times New Roman" w:hAnsi="Times New Roman"/>
          <w:sz w:val="18"/>
          <w:szCs w:val="18"/>
          <w:color w:val="auto"/>
        </w:rPr>
        <w:t>On May 5, 2026, the Company entered into the First Amendment and Limited Waiver to Credit Agreement (the “First Amendment”) with Ribbon Communications Operating Company, Inc., HPS Investment Partners, LLC, as administrative agent, and the consenting lenders. The First Amendment (1) waives compliance with the maximum consolidated net leverage ratio financial covenant as of and for the period ending June 30, 2026, (2) increases the Maximum Consolidated Net Leverage Ratio (as defined in the 2024 Credit Facility) to 4.50:1.00 as of and for the period ending September 30, 2026, and sets the ratio for all subsequent quarters to 4.00:1.00, and (3) modifies the applicable interest rate margins for any quarter in which the Consolidated Net Leverage Ratio exceeds 3.75:1.00 to 7.00%.</w:t>
      </w:r>
    </w:p>
    <w:p>
      <w:pPr>
        <w:spacing w:after="0" w:line="189" w:lineRule="exact"/>
        <w:rPr>
          <w:sz w:val="20"/>
          <w:szCs w:val="20"/>
          <w:color w:val="auto"/>
        </w:rPr>
      </w:pPr>
    </w:p>
    <w:p>
      <w:pPr>
        <w:jc w:val="both"/>
        <w:ind w:left="60" w:right="139" w:firstLine="324"/>
        <w:spacing w:after="0" w:line="266" w:lineRule="auto"/>
        <w:rPr>
          <w:sz w:val="20"/>
          <w:szCs w:val="20"/>
          <w:color w:val="auto"/>
        </w:rPr>
      </w:pPr>
      <w:r>
        <w:rPr>
          <w:rFonts w:ascii="Times New Roman" w:cs="Times New Roman" w:eastAsia="Times New Roman" w:hAnsi="Times New Roman"/>
          <w:sz w:val="18"/>
          <w:szCs w:val="18"/>
          <w:color w:val="auto"/>
        </w:rPr>
        <w:t>The Company had the following outstanding borrowings, unamortized debt issuance costs and original issue discount, letters of credit, interest rates, and remaining borrowing capacity under its current credit facility as of March 31, 2026 and December 31, 2025:</w:t>
      </w:r>
    </w:p>
    <w:p>
      <w:pPr>
        <w:spacing w:after="0" w:line="170" w:lineRule="exact"/>
        <w:rPr>
          <w:sz w:val="20"/>
          <w:szCs w:val="20"/>
          <w:color w:val="auto"/>
        </w:rPr>
      </w:pPr>
    </w:p>
    <w:tbl>
      <w:tblPr>
        <w:tblLayout w:type="fixed"/>
        <w:tblInd w:w="6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5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20" w:type="dxa"/>
            <w:vAlign w:val="bottom"/>
            <w:gridSpan w:val="2"/>
          </w:tcPr>
          <w:p>
            <w:pPr>
              <w:jc w:val="right"/>
              <w:ind w:right="34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00" w:type="dxa"/>
            <w:vAlign w:val="bottom"/>
            <w:gridSpan w:val="2"/>
          </w:tcPr>
          <w:p>
            <w:pPr>
              <w:jc w:val="right"/>
              <w:ind w:right="26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5680" w:type="dxa"/>
            <w:vAlign w:val="bottom"/>
            <w:tcBorders>
              <w:bottom w:val="single" w:sz="8" w:color="CCEEFF"/>
            </w:tcBorders>
          </w:tcPr>
          <w:p>
            <w:pPr>
              <w:spacing w:after="0"/>
              <w:rPr>
                <w:sz w:val="15"/>
                <w:szCs w:val="15"/>
                <w:color w:val="auto"/>
              </w:rPr>
            </w:pPr>
          </w:p>
        </w:tc>
        <w:tc>
          <w:tcPr>
            <w:tcW w:w="78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right"/>
              <w:ind w:right="273"/>
              <w:spacing w:after="0"/>
              <w:rPr>
                <w:sz w:val="20"/>
                <w:szCs w:val="20"/>
                <w:color w:val="auto"/>
              </w:rPr>
            </w:pPr>
            <w:r>
              <w:rPr>
                <w:rFonts w:ascii="Times New Roman" w:cs="Times New Roman" w:eastAsia="Times New Roman" w:hAnsi="Times New Roman"/>
                <w:sz w:val="14"/>
                <w:szCs w:val="14"/>
                <w:b w:val="1"/>
                <w:bCs w:val="1"/>
                <w:color w:val="auto"/>
              </w:rPr>
              <w:t>2026</w:t>
            </w:r>
          </w:p>
        </w:tc>
        <w:tc>
          <w:tcPr>
            <w:tcW w:w="180" w:type="dxa"/>
            <w:vAlign w:val="bottom"/>
            <w:tcBorders>
              <w:bottom w:val="single" w:sz="8" w:color="CCEEFF"/>
            </w:tcBorders>
          </w:tcPr>
          <w:p>
            <w:pPr>
              <w:spacing w:after="0"/>
              <w:rPr>
                <w:sz w:val="15"/>
                <w:szCs w:val="15"/>
                <w:color w:val="auto"/>
              </w:rPr>
            </w:pPr>
          </w:p>
        </w:tc>
        <w:tc>
          <w:tcPr>
            <w:tcW w:w="6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ind w:right="293"/>
              <w:spacing w:after="0"/>
              <w:rPr>
                <w:sz w:val="20"/>
                <w:szCs w:val="20"/>
                <w:color w:val="auto"/>
              </w:rPr>
            </w:pPr>
            <w:r>
              <w:rPr>
                <w:rFonts w:ascii="Times New Roman" w:cs="Times New Roman" w:eastAsia="Times New Roman" w:hAnsi="Times New Roman"/>
                <w:sz w:val="14"/>
                <w:szCs w:val="14"/>
                <w:b w:val="1"/>
                <w:bCs w:val="1"/>
                <w:color w:val="auto"/>
              </w:rPr>
              <w:t>2025</w:t>
            </w:r>
          </w:p>
        </w:tc>
        <w:tc>
          <w:tcPr>
            <w:tcW w:w="160" w:type="dxa"/>
            <w:vAlign w:val="bottom"/>
            <w:tcBorders>
              <w:bottom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Current portion of Term Debt</w:t>
            </w:r>
          </w:p>
        </w:tc>
        <w:tc>
          <w:tcPr>
            <w:tcW w:w="78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8,750</w:t>
            </w:r>
          </w:p>
        </w:tc>
        <w:tc>
          <w:tcPr>
            <w:tcW w:w="1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8,750</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6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Long-term Debt, net of Current:</w:t>
            </w:r>
          </w:p>
        </w:tc>
        <w:tc>
          <w:tcPr>
            <w:tcW w:w="7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Long-term Debt, net of Current (Face Amount)</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331,188</w:t>
            </w:r>
          </w:p>
        </w:tc>
        <w:tc>
          <w:tcPr>
            <w:tcW w:w="180" w:type="dxa"/>
            <w:vAlign w:val="bottom"/>
          </w:tcPr>
          <w:p>
            <w:pPr>
              <w:spacing w:after="0"/>
              <w:rPr>
                <w:sz w:val="18"/>
                <w:szCs w:val="18"/>
                <w:color w:val="auto"/>
              </w:rPr>
            </w:pPr>
          </w:p>
        </w:tc>
        <w:tc>
          <w:tcPr>
            <w:tcW w:w="1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333,375</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8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Original Issue Discount</w:t>
            </w:r>
          </w:p>
        </w:tc>
        <w:tc>
          <w:tcPr>
            <w:tcW w:w="7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(4,511)</w:t>
            </w:r>
          </w:p>
        </w:tc>
        <w:tc>
          <w:tcPr>
            <w:tcW w:w="1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(4,861)</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80" w:type="dxa"/>
            <w:vAlign w:val="bottom"/>
            <w:tcBorders>
              <w:bottom w:val="single" w:sz="8" w:color="CCEEFF"/>
            </w:tcBorders>
          </w:tcPr>
          <w:p>
            <w:pPr>
              <w:ind w:left="80"/>
              <w:spacing w:after="0"/>
              <w:rPr>
                <w:sz w:val="20"/>
                <w:szCs w:val="20"/>
                <w:color w:val="auto"/>
              </w:rPr>
            </w:pPr>
            <w:r>
              <w:rPr>
                <w:rFonts w:ascii="Times New Roman" w:cs="Times New Roman" w:eastAsia="Times New Roman" w:hAnsi="Times New Roman"/>
                <w:sz w:val="18"/>
                <w:szCs w:val="18"/>
                <w:color w:val="auto"/>
              </w:rPr>
              <w:t>Unamortized Debt Issuance Costs - Contra-Liability</w:t>
            </w:r>
          </w:p>
        </w:tc>
        <w:tc>
          <w:tcPr>
            <w:tcW w:w="78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(3,702)</w:t>
            </w:r>
          </w:p>
        </w:tc>
        <w:tc>
          <w:tcPr>
            <w:tcW w:w="180" w:type="dxa"/>
            <w:vAlign w:val="bottom"/>
            <w:tcBorders>
              <w:bottom w:val="single" w:sz="8" w:color="CCEEFF"/>
            </w:tcBorders>
          </w:tcPr>
          <w:p>
            <w:pPr>
              <w:spacing w:after="0"/>
              <w:rPr>
                <w:sz w:val="18"/>
                <w:szCs w:val="18"/>
                <w:color w:val="auto"/>
              </w:rPr>
            </w:pPr>
          </w:p>
        </w:tc>
        <w:tc>
          <w:tcPr>
            <w:tcW w:w="6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(3,989)</w:t>
            </w:r>
          </w:p>
        </w:tc>
        <w:tc>
          <w:tcPr>
            <w:tcW w:w="16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6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Long-term Debt, net of Current</w:t>
            </w:r>
          </w:p>
        </w:tc>
        <w:tc>
          <w:tcPr>
            <w:tcW w:w="78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322,975</w:t>
            </w:r>
          </w:p>
        </w:tc>
        <w:tc>
          <w:tcPr>
            <w:tcW w:w="180" w:type="dxa"/>
            <w:vAlign w:val="bottom"/>
            <w:tcBorders>
              <w:bottom w:val="single" w:sz="8" w:color="CCEEFF"/>
            </w:tcBorders>
            <w:shd w:val="clear" w:color="auto" w:fill="CCEEFF"/>
          </w:tcPr>
          <w:p>
            <w:pPr>
              <w:spacing w:after="0"/>
              <w:rPr>
                <w:sz w:val="18"/>
                <w:szCs w:val="18"/>
                <w:color w:val="auto"/>
              </w:rPr>
            </w:pPr>
          </w:p>
        </w:tc>
        <w:tc>
          <w:tcPr>
            <w:tcW w:w="6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324,525</w:t>
            </w:r>
          </w:p>
        </w:tc>
        <w:tc>
          <w:tcPr>
            <w:tcW w:w="16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6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vMerge w:val="restart"/>
          </w:tcPr>
          <w:p>
            <w:pPr>
              <w:spacing w:after="0"/>
              <w:rPr>
                <w:sz w:val="17"/>
                <w:szCs w:val="17"/>
                <w:color w:val="auto"/>
              </w:rPr>
            </w:pPr>
          </w:p>
        </w:tc>
        <w:tc>
          <w:tcPr>
            <w:tcW w:w="56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Face Amount of Borrowings</w:t>
            </w:r>
          </w:p>
        </w:tc>
        <w:tc>
          <w:tcPr>
            <w:tcW w:w="9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339,938</w:t>
            </w:r>
          </w:p>
        </w:tc>
        <w:tc>
          <w:tcPr>
            <w:tcW w:w="180" w:type="dxa"/>
            <w:vAlign w:val="bottom"/>
            <w:shd w:val="clear" w:color="auto" w:fill="CCEEFF"/>
          </w:tcPr>
          <w:p>
            <w:pPr>
              <w:spacing w:after="0"/>
              <w:rPr>
                <w:sz w:val="18"/>
                <w:szCs w:val="18"/>
                <w:color w:val="auto"/>
              </w:rPr>
            </w:pPr>
          </w:p>
        </w:tc>
        <w:tc>
          <w:tcPr>
            <w:tcW w:w="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342,125</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68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vMerge w:val="restart"/>
          </w:tcPr>
          <w:p>
            <w:pPr>
              <w:spacing w:after="0"/>
              <w:rPr>
                <w:sz w:val="17"/>
                <w:szCs w:val="17"/>
                <w:color w:val="auto"/>
              </w:rPr>
            </w:pPr>
          </w:p>
        </w:tc>
        <w:tc>
          <w:tcPr>
            <w:tcW w:w="56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Unamortized Original Issue Discount and Debt Issuance Costs:</w:t>
            </w:r>
          </w:p>
        </w:tc>
        <w:tc>
          <w:tcPr>
            <w:tcW w:w="7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Other Assets</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817</w:t>
            </w:r>
          </w:p>
        </w:tc>
        <w:tc>
          <w:tcPr>
            <w:tcW w:w="180" w:type="dxa"/>
            <w:vAlign w:val="bottom"/>
          </w:tcPr>
          <w:p>
            <w:pPr>
              <w:spacing w:after="0"/>
              <w:rPr>
                <w:sz w:val="18"/>
                <w:szCs w:val="18"/>
                <w:color w:val="auto"/>
              </w:rPr>
            </w:pPr>
          </w:p>
        </w:tc>
        <w:tc>
          <w:tcPr>
            <w:tcW w:w="1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881</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8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Long-Term Debt - Contra Liability</w:t>
            </w:r>
          </w:p>
        </w:tc>
        <w:tc>
          <w:tcPr>
            <w:tcW w:w="78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8,213</w:t>
            </w:r>
          </w:p>
        </w:tc>
        <w:tc>
          <w:tcPr>
            <w:tcW w:w="1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8,850</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56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Total Unamortized Original Issue Discount and Debt Issuance Costs</w:t>
            </w:r>
          </w:p>
        </w:tc>
        <w:tc>
          <w:tcPr>
            <w:tcW w:w="78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9,030</w:t>
            </w:r>
          </w:p>
        </w:tc>
        <w:tc>
          <w:tcPr>
            <w:tcW w:w="180" w:type="dxa"/>
            <w:vAlign w:val="bottom"/>
            <w:tcBorders>
              <w:bottom w:val="single" w:sz="8" w:color="CCEEFF"/>
            </w:tcBorders>
          </w:tcPr>
          <w:p>
            <w:pPr>
              <w:spacing w:after="0"/>
              <w:rPr>
                <w:sz w:val="21"/>
                <w:szCs w:val="21"/>
                <w:color w:val="auto"/>
              </w:rPr>
            </w:pPr>
          </w:p>
        </w:tc>
        <w:tc>
          <w:tcPr>
            <w:tcW w:w="60" w:type="dxa"/>
            <w:vAlign w:val="bottom"/>
            <w:tcBorders>
              <w:bottom w:val="single" w:sz="8" w:color="CCEEFF"/>
            </w:tcBorders>
          </w:tcPr>
          <w:p>
            <w:pPr>
              <w:spacing w:after="0"/>
              <w:rPr>
                <w:sz w:val="21"/>
                <w:szCs w:val="21"/>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9,731</w:t>
            </w:r>
          </w:p>
        </w:tc>
        <w:tc>
          <w:tcPr>
            <w:tcW w:w="160" w:type="dxa"/>
            <w:vAlign w:val="bottom"/>
            <w:tcBorders>
              <w:bottom w:val="single" w:sz="8" w:color="CCEEFF"/>
            </w:tcBorders>
          </w:tcPr>
          <w:p>
            <w:pPr>
              <w:spacing w:after="0"/>
              <w:rPr>
                <w:sz w:val="21"/>
                <w:szCs w:val="21"/>
                <w:color w:val="auto"/>
              </w:rPr>
            </w:pP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56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680" w:type="dxa"/>
            <w:vAlign w:val="bottom"/>
          </w:tcPr>
          <w:p>
            <w:pPr>
              <w:spacing w:after="0"/>
              <w:rPr>
                <w:sz w:val="20"/>
                <w:szCs w:val="20"/>
                <w:color w:val="auto"/>
              </w:rPr>
            </w:pPr>
            <w:r>
              <w:rPr>
                <w:rFonts w:ascii="Times New Roman" w:cs="Times New Roman" w:eastAsia="Times New Roman" w:hAnsi="Times New Roman"/>
                <w:sz w:val="18"/>
                <w:szCs w:val="18"/>
                <w:color w:val="auto"/>
              </w:rPr>
              <w:t>Available Borrowing Capacity</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35,000</w:t>
            </w:r>
          </w:p>
        </w:tc>
        <w:tc>
          <w:tcPr>
            <w:tcW w:w="180" w:type="dxa"/>
            <w:vAlign w:val="bottom"/>
          </w:tcPr>
          <w:p>
            <w:pPr>
              <w:spacing w:after="0"/>
              <w:rPr>
                <w:sz w:val="18"/>
                <w:szCs w:val="18"/>
                <w:color w:val="auto"/>
              </w:rPr>
            </w:pPr>
          </w:p>
        </w:tc>
        <w:tc>
          <w:tcPr>
            <w:tcW w:w="1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35,000</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6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680" w:type="dxa"/>
            <w:vAlign w:val="bottom"/>
          </w:tcPr>
          <w:p>
            <w:pPr>
              <w:spacing w:after="0"/>
              <w:rPr>
                <w:sz w:val="20"/>
                <w:szCs w:val="20"/>
                <w:color w:val="auto"/>
              </w:rPr>
            </w:pPr>
            <w:r>
              <w:rPr>
                <w:rFonts w:ascii="Times New Roman" w:cs="Times New Roman" w:eastAsia="Times New Roman" w:hAnsi="Times New Roman"/>
                <w:sz w:val="18"/>
                <w:szCs w:val="18"/>
                <w:color w:val="auto"/>
              </w:rPr>
              <w:t>Average Interest Rates:</w:t>
            </w:r>
          </w:p>
        </w:tc>
        <w:tc>
          <w:tcPr>
            <w:tcW w:w="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8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Term Loan</w:t>
            </w:r>
          </w:p>
        </w:tc>
        <w:tc>
          <w:tcPr>
            <w:tcW w:w="7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9.9 %</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10.3 %</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8" w:name="page19"/>
    <w:bookmarkEnd w:id="18"/>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tbl>
      <w:tblPr>
        <w:tblLayout w:type="fixed"/>
        <w:tblInd w:w="40" w:type="dxa"/>
        <w:tblCellMar>
          <w:top w:w="0" w:type="dxa"/>
          <w:left w:w="0" w:type="dxa"/>
          <w:bottom w:w="0" w:type="dxa"/>
          <w:right w:w="0" w:type="dxa"/>
        </w:tblCellMar>
      </w:tblPr>
      <w:tr>
        <w:trPr>
          <w:trHeight w:val="216"/>
        </w:trPr>
        <w:tc>
          <w:tcPr>
            <w:tcW w:w="7780" w:type="dxa"/>
            <w:vAlign w:val="bottom"/>
          </w:tcPr>
          <w:p>
            <w:pPr>
              <w:jc w:val="center"/>
              <w:ind w:left="1052"/>
              <w:spacing w:after="0"/>
              <w:rPr>
                <w:sz w:val="20"/>
                <w:szCs w:val="20"/>
                <w:color w:val="auto"/>
              </w:rPr>
            </w:pPr>
            <w:r>
              <w:rPr>
                <w:rFonts w:ascii="Times New Roman" w:cs="Times New Roman" w:eastAsia="Times New Roman" w:hAnsi="Times New Roman"/>
                <w:sz w:val="18"/>
                <w:szCs w:val="18"/>
                <w:b w:val="1"/>
                <w:bCs w:val="1"/>
                <w:color w:val="auto"/>
                <w:w w:val="99"/>
              </w:rPr>
              <w:t>RIBBON COMMUNICATIONS INC.</w:t>
            </w: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r>
      <w:tr>
        <w:trPr>
          <w:trHeight w:val="216"/>
        </w:trPr>
        <w:tc>
          <w:tcPr>
            <w:tcW w:w="7780" w:type="dxa"/>
            <w:vAlign w:val="bottom"/>
          </w:tcPr>
          <w:p>
            <w:pPr>
              <w:jc w:val="center"/>
              <w:ind w:left="1052"/>
              <w:spacing w:after="0"/>
              <w:rPr>
                <w:sz w:val="20"/>
                <w:szCs w:val="20"/>
                <w:color w:val="auto"/>
              </w:rPr>
            </w:pPr>
            <w:r>
              <w:rPr>
                <w:rFonts w:ascii="Times New Roman" w:cs="Times New Roman" w:eastAsia="Times New Roman" w:hAnsi="Times New Roman"/>
                <w:sz w:val="18"/>
                <w:szCs w:val="18"/>
                <w:b w:val="1"/>
                <w:bCs w:val="1"/>
                <w:color w:val="auto"/>
                <w:w w:val="99"/>
              </w:rPr>
              <w:t>Notes to Condensed Consolidated Financial Statements (Continued)</w:t>
            </w: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r>
      <w:tr>
        <w:trPr>
          <w:trHeight w:val="238"/>
        </w:trPr>
        <w:tc>
          <w:tcPr>
            <w:tcW w:w="7780" w:type="dxa"/>
            <w:vAlign w:val="bottom"/>
          </w:tcPr>
          <w:p>
            <w:pPr>
              <w:jc w:val="center"/>
              <w:ind w:left="1072"/>
              <w:spacing w:after="0"/>
              <w:rPr>
                <w:sz w:val="20"/>
                <w:szCs w:val="20"/>
                <w:color w:val="auto"/>
              </w:rPr>
            </w:pPr>
            <w:r>
              <w:rPr>
                <w:rFonts w:ascii="Times New Roman" w:cs="Times New Roman" w:eastAsia="Times New Roman" w:hAnsi="Times New Roman"/>
                <w:sz w:val="18"/>
                <w:szCs w:val="18"/>
                <w:b w:val="1"/>
                <w:bCs w:val="1"/>
                <w:color w:val="auto"/>
                <w:w w:val="99"/>
              </w:rPr>
              <w:t>(unaudited)</w:t>
            </w:r>
          </w:p>
        </w:tc>
        <w:tc>
          <w:tcPr>
            <w:tcW w:w="160" w:type="dxa"/>
            <w:vAlign w:val="bottom"/>
          </w:tcPr>
          <w:p>
            <w:pPr>
              <w:spacing w:after="0"/>
              <w:rPr>
                <w:sz w:val="20"/>
                <w:szCs w:val="20"/>
                <w:color w:val="auto"/>
              </w:rPr>
            </w:pPr>
          </w:p>
        </w:tc>
        <w:tc>
          <w:tcPr>
            <w:tcW w:w="960" w:type="dxa"/>
            <w:vAlign w:val="bottom"/>
          </w:tcPr>
          <w:p>
            <w:pPr>
              <w:spacing w:after="0"/>
              <w:rPr>
                <w:sz w:val="20"/>
                <w:szCs w:val="20"/>
                <w:color w:val="auto"/>
              </w:rPr>
            </w:pPr>
          </w:p>
        </w:tc>
      </w:tr>
      <w:tr>
        <w:trPr>
          <w:trHeight w:val="432"/>
        </w:trPr>
        <w:tc>
          <w:tcPr>
            <w:tcW w:w="77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The Company’s debt maturities as of March 31, 2026 were as follows:</w:t>
            </w: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378"/>
        </w:trPr>
        <w:tc>
          <w:tcPr>
            <w:tcW w:w="77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Years ending December 31,</w:t>
            </w:r>
          </w:p>
        </w:tc>
        <w:tc>
          <w:tcPr>
            <w:tcW w:w="160" w:type="dxa"/>
            <w:vAlign w:val="bottom"/>
            <w:tcBorders>
              <w:bottom w:val="single" w:sz="8" w:color="CCEEFF"/>
            </w:tcBorders>
          </w:tcPr>
          <w:p>
            <w:pPr>
              <w:spacing w:after="0"/>
              <w:rPr>
                <w:sz w:val="24"/>
                <w:szCs w:val="24"/>
                <w:color w:val="auto"/>
              </w:rPr>
            </w:pPr>
          </w:p>
        </w:tc>
        <w:tc>
          <w:tcPr>
            <w:tcW w:w="960" w:type="dxa"/>
            <w:vAlign w:val="bottom"/>
            <w:tcBorders>
              <w:bottom w:val="single" w:sz="8" w:color="CCEEFF"/>
            </w:tcBorders>
          </w:tcPr>
          <w:p>
            <w:pPr>
              <w:spacing w:after="0"/>
              <w:rPr>
                <w:sz w:val="24"/>
                <w:szCs w:val="24"/>
                <w:color w:val="auto"/>
              </w:rPr>
            </w:pPr>
          </w:p>
        </w:tc>
      </w:tr>
      <w:tr>
        <w:trPr>
          <w:trHeight w:val="209"/>
        </w:trPr>
        <w:tc>
          <w:tcPr>
            <w:tcW w:w="7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Remainder of 2026</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6,563</w:t>
            </w:r>
          </w:p>
        </w:tc>
      </w:tr>
      <w:tr>
        <w:trPr>
          <w:trHeight w:val="216"/>
        </w:trPr>
        <w:tc>
          <w:tcPr>
            <w:tcW w:w="7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2027</w:t>
            </w:r>
          </w:p>
        </w:tc>
        <w:tc>
          <w:tcPr>
            <w:tcW w:w="1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13,125</w:t>
            </w:r>
          </w:p>
        </w:tc>
      </w:tr>
      <w:tr>
        <w:trPr>
          <w:trHeight w:val="216"/>
        </w:trPr>
        <w:tc>
          <w:tcPr>
            <w:tcW w:w="7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2028</w:t>
            </w: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17,500</w:t>
            </w:r>
          </w:p>
        </w:tc>
      </w:tr>
      <w:tr>
        <w:trPr>
          <w:trHeight w:val="216"/>
        </w:trPr>
        <w:tc>
          <w:tcPr>
            <w:tcW w:w="77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2029</w:t>
            </w:r>
          </w:p>
        </w:tc>
        <w:tc>
          <w:tcPr>
            <w:tcW w:w="160" w:type="dxa"/>
            <w:vAlign w:val="bottom"/>
            <w:tcBorders>
              <w:bottom w:val="single" w:sz="8" w:color="CCEEFF"/>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302,750</w:t>
            </w:r>
          </w:p>
        </w:tc>
      </w:tr>
      <w:tr>
        <w:trPr>
          <w:trHeight w:val="209"/>
        </w:trPr>
        <w:tc>
          <w:tcPr>
            <w:tcW w:w="778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339,938</w:t>
            </w:r>
          </w:p>
        </w:tc>
      </w:tr>
      <w:tr>
        <w:trPr>
          <w:trHeight w:val="20"/>
        </w:trPr>
        <w:tc>
          <w:tcPr>
            <w:tcW w:w="77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bl>
    <w:p>
      <w:pPr>
        <w:spacing w:after="0" w:line="19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Letters of Credit and Other Guarantees</w:t>
      </w:r>
    </w:p>
    <w:p>
      <w:pPr>
        <w:spacing w:after="0" w:line="229" w:lineRule="exact"/>
        <w:rPr>
          <w:sz w:val="20"/>
          <w:szCs w:val="20"/>
          <w:color w:val="auto"/>
        </w:rPr>
      </w:pPr>
    </w:p>
    <w:p>
      <w:pPr>
        <w:ind w:left="60" w:right="79" w:firstLine="324"/>
        <w:spacing w:after="0" w:line="256" w:lineRule="auto"/>
        <w:rPr>
          <w:sz w:val="20"/>
          <w:szCs w:val="20"/>
          <w:color w:val="auto"/>
        </w:rPr>
      </w:pPr>
      <w:r>
        <w:rPr>
          <w:rFonts w:ascii="Times New Roman" w:cs="Times New Roman" w:eastAsia="Times New Roman" w:hAnsi="Times New Roman"/>
          <w:sz w:val="18"/>
          <w:szCs w:val="18"/>
          <w:color w:val="auto"/>
        </w:rPr>
        <w:t>In the course of its business, the Company uses letters of credit, bank guarantees, and surety bonds (collectively, "Guarantees"). The Company had $11.2 million and $11.1 million of Guarantees under various uncommitted facilities as of March 31, 2026 and December 31, 2025, respectively. The Company had no letters of credit outstanding under its current credit facility as of March 31, 2026 or December 31, 2025. At March 31, 2026 and December 31, 2025, the Company had cash collateral of $2.0 million and $1.7 million supporting the Guarantees, respectively, which are reported as Restricted cash in the Company’s condensed consolidated balance sheets.</w:t>
      </w:r>
    </w:p>
    <w:p>
      <w:pPr>
        <w:spacing w:after="0" w:line="18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(10) DERIVATIVE INSTRUMENTS AND HEDGING ACTIVITIES</w:t>
      </w:r>
    </w:p>
    <w:p>
      <w:pPr>
        <w:spacing w:after="0" w:line="229" w:lineRule="exact"/>
        <w:rPr>
          <w:sz w:val="20"/>
          <w:szCs w:val="20"/>
          <w:color w:val="auto"/>
        </w:rPr>
      </w:pPr>
    </w:p>
    <w:p>
      <w:pPr>
        <w:jc w:val="both"/>
        <w:ind w:left="60" w:right="239" w:firstLine="324"/>
        <w:spacing w:after="0" w:line="258" w:lineRule="auto"/>
        <w:rPr>
          <w:sz w:val="20"/>
          <w:szCs w:val="20"/>
          <w:color w:val="auto"/>
        </w:rPr>
      </w:pPr>
      <w:r>
        <w:rPr>
          <w:rFonts w:ascii="Times New Roman" w:cs="Times New Roman" w:eastAsia="Times New Roman" w:hAnsi="Times New Roman"/>
          <w:sz w:val="18"/>
          <w:szCs w:val="18"/>
          <w:color w:val="auto"/>
        </w:rPr>
        <w:t>The Company is exposed to financial market risk, primarily arising from fluctuations in foreign currency exchange rates, and management actively monitors these exposures. As part of its overall risk management strategy, the Company may use derivative financial instruments to reduce volatility in earnings and cash flows resulting from changes in foreign exchange rates. Ribbon’s policies and practices limit the use of derivative instruments to risk management activities only, and the Company does not use derivatives for trading or speculative purposes.</w:t>
      </w:r>
    </w:p>
    <w:p>
      <w:pPr>
        <w:spacing w:after="0" w:line="183" w:lineRule="exact"/>
        <w:rPr>
          <w:sz w:val="20"/>
          <w:szCs w:val="20"/>
          <w:color w:val="auto"/>
        </w:rPr>
      </w:pPr>
    </w:p>
    <w:p>
      <w:pPr>
        <w:ind w:left="60" w:right="79" w:firstLine="324"/>
        <w:spacing w:after="0" w:line="253" w:lineRule="auto"/>
        <w:rPr>
          <w:sz w:val="20"/>
          <w:szCs w:val="20"/>
          <w:color w:val="auto"/>
        </w:rPr>
      </w:pPr>
      <w:r>
        <w:rPr>
          <w:rFonts w:ascii="Times New Roman" w:cs="Times New Roman" w:eastAsia="Times New Roman" w:hAnsi="Times New Roman"/>
          <w:sz w:val="18"/>
          <w:szCs w:val="18"/>
          <w:color w:val="auto"/>
        </w:rPr>
        <w:t>The Company records derivatives on the balance sheet at fair value. The accounting for changes in the fair value of derivatives depends on the intended use of the derivative, whether the Company has elected to designate a derivative in a hedging relationship and apply hedge accounting and whether the hedging relationship has satisfied the criteria necessary to apply hedge accounting. Derivatives designated and qualifying as a hedge of the exposure to changes in the fair value of an asset, liability, or firm commitment attributable to a specific risk, such as interest rate risk, are considered fair value hedges. Derivatives designated and qualifying as a hedge of the exposure to variability in expected future cash flows, or other types of forecasted transactions, are considered cash flow hedges. Derivatives may also be designated as hedges of the foreign currency exposure of a net investment in a foreign operation. Hedge accounting generally provides for the matching of the timing of gain or loss recognition on the hedging instrument with the recognition of the changes in the fair value of the hedged asset or liability that are attributable to the hedged risk in a fair value hedge, or the earnings effect of the hedged forecasted transactions in a cash flow hedge. The Company may enter into derivative contracts that are intended to economically hedge certain of its risk even though hedge accounting does not apply or the Company elects not to apply hedge accounting.</w:t>
      </w:r>
    </w:p>
    <w:p>
      <w:pPr>
        <w:spacing w:after="0" w:line="18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Cash Flow Hedge of Foreign Exchange Rate Risk</w:t>
      </w:r>
    </w:p>
    <w:p>
      <w:pPr>
        <w:spacing w:after="0" w:line="229" w:lineRule="exact"/>
        <w:rPr>
          <w:sz w:val="20"/>
          <w:szCs w:val="20"/>
          <w:color w:val="auto"/>
        </w:rPr>
      </w:pPr>
    </w:p>
    <w:p>
      <w:pPr>
        <w:ind w:left="60" w:right="99" w:firstLine="324"/>
        <w:spacing w:after="0" w:line="261" w:lineRule="auto"/>
        <w:rPr>
          <w:sz w:val="20"/>
          <w:szCs w:val="20"/>
          <w:color w:val="auto"/>
        </w:rPr>
      </w:pPr>
      <w:r>
        <w:rPr>
          <w:rFonts w:ascii="Times New Roman" w:cs="Times New Roman" w:eastAsia="Times New Roman" w:hAnsi="Times New Roman"/>
          <w:sz w:val="18"/>
          <w:szCs w:val="18"/>
          <w:color w:val="auto"/>
        </w:rPr>
        <w:t>The Company is exposed to foreign currency exchange rate risk related to forecasted operating expenses denominated in a foreign currency. To manage this exposure, the Company entered into foreign exchange forward arrangements, which were designated as hedging instruments beginning in January 2026. These derivatives are intended to reduce the variability in cash flows associated with changes in foreign currency exchange rates.</w:t>
      </w:r>
    </w:p>
    <w:p>
      <w:pPr>
        <w:spacing w:after="0" w:line="180" w:lineRule="exact"/>
        <w:rPr>
          <w:sz w:val="20"/>
          <w:szCs w:val="20"/>
          <w:color w:val="auto"/>
        </w:rPr>
      </w:pPr>
    </w:p>
    <w:p>
      <w:pPr>
        <w:jc w:val="both"/>
        <w:ind w:left="60" w:right="219" w:firstLine="324"/>
        <w:spacing w:after="0" w:line="266" w:lineRule="auto"/>
        <w:rPr>
          <w:sz w:val="20"/>
          <w:szCs w:val="20"/>
          <w:color w:val="auto"/>
        </w:rPr>
      </w:pPr>
      <w:r>
        <w:rPr>
          <w:rFonts w:ascii="Times New Roman" w:cs="Times New Roman" w:eastAsia="Times New Roman" w:hAnsi="Times New Roman"/>
          <w:sz w:val="18"/>
          <w:szCs w:val="18"/>
          <w:color w:val="auto"/>
        </w:rPr>
        <w:t>The Company’s objectives in using foreign exchange rate derivatives are to mitigate risk, add stability to cash flows, and manage its exposure to foreign exchange rate movements. To accomplish these objectives, the Company uses foreign exchange rate forward contracts as part of its foreign currency risk management strategy. Foreign exchange rate</w:t>
      </w:r>
    </w:p>
    <w:p>
      <w:pPr>
        <w:sectPr>
          <w:pgSz w:w="11900" w:h="16838" w:orient="portrait"/>
          <w:cols w:equalWidth="0" w:num="1">
            <w:col w:w="9019"/>
          </w:cols>
          <w:pgMar w:left="1440" w:top="513" w:right="1440" w:bottom="1440" w:gutter="0" w:footer="0" w:header="0"/>
        </w:sectPr>
      </w:pP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9" w:name="page20"/>
    <w:bookmarkEnd w:id="19"/>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ind w:left="1500" w:right="1840"/>
        <w:spacing w:after="0" w:line="278" w:lineRule="auto"/>
        <w:rPr>
          <w:sz w:val="20"/>
          <w:szCs w:val="20"/>
          <w:color w:val="auto"/>
        </w:rPr>
      </w:pPr>
      <w:r>
        <w:rPr>
          <w:rFonts w:ascii="Times New Roman" w:cs="Times New Roman" w:eastAsia="Times New Roman" w:hAnsi="Times New Roman"/>
          <w:sz w:val="18"/>
          <w:szCs w:val="18"/>
          <w:b w:val="1"/>
          <w:bCs w:val="1"/>
          <w:color w:val="auto"/>
        </w:rPr>
        <w:t>RIBBON COMMUNICATIONS INC. Notes to Condensed Consolidated Financial Statements (Continued) (unaudited)</w:t>
      </w:r>
    </w:p>
    <w:p>
      <w:pPr>
        <w:spacing w:after="0" w:line="388" w:lineRule="exact"/>
        <w:rPr>
          <w:sz w:val="20"/>
          <w:szCs w:val="20"/>
          <w:color w:val="auto"/>
        </w:rPr>
      </w:pPr>
    </w:p>
    <w:p>
      <w:pPr>
        <w:ind w:left="60" w:right="319"/>
        <w:spacing w:after="0" w:line="229" w:lineRule="exact"/>
        <w:rPr>
          <w:sz w:val="20"/>
          <w:szCs w:val="20"/>
          <w:color w:val="auto"/>
        </w:rPr>
      </w:pPr>
      <w:r>
        <w:rPr>
          <w:rFonts w:ascii="Times New Roman" w:cs="Times New Roman" w:eastAsia="Times New Roman" w:hAnsi="Times New Roman"/>
          <w:sz w:val="18"/>
          <w:szCs w:val="18"/>
          <w:color w:val="auto"/>
        </w:rPr>
        <w:t>forward contracts designated as cash flow hedges involve the exchange of fixed USD payments for fixed ILS receipts at predetermined exchange rates, thereby reducing the variability of forecasted ILS</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denominated expenditures.</w:t>
      </w:r>
    </w:p>
    <w:p>
      <w:pPr>
        <w:spacing w:after="0" w:line="191" w:lineRule="exact"/>
        <w:rPr>
          <w:sz w:val="20"/>
          <w:szCs w:val="20"/>
          <w:color w:val="auto"/>
        </w:rPr>
      </w:pPr>
    </w:p>
    <w:p>
      <w:pPr>
        <w:jc w:val="both"/>
        <w:ind w:left="60" w:right="99" w:firstLine="324"/>
        <w:spacing w:after="0" w:line="266" w:lineRule="auto"/>
        <w:rPr>
          <w:sz w:val="20"/>
          <w:szCs w:val="20"/>
          <w:color w:val="auto"/>
        </w:rPr>
      </w:pPr>
      <w:r>
        <w:rPr>
          <w:rFonts w:ascii="Times New Roman" w:cs="Times New Roman" w:eastAsia="Times New Roman" w:hAnsi="Times New Roman"/>
          <w:sz w:val="18"/>
          <w:szCs w:val="18"/>
          <w:color w:val="auto"/>
        </w:rPr>
        <w:t>The effective portion of changes in the fair value of designated derivatives that qualify as cash flow hedges is recorded in Accumulated other comprehensive income in the condensed consolidated balance sheet and is subsequently reclassified into earnings in the period that the hedged forecasted transactions affect earnings.</w:t>
      </w:r>
    </w:p>
    <w:p>
      <w:pPr>
        <w:spacing w:after="0" w:line="176" w:lineRule="exact"/>
        <w:rPr>
          <w:sz w:val="20"/>
          <w:szCs w:val="20"/>
          <w:color w:val="auto"/>
        </w:rPr>
      </w:pPr>
    </w:p>
    <w:p>
      <w:pPr>
        <w:jc w:val="both"/>
        <w:ind w:left="60" w:right="99" w:firstLine="324"/>
        <w:spacing w:after="0" w:line="282" w:lineRule="auto"/>
        <w:rPr>
          <w:sz w:val="20"/>
          <w:szCs w:val="20"/>
          <w:color w:val="auto"/>
        </w:rPr>
      </w:pPr>
      <w:r>
        <w:rPr>
          <w:rFonts w:ascii="Times New Roman" w:cs="Times New Roman" w:eastAsia="Times New Roman" w:hAnsi="Times New Roman"/>
          <w:sz w:val="18"/>
          <w:szCs w:val="18"/>
          <w:color w:val="auto"/>
        </w:rPr>
        <w:t>Amounts reported in Accumulated other comprehensive income related to the Company’s derivative are reclassified to Research and development in the condensed consolidated statement of operations.</w:t>
      </w:r>
    </w:p>
    <w:p>
      <w:pPr>
        <w:spacing w:after="0" w:line="162" w:lineRule="exact"/>
        <w:rPr>
          <w:sz w:val="20"/>
          <w:szCs w:val="20"/>
          <w:color w:val="auto"/>
        </w:rPr>
      </w:pPr>
    </w:p>
    <w:p>
      <w:pPr>
        <w:ind w:left="60" w:right="419" w:firstLine="324"/>
        <w:spacing w:after="0" w:line="266" w:lineRule="auto"/>
        <w:rPr>
          <w:sz w:val="20"/>
          <w:szCs w:val="20"/>
          <w:color w:val="auto"/>
        </w:rPr>
      </w:pPr>
      <w:r>
        <w:rPr>
          <w:rFonts w:ascii="Times New Roman" w:cs="Times New Roman" w:eastAsia="Times New Roman" w:hAnsi="Times New Roman"/>
          <w:sz w:val="18"/>
          <w:szCs w:val="18"/>
          <w:color w:val="auto"/>
        </w:rPr>
        <w:t>The impact of the Company’s derivative financial instruments designated as cash flow hedges on the Company’s condensed consolidated statements of operations and condensed consolidated statements of comprehensive loss for the three months ended March 31, 2026 was as follows (in thousands):</w:t>
      </w:r>
    </w:p>
    <w:p>
      <w:pPr>
        <w:spacing w:after="0" w:line="183"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7320" w:type="dxa"/>
            <w:vAlign w:val="bottom"/>
          </w:tcPr>
          <w:p>
            <w:pPr>
              <w:spacing w:after="0"/>
              <w:rPr>
                <w:sz w:val="15"/>
                <w:szCs w:val="15"/>
                <w:color w:val="auto"/>
              </w:rPr>
            </w:pPr>
          </w:p>
        </w:tc>
        <w:tc>
          <w:tcPr>
            <w:tcW w:w="1600" w:type="dxa"/>
            <w:vAlign w:val="bottom"/>
            <w:gridSpan w:val="4"/>
          </w:tcPr>
          <w:p>
            <w:pPr>
              <w:ind w:left="22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0" w:type="dxa"/>
            <w:vAlign w:val="bottom"/>
          </w:tcPr>
          <w:p>
            <w:pPr>
              <w:spacing w:after="0"/>
              <w:rPr>
                <w:sz w:val="1"/>
                <w:szCs w:val="1"/>
                <w:color w:val="auto"/>
              </w:rPr>
            </w:pPr>
          </w:p>
        </w:tc>
      </w:tr>
      <w:tr>
        <w:trPr>
          <w:trHeight w:val="20"/>
        </w:trPr>
        <w:tc>
          <w:tcPr>
            <w:tcW w:w="73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7"/>
        </w:trPr>
        <w:tc>
          <w:tcPr>
            <w:tcW w:w="7320" w:type="dxa"/>
            <w:vAlign w:val="bottom"/>
          </w:tcPr>
          <w:p>
            <w:pPr>
              <w:spacing w:after="0"/>
              <w:rPr>
                <w:sz w:val="10"/>
                <w:szCs w:val="10"/>
                <w:color w:val="auto"/>
              </w:rPr>
            </w:pPr>
          </w:p>
        </w:tc>
        <w:tc>
          <w:tcPr>
            <w:tcW w:w="540" w:type="dxa"/>
            <w:vAlign w:val="bottom"/>
            <w:gridSpan w:val="2"/>
            <w:vMerge w:val="restart"/>
          </w:tcPr>
          <w:p>
            <w:pPr>
              <w:ind w:left="220"/>
              <w:spacing w:after="0"/>
              <w:rPr>
                <w:sz w:val="20"/>
                <w:szCs w:val="20"/>
                <w:color w:val="auto"/>
              </w:rPr>
            </w:pPr>
            <w:r>
              <w:rPr>
                <w:rFonts w:ascii="Times New Roman" w:cs="Times New Roman" w:eastAsia="Times New Roman" w:hAnsi="Times New Roman"/>
                <w:sz w:val="14"/>
                <w:szCs w:val="14"/>
                <w:b w:val="1"/>
                <w:bCs w:val="1"/>
                <w:color w:val="auto"/>
              </w:rPr>
              <w:t>​​​</w:t>
            </w:r>
          </w:p>
        </w:tc>
        <w:tc>
          <w:tcPr>
            <w:tcW w:w="1040" w:type="dxa"/>
            <w:vAlign w:val="bottom"/>
          </w:tcPr>
          <w:p>
            <w:pPr>
              <w:jc w:val="right"/>
              <w:ind w:right="198"/>
              <w:spacing w:after="0" w:line="118" w:lineRule="exact"/>
              <w:rPr>
                <w:sz w:val="20"/>
                <w:szCs w:val="20"/>
                <w:color w:val="auto"/>
              </w:rPr>
            </w:pPr>
            <w:r>
              <w:rPr>
                <w:rFonts w:ascii="Times New Roman" w:cs="Times New Roman" w:eastAsia="Times New Roman" w:hAnsi="Times New Roman"/>
                <w:sz w:val="13"/>
                <w:szCs w:val="13"/>
                <w:b w:val="1"/>
                <w:bCs w:val="1"/>
                <w:color w:val="auto"/>
              </w:rPr>
              <w:t>March 31,</w:t>
            </w:r>
          </w:p>
        </w:tc>
        <w:tc>
          <w:tcPr>
            <w:tcW w:w="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73"/>
        </w:trPr>
        <w:tc>
          <w:tcPr>
            <w:tcW w:w="7320" w:type="dxa"/>
            <w:vAlign w:val="bottom"/>
          </w:tcPr>
          <w:p>
            <w:pPr>
              <w:spacing w:after="0"/>
              <w:rPr>
                <w:sz w:val="15"/>
                <w:szCs w:val="15"/>
                <w:color w:val="auto"/>
              </w:rPr>
            </w:pPr>
          </w:p>
        </w:tc>
        <w:tc>
          <w:tcPr>
            <w:tcW w:w="540" w:type="dxa"/>
            <w:vAlign w:val="bottom"/>
            <w:gridSpan w:val="2"/>
            <w:vMerge w:val="continue"/>
          </w:tcPr>
          <w:p>
            <w:pPr>
              <w:spacing w:after="0"/>
              <w:rPr>
                <w:sz w:val="15"/>
                <w:szCs w:val="15"/>
                <w:color w:val="auto"/>
              </w:rPr>
            </w:pPr>
          </w:p>
        </w:tc>
        <w:tc>
          <w:tcPr>
            <w:tcW w:w="1040" w:type="dxa"/>
            <w:vAlign w:val="bottom"/>
          </w:tcPr>
          <w:p>
            <w:pPr>
              <w:jc w:val="right"/>
              <w:ind w:right="418"/>
              <w:spacing w:after="0"/>
              <w:rPr>
                <w:sz w:val="20"/>
                <w:szCs w:val="20"/>
                <w:color w:val="auto"/>
              </w:rPr>
            </w:pPr>
            <w:r>
              <w:rPr>
                <w:rFonts w:ascii="Times New Roman" w:cs="Times New Roman" w:eastAsia="Times New Roman" w:hAnsi="Times New Roman"/>
                <w:sz w:val="14"/>
                <w:szCs w:val="14"/>
                <w:b w:val="1"/>
                <w:bCs w:val="1"/>
                <w:color w:val="auto"/>
              </w:rPr>
              <w:t>2026</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73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Amount recognized in other comprehensive income (loss) on the derivative (effective portion)</w:t>
            </w:r>
          </w:p>
        </w:tc>
        <w:tc>
          <w:tcPr>
            <w:tcW w:w="28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Amount reclassified from accumulated other comprehensive income to Research and development</w:t>
            </w:r>
          </w:p>
        </w:tc>
        <w:tc>
          <w:tcPr>
            <w:tcW w:w="28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73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Unrealized loss on cash flow hedges, net of reclassifications into earnings</w:t>
            </w:r>
          </w:p>
        </w:tc>
        <w:tc>
          <w:tcPr>
            <w:tcW w:w="28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3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left="60" w:right="259" w:firstLine="324"/>
        <w:spacing w:after="0" w:line="266" w:lineRule="auto"/>
        <w:rPr>
          <w:sz w:val="20"/>
          <w:szCs w:val="20"/>
          <w:color w:val="auto"/>
        </w:rPr>
      </w:pPr>
      <w:r>
        <w:rPr>
          <w:rFonts w:ascii="Times New Roman" w:cs="Times New Roman" w:eastAsia="Times New Roman" w:hAnsi="Times New Roman"/>
          <w:sz w:val="18"/>
          <w:szCs w:val="18"/>
          <w:color w:val="auto"/>
        </w:rPr>
        <w:t>The Company expects that all amounts recorded in Accumulated other comprehensive income related to outstanding foreign exchange forward contracts will be reclassified into earnings within the next twelve months, as all contracts outstanding at March 31, 2026 mature no later than September 2026.</w:t>
      </w:r>
    </w:p>
    <w:p>
      <w:pPr>
        <w:spacing w:after="0" w:line="176" w:lineRule="exact"/>
        <w:rPr>
          <w:sz w:val="20"/>
          <w:szCs w:val="20"/>
          <w:color w:val="auto"/>
        </w:rPr>
      </w:pPr>
    </w:p>
    <w:p>
      <w:pPr>
        <w:ind w:left="60" w:right="219" w:firstLine="324"/>
        <w:spacing w:after="0" w:line="282" w:lineRule="auto"/>
        <w:rPr>
          <w:sz w:val="20"/>
          <w:szCs w:val="20"/>
          <w:color w:val="auto"/>
        </w:rPr>
      </w:pPr>
      <w:r>
        <w:rPr>
          <w:rFonts w:ascii="Times New Roman" w:cs="Times New Roman" w:eastAsia="Times New Roman" w:hAnsi="Times New Roman"/>
          <w:sz w:val="18"/>
          <w:szCs w:val="18"/>
          <w:color w:val="auto"/>
        </w:rPr>
        <w:t>The Company's derivative liability designated as a hedging instrument and the related fair values and locations in the condensed consolidated balance sheet at March 31, 2026 are as follows (in thousands):</w:t>
      </w:r>
    </w:p>
    <w:p>
      <w:pPr>
        <w:spacing w:after="0" w:line="305"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724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Balance sheet location</w:t>
            </w:r>
          </w:p>
        </w:tc>
        <w:tc>
          <w:tcPr>
            <w:tcW w:w="540" w:type="dxa"/>
            <w:vAlign w:val="bottom"/>
            <w:gridSpan w:val="2"/>
            <w:vMerge w:val="restart"/>
          </w:tcPr>
          <w:p>
            <w:pPr>
              <w:jc w:val="right"/>
              <w:ind w:right="270"/>
              <w:spacing w:after="0"/>
              <w:rPr>
                <w:sz w:val="20"/>
                <w:szCs w:val="20"/>
                <w:color w:val="auto"/>
              </w:rPr>
            </w:pPr>
            <w:r>
              <w:rPr>
                <w:rFonts w:ascii="Times New Roman" w:cs="Times New Roman" w:eastAsia="Times New Roman" w:hAnsi="Times New Roman"/>
                <w:sz w:val="14"/>
                <w:szCs w:val="14"/>
                <w:b w:val="1"/>
                <w:bCs w:val="1"/>
                <w:color w:val="auto"/>
              </w:rPr>
              <w:t>​​​</w:t>
            </w:r>
          </w:p>
        </w:tc>
        <w:tc>
          <w:tcPr>
            <w:tcW w:w="1120" w:type="dxa"/>
            <w:vAlign w:val="bottom"/>
          </w:tcPr>
          <w:p>
            <w:pPr>
              <w:jc w:val="right"/>
              <w:ind w:right="242"/>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0" w:type="dxa"/>
            <w:vAlign w:val="bottom"/>
          </w:tcPr>
          <w:p>
            <w:pPr>
              <w:spacing w:after="0"/>
              <w:rPr>
                <w:sz w:val="1"/>
                <w:szCs w:val="1"/>
                <w:color w:val="auto"/>
              </w:rPr>
            </w:pPr>
          </w:p>
        </w:tc>
      </w:tr>
      <w:tr>
        <w:trPr>
          <w:trHeight w:val="173"/>
        </w:trPr>
        <w:tc>
          <w:tcPr>
            <w:tcW w:w="7240" w:type="dxa"/>
            <w:vAlign w:val="bottom"/>
            <w:vMerge w:val="continue"/>
          </w:tcPr>
          <w:p>
            <w:pPr>
              <w:spacing w:after="0"/>
              <w:rPr>
                <w:sz w:val="15"/>
                <w:szCs w:val="15"/>
                <w:color w:val="auto"/>
              </w:rPr>
            </w:pPr>
          </w:p>
        </w:tc>
        <w:tc>
          <w:tcPr>
            <w:tcW w:w="540" w:type="dxa"/>
            <w:vAlign w:val="bottom"/>
            <w:gridSpan w:val="2"/>
            <w:vMerge w:val="continue"/>
          </w:tcPr>
          <w:p>
            <w:pPr>
              <w:spacing w:after="0"/>
              <w:rPr>
                <w:sz w:val="15"/>
                <w:szCs w:val="15"/>
                <w:color w:val="auto"/>
              </w:rPr>
            </w:pPr>
          </w:p>
        </w:tc>
        <w:tc>
          <w:tcPr>
            <w:tcW w:w="1120" w:type="dxa"/>
            <w:vAlign w:val="bottom"/>
          </w:tcPr>
          <w:p>
            <w:pPr>
              <w:jc w:val="right"/>
              <w:ind w:right="482"/>
              <w:spacing w:after="0"/>
              <w:rPr>
                <w:sz w:val="20"/>
                <w:szCs w:val="20"/>
                <w:color w:val="auto"/>
              </w:rPr>
            </w:pPr>
            <w:r>
              <w:rPr>
                <w:rFonts w:ascii="Times New Roman" w:cs="Times New Roman" w:eastAsia="Times New Roman" w:hAnsi="Times New Roman"/>
                <w:sz w:val="14"/>
                <w:szCs w:val="14"/>
                <w:b w:val="1"/>
                <w:bCs w:val="1"/>
                <w:color w:val="auto"/>
              </w:rPr>
              <w:t>2026</w:t>
            </w:r>
          </w:p>
        </w:tc>
        <w:tc>
          <w:tcPr>
            <w:tcW w:w="0" w:type="dxa"/>
            <w:vAlign w:val="bottom"/>
          </w:tcPr>
          <w:p>
            <w:pPr>
              <w:spacing w:after="0"/>
              <w:rPr>
                <w:sz w:val="1"/>
                <w:szCs w:val="1"/>
                <w:color w:val="auto"/>
              </w:rPr>
            </w:pPr>
          </w:p>
        </w:tc>
      </w:tr>
      <w:tr>
        <w:trPr>
          <w:trHeight w:val="210"/>
        </w:trPr>
        <w:tc>
          <w:tcPr>
            <w:tcW w:w="72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Accrued expenses and other</w:t>
            </w:r>
          </w:p>
        </w:tc>
        <w:tc>
          <w:tcPr>
            <w:tcW w:w="26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297</w:t>
            </w:r>
          </w:p>
        </w:tc>
        <w:tc>
          <w:tcPr>
            <w:tcW w:w="0" w:type="dxa"/>
            <w:vAlign w:val="bottom"/>
          </w:tcPr>
          <w:p>
            <w:pPr>
              <w:spacing w:after="0"/>
              <w:rPr>
                <w:sz w:val="1"/>
                <w:szCs w:val="1"/>
                <w:color w:val="auto"/>
              </w:rPr>
            </w:pPr>
          </w:p>
        </w:tc>
      </w:tr>
    </w:tbl>
    <w:p>
      <w:pPr>
        <w:spacing w:after="0" w:line="198" w:lineRule="exact"/>
        <w:rPr>
          <w:sz w:val="20"/>
          <w:szCs w:val="20"/>
          <w:color w:val="auto"/>
        </w:rPr>
      </w:pPr>
    </w:p>
    <w:p>
      <w:pPr>
        <w:jc w:val="both"/>
        <w:ind w:left="60" w:right="139" w:firstLine="324"/>
        <w:spacing w:after="0" w:line="282" w:lineRule="auto"/>
        <w:rPr>
          <w:sz w:val="20"/>
          <w:szCs w:val="20"/>
          <w:color w:val="auto"/>
        </w:rPr>
      </w:pPr>
      <w:r>
        <w:rPr>
          <w:rFonts w:ascii="Times New Roman" w:cs="Times New Roman" w:eastAsia="Times New Roman" w:hAnsi="Times New Roman"/>
          <w:sz w:val="18"/>
          <w:szCs w:val="18"/>
          <w:color w:val="auto"/>
        </w:rPr>
        <w:t>The aggregate notional amounts and maturities of the Company’s outstanding foreign exchange rate forward contracts at March 31, 2026 were as follows:</w:t>
      </w:r>
    </w:p>
    <w:p>
      <w:pPr>
        <w:spacing w:after="0" w:line="156"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4040" w:type="dxa"/>
            <w:vAlign w:val="bottom"/>
            <w:vMerge w:val="restart"/>
          </w:tcPr>
          <w:p>
            <w:pPr>
              <w:ind w:left="1340"/>
              <w:spacing w:after="0"/>
              <w:rPr>
                <w:sz w:val="20"/>
                <w:szCs w:val="20"/>
                <w:color w:val="auto"/>
              </w:rPr>
            </w:pPr>
            <w:r>
              <w:rPr>
                <w:rFonts w:ascii="Times New Roman" w:cs="Times New Roman" w:eastAsia="Times New Roman" w:hAnsi="Times New Roman"/>
                <w:sz w:val="14"/>
                <w:szCs w:val="14"/>
                <w:b w:val="1"/>
                <w:bCs w:val="1"/>
                <w:color w:val="auto"/>
              </w:rPr>
              <w:t>Derivative Instrument</w:t>
            </w:r>
          </w:p>
        </w:tc>
        <w:tc>
          <w:tcPr>
            <w:tcW w:w="600" w:type="dxa"/>
            <w:vAlign w:val="bottom"/>
            <w:gridSpan w:val="2"/>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 ​​​</w:t>
            </w:r>
          </w:p>
        </w:tc>
        <w:tc>
          <w:tcPr>
            <w:tcW w:w="740" w:type="dxa"/>
            <w:vAlign w:val="bottom"/>
          </w:tcPr>
          <w:p>
            <w:pPr>
              <w:ind w:left="60"/>
              <w:spacing w:after="0"/>
              <w:rPr>
                <w:sz w:val="20"/>
                <w:szCs w:val="20"/>
                <w:color w:val="auto"/>
              </w:rPr>
            </w:pPr>
            <w:r>
              <w:rPr>
                <w:rFonts w:ascii="Times New Roman" w:cs="Times New Roman" w:eastAsia="Times New Roman" w:hAnsi="Times New Roman"/>
                <w:sz w:val="14"/>
                <w:szCs w:val="14"/>
                <w:b w:val="1"/>
                <w:bCs w:val="1"/>
                <w:color w:val="auto"/>
              </w:rPr>
              <w:t>Notional</w:t>
            </w:r>
          </w:p>
        </w:tc>
        <w:tc>
          <w:tcPr>
            <w:tcW w:w="500" w:type="dxa"/>
            <w:vAlign w:val="bottom"/>
            <w:gridSpan w:val="2"/>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 ​​​</w:t>
            </w:r>
          </w:p>
        </w:tc>
        <w:tc>
          <w:tcPr>
            <w:tcW w:w="86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Notional</w:t>
            </w:r>
          </w:p>
        </w:tc>
        <w:tc>
          <w:tcPr>
            <w:tcW w:w="216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Maturity</w:t>
            </w:r>
          </w:p>
        </w:tc>
        <w:tc>
          <w:tcPr>
            <w:tcW w:w="0" w:type="dxa"/>
            <w:vAlign w:val="bottom"/>
          </w:tcPr>
          <w:p>
            <w:pPr>
              <w:spacing w:after="0"/>
              <w:rPr>
                <w:sz w:val="1"/>
                <w:szCs w:val="1"/>
                <w:color w:val="auto"/>
              </w:rPr>
            </w:pPr>
          </w:p>
        </w:tc>
      </w:tr>
      <w:tr>
        <w:trPr>
          <w:trHeight w:val="173"/>
        </w:trPr>
        <w:tc>
          <w:tcPr>
            <w:tcW w:w="4040" w:type="dxa"/>
            <w:vAlign w:val="bottom"/>
            <w:vMerge w:val="continue"/>
          </w:tcPr>
          <w:p>
            <w:pPr>
              <w:spacing w:after="0"/>
              <w:rPr>
                <w:sz w:val="15"/>
                <w:szCs w:val="15"/>
                <w:color w:val="auto"/>
              </w:rPr>
            </w:pPr>
          </w:p>
        </w:tc>
        <w:tc>
          <w:tcPr>
            <w:tcW w:w="600" w:type="dxa"/>
            <w:vAlign w:val="bottom"/>
            <w:gridSpan w:val="2"/>
            <w:vMerge w:val="continue"/>
          </w:tcPr>
          <w:p>
            <w:pPr>
              <w:spacing w:after="0"/>
              <w:rPr>
                <w:sz w:val="15"/>
                <w:szCs w:val="15"/>
                <w:color w:val="auto"/>
              </w:rPr>
            </w:pPr>
          </w:p>
        </w:tc>
        <w:tc>
          <w:tcPr>
            <w:tcW w:w="740" w:type="dxa"/>
            <w:vAlign w:val="bottom"/>
          </w:tcPr>
          <w:p>
            <w:pPr>
              <w:ind w:left="8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500" w:type="dxa"/>
            <w:vAlign w:val="bottom"/>
            <w:gridSpan w:val="2"/>
            <w:vMerge w:val="continue"/>
          </w:tcPr>
          <w:p>
            <w:pPr>
              <w:spacing w:after="0"/>
              <w:rPr>
                <w:sz w:val="15"/>
                <w:szCs w:val="15"/>
                <w:color w:val="auto"/>
              </w:rPr>
            </w:pPr>
          </w:p>
        </w:tc>
        <w:tc>
          <w:tcPr>
            <w:tcW w:w="86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21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91"/>
        </w:trPr>
        <w:tc>
          <w:tcPr>
            <w:tcW w:w="4040" w:type="dxa"/>
            <w:vAlign w:val="bottom"/>
            <w:tcBorders>
              <w:top w:val="single" w:sz="8" w:color="auto"/>
            </w:tcBorders>
            <w:shd w:val="clear" w:color="auto" w:fill="CCEEFF"/>
          </w:tcPr>
          <w:p>
            <w:pPr>
              <w:ind w:left="20"/>
              <w:spacing w:after="0" w:line="191" w:lineRule="exact"/>
              <w:rPr>
                <w:sz w:val="20"/>
                <w:szCs w:val="20"/>
                <w:color w:val="auto"/>
              </w:rPr>
            </w:pPr>
            <w:r>
              <w:rPr>
                <w:rFonts w:ascii="Times New Roman" w:cs="Times New Roman" w:eastAsia="Times New Roman" w:hAnsi="Times New Roman"/>
                <w:sz w:val="18"/>
                <w:szCs w:val="18"/>
                <w:color w:val="auto"/>
              </w:rPr>
              <w:t>Foreign exchange rate forward contracts (cash flow</w:t>
            </w:r>
          </w:p>
        </w:tc>
        <w:tc>
          <w:tcPr>
            <w:tcW w:w="160" w:type="dxa"/>
            <w:vAlign w:val="bottom"/>
            <w:tcBorders>
              <w:top w:val="single" w:sz="8" w:color="CCEEFF"/>
            </w:tcBorders>
            <w:shd w:val="clear" w:color="auto" w:fill="CCEEFF"/>
          </w:tcPr>
          <w:p>
            <w:pPr>
              <w:spacing w:after="0"/>
              <w:rPr>
                <w:sz w:val="16"/>
                <w:szCs w:val="16"/>
                <w:color w:val="auto"/>
              </w:rPr>
            </w:pPr>
          </w:p>
        </w:tc>
        <w:tc>
          <w:tcPr>
            <w:tcW w:w="440" w:type="dxa"/>
            <w:vAlign w:val="bottom"/>
            <w:tcBorders>
              <w:top w:val="single" w:sz="8" w:color="auto"/>
            </w:tcBorders>
            <w:shd w:val="clear" w:color="auto" w:fill="CCEEFF"/>
          </w:tcPr>
          <w:p>
            <w:pPr>
              <w:spacing w:after="0"/>
              <w:rPr>
                <w:sz w:val="16"/>
                <w:szCs w:val="16"/>
                <w:color w:val="auto"/>
              </w:rPr>
            </w:pPr>
          </w:p>
        </w:tc>
        <w:tc>
          <w:tcPr>
            <w:tcW w:w="740" w:type="dxa"/>
            <w:vAlign w:val="bottom"/>
            <w:tcBorders>
              <w:top w:val="single" w:sz="8" w:color="auto"/>
            </w:tcBorders>
            <w:shd w:val="clear" w:color="auto" w:fill="CCEEFF"/>
          </w:tcPr>
          <w:p>
            <w:pPr>
              <w:spacing w:after="0"/>
              <w:rPr>
                <w:sz w:val="16"/>
                <w:szCs w:val="16"/>
                <w:color w:val="auto"/>
              </w:rPr>
            </w:pPr>
          </w:p>
        </w:tc>
        <w:tc>
          <w:tcPr>
            <w:tcW w:w="160" w:type="dxa"/>
            <w:vAlign w:val="bottom"/>
            <w:tcBorders>
              <w:top w:val="single" w:sz="8" w:color="CCEEFF"/>
            </w:tcBorders>
            <w:shd w:val="clear" w:color="auto" w:fill="CCEEFF"/>
          </w:tcPr>
          <w:p>
            <w:pPr>
              <w:spacing w:after="0"/>
              <w:rPr>
                <w:sz w:val="16"/>
                <w:szCs w:val="16"/>
                <w:color w:val="auto"/>
              </w:rPr>
            </w:pPr>
          </w:p>
        </w:tc>
        <w:tc>
          <w:tcPr>
            <w:tcW w:w="340" w:type="dxa"/>
            <w:vAlign w:val="bottom"/>
            <w:tcBorders>
              <w:top w:val="single" w:sz="8" w:color="auto"/>
            </w:tcBorders>
            <w:shd w:val="clear" w:color="auto" w:fill="CCEEFF"/>
          </w:tcPr>
          <w:p>
            <w:pPr>
              <w:spacing w:after="0"/>
              <w:rPr>
                <w:sz w:val="16"/>
                <w:szCs w:val="16"/>
                <w:color w:val="auto"/>
              </w:rPr>
            </w:pPr>
          </w:p>
        </w:tc>
        <w:tc>
          <w:tcPr>
            <w:tcW w:w="74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2160" w:type="dxa"/>
            <w:vAlign w:val="bottom"/>
            <w:tcBorders>
              <w:top w:val="single" w:sz="8" w:color="auto"/>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4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hedges)</w:t>
            </w:r>
          </w:p>
        </w:tc>
        <w:tc>
          <w:tcPr>
            <w:tcW w:w="16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USD</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24,554</w:t>
            </w:r>
          </w:p>
        </w:tc>
        <w:tc>
          <w:tcPr>
            <w:tcW w:w="16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ILS</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76,179</w:t>
            </w:r>
          </w:p>
        </w:tc>
        <w:tc>
          <w:tcPr>
            <w:tcW w:w="120" w:type="dxa"/>
            <w:vAlign w:val="bottom"/>
            <w:shd w:val="clear" w:color="auto" w:fill="CCEEFF"/>
          </w:tcPr>
          <w:p>
            <w:pPr>
              <w:spacing w:after="0"/>
              <w:rPr>
                <w:sz w:val="20"/>
                <w:szCs w:val="20"/>
                <w:color w:val="auto"/>
              </w:rPr>
            </w:pPr>
          </w:p>
        </w:tc>
        <w:tc>
          <w:tcPr>
            <w:tcW w:w="21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April 2026 - September 2026</w:t>
            </w:r>
          </w:p>
        </w:tc>
        <w:tc>
          <w:tcPr>
            <w:tcW w:w="0" w:type="dxa"/>
            <w:vAlign w:val="bottom"/>
          </w:tcPr>
          <w:p>
            <w:pPr>
              <w:spacing w:after="0"/>
              <w:rPr>
                <w:sz w:val="1"/>
                <w:szCs w:val="1"/>
                <w:color w:val="auto"/>
              </w:rPr>
            </w:pPr>
          </w:p>
        </w:tc>
      </w:tr>
    </w:tbl>
    <w:p>
      <w:pPr>
        <w:spacing w:after="0" w:line="198" w:lineRule="exact"/>
        <w:rPr>
          <w:sz w:val="20"/>
          <w:szCs w:val="20"/>
          <w:color w:val="auto"/>
        </w:rPr>
      </w:pPr>
    </w:p>
    <w:p>
      <w:pPr>
        <w:ind w:left="60" w:right="319" w:firstLine="324"/>
        <w:spacing w:after="0" w:line="282" w:lineRule="auto"/>
        <w:rPr>
          <w:sz w:val="20"/>
          <w:szCs w:val="20"/>
          <w:color w:val="auto"/>
        </w:rPr>
      </w:pPr>
      <w:r>
        <w:rPr>
          <w:rFonts w:ascii="Times New Roman" w:cs="Times New Roman" w:eastAsia="Times New Roman" w:hAnsi="Times New Roman"/>
          <w:sz w:val="18"/>
          <w:szCs w:val="18"/>
          <w:color w:val="auto"/>
        </w:rPr>
        <w:t>The Company has classified the foreign exchange derivative aggregating $0.3 million at March 31, 2026 as Level 2 within the fair value hierarchy (see Note 5).</w:t>
      </w:r>
    </w:p>
    <w:p>
      <w:pPr>
        <w:spacing w:after="0" w:line="15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(11) PREFERRED STOCK AND WARRANTS</w:t>
      </w:r>
    </w:p>
    <w:p>
      <w:pPr>
        <w:spacing w:after="0" w:line="229" w:lineRule="exact"/>
        <w:rPr>
          <w:sz w:val="20"/>
          <w:szCs w:val="20"/>
          <w:color w:val="auto"/>
        </w:rPr>
      </w:pPr>
    </w:p>
    <w:p>
      <w:pPr>
        <w:ind w:left="60" w:right="279" w:firstLine="369"/>
        <w:spacing w:after="0" w:line="221" w:lineRule="exact"/>
        <w:rPr>
          <w:sz w:val="20"/>
          <w:szCs w:val="20"/>
          <w:color w:val="auto"/>
        </w:rPr>
      </w:pPr>
      <w:r>
        <w:rPr>
          <w:rFonts w:ascii="Times New Roman" w:cs="Times New Roman" w:eastAsia="Times New Roman" w:hAnsi="Times New Roman"/>
          <w:sz w:val="17"/>
          <w:szCs w:val="17"/>
          <w:color w:val="auto"/>
        </w:rPr>
        <w:t>In connection with a private placement completed in March 2023, the Company issued warrants that remain outstanding following the June 2024 redemption of the related preferred stock. No warrant exercises occurred during the three months ended March 31, 2026. In the three months ended March 31, 2025, holders exercised 0.2 million warrants, and the remaining warrants continue to be outstanding without modification. The Company accounts for the warrants as liability</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 xml:space="preserve">classified instruments under ASC 480, </w:t>
      </w:r>
      <w:r>
        <w:rPr>
          <w:rFonts w:ascii="Times New Roman" w:cs="Times New Roman" w:eastAsia="Times New Roman" w:hAnsi="Times New Roman"/>
          <w:sz w:val="17"/>
          <w:szCs w:val="17"/>
          <w:i w:val="1"/>
          <w:iCs w:val="1"/>
          <w:color w:val="auto"/>
        </w:rPr>
        <w:t>Distinguishing Liabilities from Equity</w:t>
      </w:r>
      <w:r>
        <w:rPr>
          <w:rFonts w:ascii="Times New Roman" w:cs="Times New Roman" w:eastAsia="Times New Roman" w:hAnsi="Times New Roman"/>
          <w:sz w:val="17"/>
          <w:szCs w:val="17"/>
          <w:color w:val="auto"/>
        </w:rPr>
        <w:t>, and remeasures them to fair value</w:t>
      </w: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20" w:name="page21"/>
    <w:bookmarkEnd w:id="20"/>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ind w:left="40" w:right="59"/>
        <w:spacing w:after="0" w:line="278" w:lineRule="auto"/>
        <w:rPr>
          <w:sz w:val="20"/>
          <w:szCs w:val="20"/>
          <w:color w:val="auto"/>
        </w:rPr>
      </w:pPr>
      <w:r>
        <w:rPr>
          <w:rFonts w:ascii="Times New Roman" w:cs="Times New Roman" w:eastAsia="Times New Roman" w:hAnsi="Times New Roman"/>
          <w:sz w:val="18"/>
          <w:szCs w:val="18"/>
          <w:b w:val="1"/>
          <w:bCs w:val="1"/>
          <w:color w:val="auto"/>
        </w:rPr>
        <w:t>RIBBON COMMUNICATIONS INC. Notes to Condensed Consolidated Financial Statements (Continued) (unaudited)</w:t>
      </w:r>
    </w:p>
    <w:p>
      <w:pPr>
        <w:spacing w:after="0" w:line="370" w:lineRule="exact"/>
        <w:rPr>
          <w:sz w:val="20"/>
          <w:szCs w:val="20"/>
          <w:color w:val="auto"/>
        </w:rPr>
      </w:pPr>
    </w:p>
    <w:p>
      <w:pPr>
        <w:ind w:left="60" w:right="519"/>
        <w:spacing w:after="0" w:line="234" w:lineRule="exact"/>
        <w:rPr>
          <w:sz w:val="20"/>
          <w:szCs w:val="20"/>
          <w:color w:val="auto"/>
        </w:rPr>
      </w:pPr>
      <w:r>
        <w:rPr>
          <w:rFonts w:ascii="Times New Roman" w:cs="Times New Roman" w:eastAsia="Times New Roman" w:hAnsi="Times New Roman"/>
          <w:sz w:val="18"/>
          <w:szCs w:val="18"/>
          <w:color w:val="auto"/>
        </w:rPr>
        <w:t>at each reporting date using a Black</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Scholes option</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pricing model. Changes in fair value are recognized within Other income, net in the condensed consolidated statements of operations.</w:t>
      </w:r>
    </w:p>
    <w:p>
      <w:pPr>
        <w:spacing w:after="0" w:line="199" w:lineRule="exact"/>
        <w:rPr>
          <w:sz w:val="20"/>
          <w:szCs w:val="20"/>
          <w:color w:val="auto"/>
        </w:rPr>
      </w:pPr>
    </w:p>
    <w:p>
      <w:pPr>
        <w:ind w:left="60" w:right="519" w:firstLine="324"/>
        <w:spacing w:after="0" w:line="282" w:lineRule="auto"/>
        <w:rPr>
          <w:sz w:val="20"/>
          <w:szCs w:val="20"/>
          <w:color w:val="auto"/>
        </w:rPr>
      </w:pPr>
      <w:r>
        <w:rPr>
          <w:rFonts w:ascii="Times New Roman" w:cs="Times New Roman" w:eastAsia="Times New Roman" w:hAnsi="Times New Roman"/>
          <w:sz w:val="18"/>
          <w:szCs w:val="18"/>
          <w:color w:val="auto"/>
        </w:rPr>
        <w:t>The Company determined the fair value of the warrants using Level 3 input. The key assumptions into the model utilized were as follows as of March 31, 2026 and December 31, 2025:</w:t>
      </w:r>
    </w:p>
    <w:p>
      <w:pPr>
        <w:spacing w:after="0" w:line="156"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63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4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120" w:type="dxa"/>
            <w:vAlign w:val="bottom"/>
          </w:tcPr>
          <w:p>
            <w:pPr>
              <w:spacing w:after="0"/>
              <w:rPr>
                <w:sz w:val="13"/>
                <w:szCs w:val="13"/>
                <w:color w:val="auto"/>
              </w:rPr>
            </w:pPr>
          </w:p>
        </w:tc>
        <w:tc>
          <w:tcPr>
            <w:tcW w:w="1100" w:type="dxa"/>
            <w:vAlign w:val="bottom"/>
          </w:tcPr>
          <w:p>
            <w:pPr>
              <w:jc w:val="right"/>
              <w:ind w:right="154"/>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73"/>
        </w:trPr>
        <w:tc>
          <w:tcPr>
            <w:tcW w:w="636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ind w:right="354"/>
              <w:spacing w:after="0"/>
              <w:rPr>
                <w:sz w:val="20"/>
                <w:szCs w:val="20"/>
                <w:color w:val="auto"/>
              </w:rPr>
            </w:pPr>
            <w:r>
              <w:rPr>
                <w:rFonts w:ascii="Times New Roman" w:cs="Times New Roman" w:eastAsia="Times New Roman" w:hAnsi="Times New Roman"/>
                <w:sz w:val="14"/>
                <w:szCs w:val="14"/>
                <w:b w:val="1"/>
                <w:bCs w:val="1"/>
                <w:color w:val="auto"/>
              </w:rPr>
              <w:t>2026</w:t>
            </w:r>
          </w:p>
        </w:tc>
        <w:tc>
          <w:tcPr>
            <w:tcW w:w="12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ind w:right="374"/>
              <w:spacing w:after="0"/>
              <w:rPr>
                <w:sz w:val="20"/>
                <w:szCs w:val="20"/>
                <w:color w:val="auto"/>
              </w:rPr>
            </w:pPr>
            <w:r>
              <w:rPr>
                <w:rFonts w:ascii="Times New Roman" w:cs="Times New Roman" w:eastAsia="Times New Roman" w:hAnsi="Times New Roman"/>
                <w:sz w:val="14"/>
                <w:szCs w:val="14"/>
                <w:b w:val="1"/>
                <w:bCs w:val="1"/>
                <w:color w:val="auto"/>
              </w:rPr>
              <w:t>2025</w:t>
            </w:r>
          </w:p>
        </w:tc>
      </w:tr>
      <w:tr>
        <w:trPr>
          <w:trHeight w:val="209"/>
        </w:trPr>
        <w:tc>
          <w:tcPr>
            <w:tcW w:w="6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Stock price</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ind w:right="114"/>
              <w:spacing w:after="0"/>
              <w:rPr>
                <w:sz w:val="20"/>
                <w:szCs w:val="20"/>
                <w:color w:val="auto"/>
              </w:rPr>
            </w:pPr>
            <w:r>
              <w:rPr>
                <w:rFonts w:ascii="Times New Roman" w:cs="Times New Roman" w:eastAsia="Times New Roman" w:hAnsi="Times New Roman"/>
                <w:sz w:val="18"/>
                <w:szCs w:val="18"/>
                <w:color w:val="auto"/>
              </w:rPr>
              <w:t>2.12</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8"/>
                <w:szCs w:val="18"/>
                <w:color w:val="auto"/>
              </w:rPr>
              <w:t>2.88</w:t>
            </w:r>
          </w:p>
        </w:tc>
      </w:tr>
      <w:tr>
        <w:trPr>
          <w:trHeight w:val="216"/>
        </w:trPr>
        <w:tc>
          <w:tcPr>
            <w:tcW w:w="6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Strike price</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ind w:right="114"/>
              <w:spacing w:after="0"/>
              <w:rPr>
                <w:sz w:val="20"/>
                <w:szCs w:val="20"/>
                <w:color w:val="auto"/>
              </w:rPr>
            </w:pPr>
            <w:r>
              <w:rPr>
                <w:rFonts w:ascii="Times New Roman" w:cs="Times New Roman" w:eastAsia="Times New Roman" w:hAnsi="Times New Roman"/>
                <w:sz w:val="18"/>
                <w:szCs w:val="18"/>
                <w:color w:val="auto"/>
              </w:rPr>
              <w:t>3.77</w:t>
            </w:r>
          </w:p>
        </w:tc>
        <w:tc>
          <w:tcPr>
            <w:tcW w:w="12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tcPr>
          <w:p>
            <w:pPr>
              <w:jc w:val="right"/>
              <w:ind w:right="134"/>
              <w:spacing w:after="0"/>
              <w:rPr>
                <w:sz w:val="20"/>
                <w:szCs w:val="20"/>
                <w:color w:val="auto"/>
              </w:rPr>
            </w:pPr>
            <w:r>
              <w:rPr>
                <w:rFonts w:ascii="Times New Roman" w:cs="Times New Roman" w:eastAsia="Times New Roman" w:hAnsi="Times New Roman"/>
                <w:sz w:val="18"/>
                <w:szCs w:val="18"/>
                <w:color w:val="auto"/>
              </w:rPr>
              <w:t>3.77</w:t>
            </w:r>
          </w:p>
        </w:tc>
      </w:tr>
      <w:tr>
        <w:trPr>
          <w:trHeight w:val="216"/>
        </w:trPr>
        <w:tc>
          <w:tcPr>
            <w:tcW w:w="6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Risk-free rate</w:t>
            </w:r>
          </w:p>
        </w:tc>
        <w:tc>
          <w:tcPr>
            <w:tcW w:w="18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3.68 %</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3.48 %</w:t>
            </w:r>
          </w:p>
        </w:tc>
      </w:tr>
      <w:tr>
        <w:trPr>
          <w:trHeight w:val="216"/>
        </w:trPr>
        <w:tc>
          <w:tcPr>
            <w:tcW w:w="6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Volatility</w:t>
            </w:r>
          </w:p>
        </w:tc>
        <w:tc>
          <w:tcPr>
            <w:tcW w:w="1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57.5 %</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50.7 %</w:t>
            </w:r>
          </w:p>
        </w:tc>
      </w:tr>
      <w:tr>
        <w:trPr>
          <w:trHeight w:val="216"/>
        </w:trPr>
        <w:tc>
          <w:tcPr>
            <w:tcW w:w="6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Dividend yield</w:t>
            </w:r>
          </w:p>
        </w:tc>
        <w:tc>
          <w:tcPr>
            <w:tcW w:w="18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0.0 %</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0.0 %</w:t>
            </w:r>
          </w:p>
        </w:tc>
      </w:tr>
      <w:tr>
        <w:trPr>
          <w:trHeight w:val="216"/>
        </w:trPr>
        <w:tc>
          <w:tcPr>
            <w:tcW w:w="6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Time to expiration (years)</w:t>
            </w:r>
          </w:p>
        </w:tc>
        <w:tc>
          <w:tcPr>
            <w:tcW w:w="180" w:type="dxa"/>
            <w:vAlign w:val="bottom"/>
          </w:tcPr>
          <w:p>
            <w:pPr>
              <w:spacing w:after="0"/>
              <w:rPr>
                <w:sz w:val="18"/>
                <w:szCs w:val="18"/>
                <w:color w:val="auto"/>
              </w:rPr>
            </w:pPr>
          </w:p>
        </w:tc>
        <w:tc>
          <w:tcPr>
            <w:tcW w:w="1020" w:type="dxa"/>
            <w:vAlign w:val="bottom"/>
          </w:tcPr>
          <w:p>
            <w:pPr>
              <w:jc w:val="right"/>
              <w:ind w:right="114"/>
              <w:spacing w:after="0"/>
              <w:rPr>
                <w:sz w:val="20"/>
                <w:szCs w:val="20"/>
                <w:color w:val="auto"/>
              </w:rPr>
            </w:pPr>
            <w:r>
              <w:rPr>
                <w:rFonts w:ascii="Times New Roman" w:cs="Times New Roman" w:eastAsia="Times New Roman" w:hAnsi="Times New Roman"/>
                <w:sz w:val="18"/>
                <w:szCs w:val="18"/>
                <w:color w:val="auto"/>
              </w:rPr>
              <w:t>1.0</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jc w:val="right"/>
              <w:ind w:right="134"/>
              <w:spacing w:after="0"/>
              <w:rPr>
                <w:sz w:val="20"/>
                <w:szCs w:val="20"/>
                <w:color w:val="auto"/>
              </w:rPr>
            </w:pPr>
            <w:r>
              <w:rPr>
                <w:rFonts w:ascii="Times New Roman" w:cs="Times New Roman" w:eastAsia="Times New Roman" w:hAnsi="Times New Roman"/>
                <w:sz w:val="18"/>
                <w:szCs w:val="18"/>
                <w:color w:val="auto"/>
              </w:rPr>
              <w:t>1.2</w:t>
            </w:r>
          </w:p>
        </w:tc>
      </w:tr>
      <w:tr>
        <w:trPr>
          <w:trHeight w:val="216"/>
        </w:trPr>
        <w:tc>
          <w:tcPr>
            <w:tcW w:w="6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Fair value of warrant per share</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ind w:right="114"/>
              <w:spacing w:after="0"/>
              <w:rPr>
                <w:sz w:val="20"/>
                <w:szCs w:val="20"/>
                <w:color w:val="auto"/>
              </w:rPr>
            </w:pPr>
            <w:r>
              <w:rPr>
                <w:rFonts w:ascii="Times New Roman" w:cs="Times New Roman" w:eastAsia="Times New Roman" w:hAnsi="Times New Roman"/>
                <w:sz w:val="18"/>
                <w:szCs w:val="18"/>
                <w:color w:val="auto"/>
              </w:rPr>
              <w:t>0.15</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8"/>
                <w:szCs w:val="18"/>
                <w:color w:val="auto"/>
              </w:rPr>
              <w:t>0.41</w:t>
            </w:r>
          </w:p>
        </w:tc>
      </w:tr>
    </w:tbl>
    <w:p>
      <w:pPr>
        <w:spacing w:after="0" w:line="200" w:lineRule="exact"/>
        <w:rPr>
          <w:sz w:val="20"/>
          <w:szCs w:val="20"/>
          <w:color w:val="auto"/>
        </w:rPr>
      </w:pPr>
    </w:p>
    <w:p>
      <w:pPr>
        <w:spacing w:after="0" w:line="214" w:lineRule="exact"/>
        <w:rPr>
          <w:sz w:val="20"/>
          <w:szCs w:val="20"/>
          <w:color w:val="auto"/>
        </w:rPr>
      </w:pPr>
    </w:p>
    <w:p>
      <w:pPr>
        <w:jc w:val="both"/>
        <w:ind w:left="60" w:right="79" w:firstLine="324"/>
        <w:spacing w:after="0" w:line="282" w:lineRule="auto"/>
        <w:rPr>
          <w:sz w:val="20"/>
          <w:szCs w:val="20"/>
          <w:color w:val="auto"/>
        </w:rPr>
      </w:pPr>
      <w:r>
        <w:rPr>
          <w:rFonts w:ascii="Times New Roman" w:cs="Times New Roman" w:eastAsia="Times New Roman" w:hAnsi="Times New Roman"/>
          <w:sz w:val="18"/>
          <w:szCs w:val="18"/>
          <w:color w:val="auto"/>
        </w:rPr>
        <w:t>The changes in the Company’s warrant liabilities for the three months ended March 31, 2026 and 2025 were as follows (in thousands):</w:t>
      </w:r>
    </w:p>
    <w:p>
      <w:pPr>
        <w:spacing w:after="0" w:line="236"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670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2100" w:type="dxa"/>
            <w:vAlign w:val="bottom"/>
            <w:tcBorders>
              <w:bottom w:val="single" w:sz="8" w:color="auto"/>
            </w:tcBorders>
            <w:gridSpan w:val="4"/>
          </w:tcPr>
          <w:p>
            <w:pPr>
              <w:jc w:val="right"/>
              <w:ind w:right="74"/>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r>
      <w:tr>
        <w:trPr>
          <w:trHeight w:val="196"/>
        </w:trPr>
        <w:tc>
          <w:tcPr>
            <w:tcW w:w="670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ind w:right="296"/>
              <w:spacing w:after="0"/>
              <w:rPr>
                <w:sz w:val="20"/>
                <w:szCs w:val="20"/>
                <w:color w:val="auto"/>
              </w:rPr>
            </w:pPr>
            <w:r>
              <w:rPr>
                <w:rFonts w:ascii="Times New Roman" w:cs="Times New Roman" w:eastAsia="Times New Roman" w:hAnsi="Times New Roman"/>
                <w:sz w:val="14"/>
                <w:szCs w:val="14"/>
                <w:b w:val="1"/>
                <w:bCs w:val="1"/>
                <w:color w:val="auto"/>
              </w:rPr>
              <w:t>2026</w:t>
            </w:r>
          </w:p>
        </w:tc>
        <w:tc>
          <w:tcPr>
            <w:tcW w:w="12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ind w:right="294"/>
              <w:spacing w:after="0"/>
              <w:rPr>
                <w:sz w:val="20"/>
                <w:szCs w:val="20"/>
                <w:color w:val="auto"/>
              </w:rPr>
            </w:pPr>
            <w:r>
              <w:rPr>
                <w:rFonts w:ascii="Times New Roman" w:cs="Times New Roman" w:eastAsia="Times New Roman" w:hAnsi="Times New Roman"/>
                <w:sz w:val="14"/>
                <w:szCs w:val="14"/>
                <w:b w:val="1"/>
                <w:bCs w:val="1"/>
                <w:color w:val="auto"/>
              </w:rPr>
              <w:t>2025</w:t>
            </w:r>
          </w:p>
        </w:tc>
      </w:tr>
      <w:tr>
        <w:trPr>
          <w:trHeight w:val="210"/>
        </w:trPr>
        <w:tc>
          <w:tcPr>
            <w:tcW w:w="6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beginning of year</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1,919</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8,064</w:t>
            </w:r>
          </w:p>
        </w:tc>
      </w:tr>
      <w:tr>
        <w:trPr>
          <w:trHeight w:val="216"/>
        </w:trPr>
        <w:tc>
          <w:tcPr>
            <w:tcW w:w="6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Exercise of warrants</w:t>
            </w:r>
          </w:p>
        </w:tc>
        <w:tc>
          <w:tcPr>
            <w:tcW w:w="100" w:type="dxa"/>
            <w:vAlign w:val="bottom"/>
          </w:tcPr>
          <w:p>
            <w:pPr>
              <w:spacing w:after="0"/>
              <w:rPr>
                <w:sz w:val="18"/>
                <w:szCs w:val="18"/>
                <w:color w:val="auto"/>
              </w:rPr>
            </w:pPr>
          </w:p>
        </w:tc>
        <w:tc>
          <w:tcPr>
            <w:tcW w:w="10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w:t>
            </w:r>
          </w:p>
        </w:tc>
      </w:tr>
      <w:tr>
        <w:trPr>
          <w:trHeight w:val="216"/>
        </w:trPr>
        <w:tc>
          <w:tcPr>
            <w:tcW w:w="6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Fair value change</w:t>
            </w: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(1,237)</w:t>
            </w:r>
          </w:p>
        </w:tc>
        <w:tc>
          <w:tcPr>
            <w:tcW w:w="2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(1,735)</w:t>
            </w:r>
          </w:p>
        </w:tc>
      </w:tr>
      <w:tr>
        <w:trPr>
          <w:trHeight w:val="210"/>
        </w:trPr>
        <w:tc>
          <w:tcPr>
            <w:tcW w:w="6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Balance at end of period</w:t>
            </w: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682</w:t>
            </w:r>
          </w:p>
        </w:tc>
        <w:tc>
          <w:tcPr>
            <w:tcW w:w="120" w:type="dxa"/>
            <w:vAlign w:val="bottom"/>
          </w:tcPr>
          <w:p>
            <w:pPr>
              <w:spacing w:after="0"/>
              <w:rPr>
                <w:sz w:val="18"/>
                <w:szCs w:val="18"/>
                <w:color w:val="auto"/>
              </w:rPr>
            </w:pPr>
          </w:p>
        </w:tc>
        <w:tc>
          <w:tcPr>
            <w:tcW w:w="240" w:type="dxa"/>
            <w:vAlign w:val="bottom"/>
            <w:tcBorders>
              <w:top w:val="single" w:sz="8" w:color="auto"/>
              <w:bottom w:val="single" w:sz="8" w:color="auto"/>
            </w:tcBorders>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6,179</w:t>
            </w:r>
          </w:p>
        </w:tc>
      </w:tr>
      <w:tr>
        <w:trPr>
          <w:trHeight w:val="20"/>
        </w:trPr>
        <w:tc>
          <w:tcPr>
            <w:tcW w:w="67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ind w:left="60" w:right="79" w:firstLine="324"/>
        <w:spacing w:after="0" w:line="256" w:lineRule="auto"/>
        <w:rPr>
          <w:sz w:val="20"/>
          <w:szCs w:val="20"/>
          <w:color w:val="auto"/>
        </w:rPr>
      </w:pPr>
      <w:r>
        <w:rPr>
          <w:rFonts w:ascii="Times New Roman" w:cs="Times New Roman" w:eastAsia="Times New Roman" w:hAnsi="Times New Roman"/>
          <w:sz w:val="18"/>
          <w:szCs w:val="18"/>
          <w:color w:val="auto"/>
        </w:rPr>
        <w:t>The warrants are immediately exercisable and upon an event such as a merger, consolidation, asset sale or similar change of control, the warrants may be exercised and the holders may vote the underlying shares of common stock. In connection with the private placement, the Company provided the investors with certain registration rights relating to the preferred stock, the warrants and the shares of the Company’s common stock underlying the warrants, that required the Company to file a registration statement on Form S-3 with the SEC within 30 days following the closing date of the Private Placement. The registration requirement was completed on May 19, 2023.</w:t>
      </w:r>
    </w:p>
    <w:p>
      <w:pPr>
        <w:spacing w:after="0" w:line="187" w:lineRule="exact"/>
        <w:rPr>
          <w:sz w:val="20"/>
          <w:szCs w:val="20"/>
          <w:color w:val="auto"/>
        </w:rPr>
      </w:pPr>
    </w:p>
    <w:p>
      <w:pPr>
        <w:ind w:left="60" w:right="59" w:firstLine="324"/>
        <w:spacing w:after="0" w:line="266" w:lineRule="auto"/>
        <w:rPr>
          <w:sz w:val="20"/>
          <w:szCs w:val="20"/>
          <w:color w:val="auto"/>
        </w:rPr>
      </w:pPr>
      <w:r>
        <w:rPr>
          <w:rFonts w:ascii="Times New Roman" w:cs="Times New Roman" w:eastAsia="Times New Roman" w:hAnsi="Times New Roman"/>
          <w:sz w:val="18"/>
          <w:szCs w:val="18"/>
          <w:color w:val="auto"/>
        </w:rPr>
        <w:t>During the three months ended March 31, 2025, 176,658 of the warrants were exercised in cashless exercises, resulting in the issuance of 32,573 of the Company’s common stock at a weighted average fair value of $4.62 per share. There were 4,681,432 remaining warrants outstanding as of March 31, 2026.</w:t>
      </w:r>
    </w:p>
    <w:p>
      <w:pPr>
        <w:spacing w:after="0" w:line="1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(12) REVENUE RECOGNITION</w:t>
      </w:r>
    </w:p>
    <w:p>
      <w:pPr>
        <w:spacing w:after="0" w:line="229" w:lineRule="exact"/>
        <w:rPr>
          <w:sz w:val="20"/>
          <w:szCs w:val="20"/>
          <w:color w:val="auto"/>
        </w:rPr>
      </w:pPr>
    </w:p>
    <w:p>
      <w:pPr>
        <w:ind w:left="60" w:right="179" w:firstLine="324"/>
        <w:spacing w:after="0" w:line="261" w:lineRule="auto"/>
        <w:rPr>
          <w:sz w:val="20"/>
          <w:szCs w:val="20"/>
          <w:color w:val="auto"/>
        </w:rPr>
      </w:pPr>
      <w:r>
        <w:rPr>
          <w:rFonts w:ascii="Times New Roman" w:cs="Times New Roman" w:eastAsia="Times New Roman" w:hAnsi="Times New Roman"/>
          <w:sz w:val="18"/>
          <w:szCs w:val="18"/>
          <w:color w:val="auto"/>
        </w:rPr>
        <w:t>The Company derives revenue from two primary sources: products and services. Product revenue includes: 1) the Company’s proprietary hardware and software that function together to deliver the products’ essential functionality and 2) the Company’s software only solutions that can be used on either the Company’s hardware or third-party hardware. Both proprietary hardware and software only solutions are also sold on a standalone basis.</w:t>
      </w:r>
    </w:p>
    <w:p>
      <w:pPr>
        <w:spacing w:after="0" w:line="180" w:lineRule="exact"/>
        <w:rPr>
          <w:sz w:val="20"/>
          <w:szCs w:val="20"/>
          <w:color w:val="auto"/>
        </w:rPr>
      </w:pPr>
    </w:p>
    <w:p>
      <w:pPr>
        <w:ind w:left="60" w:right="139" w:firstLine="324"/>
        <w:spacing w:after="0" w:line="261" w:lineRule="auto"/>
        <w:rPr>
          <w:sz w:val="20"/>
          <w:szCs w:val="20"/>
          <w:color w:val="auto"/>
        </w:rPr>
      </w:pPr>
      <w:r>
        <w:rPr>
          <w:rFonts w:ascii="Times New Roman" w:cs="Times New Roman" w:eastAsia="Times New Roman" w:hAnsi="Times New Roman"/>
          <w:sz w:val="18"/>
          <w:szCs w:val="18"/>
          <w:color w:val="auto"/>
        </w:rPr>
        <w:t>Services include customer support (software updates, upgrades and technical support), consulting, design services, installation services and training. Generally, contracts with customers contain multiple performance obligations, consisting of products and services. For these contracts, the Company accounts for individual performance obligations separately if they are considered distinct.</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21" w:name="page22"/>
    <w:bookmarkEnd w:id="21"/>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ind w:left="60" w:right="79"/>
        <w:spacing w:after="0" w:line="278" w:lineRule="auto"/>
        <w:rPr>
          <w:sz w:val="20"/>
          <w:szCs w:val="20"/>
          <w:color w:val="auto"/>
        </w:rPr>
      </w:pPr>
      <w:r>
        <w:rPr>
          <w:rFonts w:ascii="Times New Roman" w:cs="Times New Roman" w:eastAsia="Times New Roman" w:hAnsi="Times New Roman"/>
          <w:sz w:val="18"/>
          <w:szCs w:val="18"/>
          <w:b w:val="1"/>
          <w:bCs w:val="1"/>
          <w:color w:val="auto"/>
        </w:rPr>
        <w:t>RIBBON COMMUNICATIONS INC. Notes to Condensed Consolidated Financial Statements (Continued) (unaudited)</w:t>
      </w:r>
    </w:p>
    <w:p>
      <w:pPr>
        <w:spacing w:after="0" w:line="388" w:lineRule="exact"/>
        <w:rPr>
          <w:sz w:val="20"/>
          <w:szCs w:val="20"/>
          <w:color w:val="auto"/>
        </w:rPr>
      </w:pPr>
    </w:p>
    <w:p>
      <w:pPr>
        <w:ind w:left="60" w:right="119" w:firstLine="324"/>
        <w:spacing w:after="0" w:line="261" w:lineRule="auto"/>
        <w:rPr>
          <w:sz w:val="20"/>
          <w:szCs w:val="20"/>
          <w:color w:val="auto"/>
        </w:rPr>
      </w:pPr>
      <w:r>
        <w:rPr>
          <w:rFonts w:ascii="Times New Roman" w:cs="Times New Roman" w:eastAsia="Times New Roman" w:hAnsi="Times New Roman"/>
          <w:sz w:val="18"/>
          <w:szCs w:val="18"/>
          <w:color w:val="auto"/>
        </w:rPr>
        <w:t>When an arrangement contains more than one performance obligation, the Company will allocate the transaction price to each performance obligation on a relative standalone selling price basis. The Company utilizes the observable price of goods and services, including when they are sold separately to similar customers, in order to estimate standalone selling price (“SSP”).</w:t>
      </w:r>
    </w:p>
    <w:p>
      <w:pPr>
        <w:spacing w:after="0" w:line="180" w:lineRule="exact"/>
        <w:rPr>
          <w:sz w:val="20"/>
          <w:szCs w:val="20"/>
          <w:color w:val="auto"/>
        </w:rPr>
      </w:pPr>
    </w:p>
    <w:p>
      <w:pPr>
        <w:ind w:left="60" w:right="119" w:firstLine="324"/>
        <w:spacing w:after="0" w:line="255" w:lineRule="auto"/>
        <w:rPr>
          <w:sz w:val="20"/>
          <w:szCs w:val="20"/>
          <w:color w:val="auto"/>
        </w:rPr>
      </w:pPr>
      <w:r>
        <w:rPr>
          <w:rFonts w:ascii="Times New Roman" w:cs="Times New Roman" w:eastAsia="Times New Roman" w:hAnsi="Times New Roman"/>
          <w:sz w:val="18"/>
          <w:szCs w:val="18"/>
          <w:color w:val="auto"/>
        </w:rPr>
        <w:t>The Company’s software licenses typically provide a perpetual right to use the Company’s software. However, the Company also sells term-based software licenses that expire and Software-as-a-Service (“SaaS”)-based software which are referred to as subscription arrangements. The Company does not customize its software nor are installation services required, as the customer has a right to utilize internal resources or a third-party service company. The software and hardware are delivered before related services are provided and are functional without professional services or customer support. The Company has concluded that its software licenses are functional intellectual property that are distinct, as the user can benefit from the software on its own.</w:t>
      </w:r>
    </w:p>
    <w:p>
      <w:pPr>
        <w:spacing w:after="0" w:line="189" w:lineRule="exact"/>
        <w:rPr>
          <w:sz w:val="20"/>
          <w:szCs w:val="20"/>
          <w:color w:val="auto"/>
        </w:rPr>
      </w:pPr>
    </w:p>
    <w:p>
      <w:pPr>
        <w:ind w:left="60" w:right="99" w:firstLine="324"/>
        <w:spacing w:after="0" w:line="256" w:lineRule="auto"/>
        <w:rPr>
          <w:sz w:val="20"/>
          <w:szCs w:val="20"/>
          <w:color w:val="auto"/>
        </w:rPr>
      </w:pPr>
      <w:r>
        <w:rPr>
          <w:rFonts w:ascii="Times New Roman" w:cs="Times New Roman" w:eastAsia="Times New Roman" w:hAnsi="Times New Roman"/>
          <w:sz w:val="18"/>
          <w:szCs w:val="18"/>
          <w:color w:val="auto"/>
        </w:rPr>
        <w:t>Product revenue from sales of the Company’s perpetual and term-based software licenses is typically recognized when the software is made available for download, as this is the point the user of the software can direct the use of and obtain substantially all of the remaining benefits from the functional intellectual property. The Company begins to recognize software revenue related to the renewal of term-based software licenses at the start of the renewal period. Revenue related to sales of SaaS-based software is recognized ratably over the service period as the customer does not take possession of the software or have the ability to take possession of the software.</w:t>
      </w:r>
    </w:p>
    <w:p>
      <w:pPr>
        <w:spacing w:after="0" w:line="187" w:lineRule="exact"/>
        <w:rPr>
          <w:sz w:val="20"/>
          <w:szCs w:val="20"/>
          <w:color w:val="auto"/>
        </w:rPr>
      </w:pPr>
    </w:p>
    <w:p>
      <w:pPr>
        <w:ind w:left="60" w:right="59" w:firstLine="324"/>
        <w:spacing w:after="0" w:line="258" w:lineRule="auto"/>
        <w:rPr>
          <w:sz w:val="20"/>
          <w:szCs w:val="20"/>
          <w:color w:val="auto"/>
        </w:rPr>
      </w:pPr>
      <w:r>
        <w:rPr>
          <w:rFonts w:ascii="Times New Roman" w:cs="Times New Roman" w:eastAsia="Times New Roman" w:hAnsi="Times New Roman"/>
          <w:sz w:val="18"/>
          <w:szCs w:val="18"/>
          <w:color w:val="auto"/>
        </w:rPr>
        <w:t>The Company offers warranties on its products. Certain of the Company’s warranties are considered to be assurance-type in nature, ensuring the product is functioning as intended. Assurance-type warranties do not represent separate performance obligations. The Company also sells separately-priced maintenance service contracts which qualify as service-type warranties and represent separate performance obligations. The Company does not allow and has no history of accepting product returns.</w:t>
      </w:r>
    </w:p>
    <w:p>
      <w:pPr>
        <w:spacing w:after="0" w:line="183" w:lineRule="exact"/>
        <w:rPr>
          <w:sz w:val="20"/>
          <w:szCs w:val="20"/>
          <w:color w:val="auto"/>
        </w:rPr>
      </w:pPr>
    </w:p>
    <w:p>
      <w:pPr>
        <w:ind w:left="60" w:right="259" w:firstLine="324"/>
        <w:spacing w:after="0" w:line="261" w:lineRule="auto"/>
        <w:rPr>
          <w:sz w:val="20"/>
          <w:szCs w:val="20"/>
          <w:color w:val="auto"/>
        </w:rPr>
      </w:pPr>
      <w:r>
        <w:rPr>
          <w:rFonts w:ascii="Times New Roman" w:cs="Times New Roman" w:eastAsia="Times New Roman" w:hAnsi="Times New Roman"/>
          <w:sz w:val="18"/>
          <w:szCs w:val="18"/>
          <w:color w:val="auto"/>
        </w:rPr>
        <w:t>Service revenue includes revenue from customer support and other professional services. Customer support includes software updates on a when-and-if-available basis, telephone support, integrated web-based support and bug fixes or patches. The Company sells its customer support contracts at a percentage of list or net product price. Customer support revenue is recognized ratably over the term of the customer support agreement, which is typically one year.</w:t>
      </w:r>
    </w:p>
    <w:p>
      <w:pPr>
        <w:spacing w:after="0" w:line="180" w:lineRule="exact"/>
        <w:rPr>
          <w:sz w:val="20"/>
          <w:szCs w:val="20"/>
          <w:color w:val="auto"/>
        </w:rPr>
      </w:pPr>
    </w:p>
    <w:p>
      <w:pPr>
        <w:ind w:left="60" w:right="119" w:firstLine="324"/>
        <w:spacing w:after="0" w:line="261" w:lineRule="auto"/>
        <w:rPr>
          <w:sz w:val="20"/>
          <w:szCs w:val="20"/>
          <w:color w:val="auto"/>
        </w:rPr>
      </w:pPr>
      <w:r>
        <w:rPr>
          <w:rFonts w:ascii="Times New Roman" w:cs="Times New Roman" w:eastAsia="Times New Roman" w:hAnsi="Times New Roman"/>
          <w:sz w:val="18"/>
          <w:szCs w:val="18"/>
          <w:color w:val="auto"/>
        </w:rPr>
        <w:t>The Company’s professional services include consulting, technical support, resident engineer services, design services and installation services. Because control transfers over time, revenue is recognized based on progress toward completion of the performance obligation. The method to measure progress toward completion requires judgment and is based on the nature of the products or services to be provided.</w:t>
      </w:r>
    </w:p>
    <w:p>
      <w:pPr>
        <w:spacing w:after="0" w:line="180" w:lineRule="exact"/>
        <w:rPr>
          <w:sz w:val="20"/>
          <w:szCs w:val="20"/>
          <w:color w:val="auto"/>
        </w:rPr>
      </w:pPr>
    </w:p>
    <w:p>
      <w:pPr>
        <w:ind w:left="60" w:right="99" w:firstLine="324"/>
        <w:spacing w:after="0" w:line="253" w:lineRule="auto"/>
        <w:rPr>
          <w:sz w:val="20"/>
          <w:szCs w:val="20"/>
          <w:color w:val="auto"/>
        </w:rPr>
      </w:pPr>
      <w:r>
        <w:rPr>
          <w:rFonts w:ascii="Times New Roman" w:cs="Times New Roman" w:eastAsia="Times New Roman" w:hAnsi="Times New Roman"/>
          <w:sz w:val="18"/>
          <w:szCs w:val="18"/>
          <w:color w:val="auto"/>
        </w:rPr>
        <w:t>The Company generally uses the input method to measure progress for its contracts and to recognize revenue because it believes such method, in general, best depicts the transfer of assets to its customers. The input method measures costs the Company has incurred in the period for its contracts. In some infrequent instances, the Company may engage a third-party to perform services on its behalf and in those cases the output method is used to recognize revenue because it best depicts the transfer of assets to its customers. Under the output method, there is a cost-to-cost measure of progress. The progress toward completion is measured based on the ratio of costs incurred to date to the total estimated costs at completion of the performance obligation. When the measure of progress is based upon expended labor, progress toward completion is measured as the ratio of labor time expended to date versus the total estimated labor time required to complete the performance obligation. Revenue is recorded proportionally as costs are incurred or as labor is expended. Costs to fulfill these obligations can include internal labor as well as subcontractor costs.</w:t>
      </w:r>
    </w:p>
    <w:p>
      <w:pPr>
        <w:spacing w:after="0" w:line="194" w:lineRule="exact"/>
        <w:rPr>
          <w:sz w:val="20"/>
          <w:szCs w:val="20"/>
          <w:color w:val="auto"/>
        </w:rPr>
      </w:pPr>
    </w:p>
    <w:p>
      <w:pPr>
        <w:ind w:left="60" w:right="79" w:firstLine="324"/>
        <w:spacing w:after="0" w:line="282" w:lineRule="auto"/>
        <w:rPr>
          <w:sz w:val="20"/>
          <w:szCs w:val="20"/>
          <w:color w:val="auto"/>
        </w:rPr>
      </w:pPr>
      <w:r>
        <w:rPr>
          <w:rFonts w:ascii="Times New Roman" w:cs="Times New Roman" w:eastAsia="Times New Roman" w:hAnsi="Times New Roman"/>
          <w:sz w:val="18"/>
          <w:szCs w:val="18"/>
          <w:color w:val="auto"/>
        </w:rPr>
        <w:t>Customer training includes courses offered by the Company. The related revenue is typically recognized as the training services are performed, typically over a period of one to five days.</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22" w:name="page23"/>
    <w:bookmarkEnd w:id="22"/>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ind w:left="1540" w:right="1800"/>
        <w:spacing w:after="0" w:line="278" w:lineRule="auto"/>
        <w:rPr>
          <w:sz w:val="20"/>
          <w:szCs w:val="20"/>
          <w:color w:val="auto"/>
        </w:rPr>
      </w:pPr>
      <w:r>
        <w:rPr>
          <w:rFonts w:ascii="Times New Roman" w:cs="Times New Roman" w:eastAsia="Times New Roman" w:hAnsi="Times New Roman"/>
          <w:sz w:val="18"/>
          <w:szCs w:val="18"/>
          <w:b w:val="1"/>
          <w:bCs w:val="1"/>
          <w:color w:val="auto"/>
        </w:rPr>
        <w:t>RIBBON COMMUNICATIONS INC. Notes to Condensed Consolidated Financial Statements (Continued) (unaudited)</w:t>
      </w:r>
    </w:p>
    <w:p>
      <w:pPr>
        <w:spacing w:after="0" w:line="388" w:lineRule="exact"/>
        <w:rPr>
          <w:sz w:val="20"/>
          <w:szCs w:val="20"/>
          <w:color w:val="auto"/>
        </w:rPr>
      </w:pPr>
    </w:p>
    <w:p>
      <w:pPr>
        <w:ind w:left="60" w:right="379" w:firstLine="324"/>
        <w:spacing w:after="0" w:line="312" w:lineRule="auto"/>
        <w:rPr>
          <w:sz w:val="20"/>
          <w:szCs w:val="20"/>
          <w:color w:val="auto"/>
        </w:rPr>
      </w:pPr>
      <w:r>
        <w:rPr>
          <w:rFonts w:ascii="Times New Roman" w:cs="Times New Roman" w:eastAsia="Times New Roman" w:hAnsi="Times New Roman"/>
          <w:sz w:val="17"/>
          <w:szCs w:val="17"/>
          <w:color w:val="auto"/>
        </w:rPr>
        <w:t>Payment terms for the Company’s contracts with its customers typically range from 30 to 60 days from the invoice date. In certain cases, the Company may offer extended payment terms, which are assessed on a case-by-case basis.</w:t>
      </w:r>
    </w:p>
    <w:p>
      <w:pPr>
        <w:spacing w:after="0" w:line="140" w:lineRule="exact"/>
        <w:rPr>
          <w:sz w:val="20"/>
          <w:szCs w:val="20"/>
          <w:color w:val="auto"/>
        </w:rPr>
      </w:pPr>
    </w:p>
    <w:p>
      <w:pPr>
        <w:ind w:left="60" w:right="119" w:firstLine="324"/>
        <w:spacing w:after="0" w:line="266" w:lineRule="auto"/>
        <w:rPr>
          <w:sz w:val="20"/>
          <w:szCs w:val="20"/>
          <w:color w:val="auto"/>
        </w:rPr>
      </w:pPr>
      <w:r>
        <w:rPr>
          <w:rFonts w:ascii="Times New Roman" w:cs="Times New Roman" w:eastAsia="Times New Roman" w:hAnsi="Times New Roman"/>
          <w:sz w:val="18"/>
          <w:szCs w:val="18"/>
          <w:color w:val="auto"/>
        </w:rPr>
        <w:t>The Company does not generally offer significant financing components in its contracts with customers. However, if a contract includes a significant financing component, the transaction price is adjusted for the time value of money. For the three months ended March 31, 2026, the impact of financing components was immaterial.</w:t>
      </w:r>
    </w:p>
    <w:p>
      <w:pPr>
        <w:spacing w:after="0" w:line="176" w:lineRule="exact"/>
        <w:rPr>
          <w:sz w:val="20"/>
          <w:szCs w:val="20"/>
          <w:color w:val="auto"/>
        </w:rPr>
      </w:pPr>
    </w:p>
    <w:p>
      <w:pPr>
        <w:ind w:left="60" w:right="219" w:firstLine="324"/>
        <w:spacing w:after="0" w:line="282" w:lineRule="auto"/>
        <w:rPr>
          <w:sz w:val="20"/>
          <w:szCs w:val="20"/>
          <w:color w:val="auto"/>
        </w:rPr>
      </w:pPr>
      <w:r>
        <w:rPr>
          <w:rFonts w:ascii="Times New Roman" w:cs="Times New Roman" w:eastAsia="Times New Roman" w:hAnsi="Times New Roman"/>
          <w:sz w:val="18"/>
          <w:szCs w:val="18"/>
          <w:color w:val="auto"/>
        </w:rPr>
        <w:t>Amounts billed to customers for sales and other taxes are excluded from the transaction price. Revenue is recognized net of any taxes collected from customers, which are subsequently remitted to government authorities.</w:t>
      </w:r>
    </w:p>
    <w:p>
      <w:pPr>
        <w:spacing w:after="0" w:line="162"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The Company’s typical performance obligations include the following:</w:t>
      </w:r>
    </w:p>
    <w:p>
      <w:pPr>
        <w:sectPr>
          <w:pgSz w:w="11900" w:h="16838" w:orient="portrait"/>
          <w:cols w:equalWidth="0" w:num="1">
            <w:col w:w="9019"/>
          </w:cols>
          <w:pgMar w:left="1440" w:top="513" w:right="1440" w:bottom="1440" w:gutter="0" w:footer="0" w:header="0"/>
        </w:sectPr>
      </w:pPr>
    </w:p>
    <w:p>
      <w:pPr>
        <w:spacing w:after="0" w:line="220" w:lineRule="exact"/>
        <w:rPr>
          <w:sz w:val="20"/>
          <w:szCs w:val="20"/>
          <w:color w:val="auto"/>
        </w:rPr>
      </w:pPr>
    </w:p>
    <w:tbl>
      <w:tblPr>
        <w:tblLayout w:type="fixed"/>
        <w:tblInd w:w="6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2780" w:type="dxa"/>
            <w:vAlign w:val="bottom"/>
          </w:tcPr>
          <w:p>
            <w:pPr>
              <w:spacing w:after="0"/>
              <w:rPr>
                <w:sz w:val="13"/>
                <w:szCs w:val="13"/>
                <w:color w:val="auto"/>
              </w:rPr>
            </w:pPr>
          </w:p>
        </w:tc>
        <w:tc>
          <w:tcPr>
            <w:tcW w:w="220" w:type="dxa"/>
            <w:vAlign w:val="bottom"/>
          </w:tcPr>
          <w:p>
            <w:pPr>
              <w:ind w:left="120"/>
              <w:spacing w:after="0"/>
              <w:rPr>
                <w:sz w:val="20"/>
                <w:szCs w:val="20"/>
                <w:color w:val="auto"/>
              </w:rPr>
            </w:pPr>
            <w:r>
              <w:rPr>
                <w:rFonts w:ascii="Times New Roman" w:cs="Times New Roman" w:eastAsia="Times New Roman" w:hAnsi="Times New Roman"/>
                <w:sz w:val="14"/>
                <w:szCs w:val="14"/>
                <w:b w:val="1"/>
                <w:bCs w:val="1"/>
                <w:color w:val="auto"/>
              </w:rPr>
              <w:t>​​​</w:t>
            </w:r>
          </w:p>
        </w:tc>
        <w:tc>
          <w:tcPr>
            <w:tcW w:w="20" w:type="dxa"/>
            <w:vAlign w:val="bottom"/>
          </w:tcPr>
          <w:p>
            <w:pPr>
              <w:spacing w:after="0"/>
              <w:rPr>
                <w:sz w:val="13"/>
                <w:szCs w:val="13"/>
                <w:color w:val="auto"/>
              </w:rPr>
            </w:pPr>
          </w:p>
        </w:tc>
        <w:tc>
          <w:tcPr>
            <w:tcW w:w="28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When Performance Obligation is Typically</w:t>
            </w:r>
          </w:p>
        </w:tc>
      </w:tr>
      <w:tr>
        <w:trPr>
          <w:trHeight w:val="173"/>
        </w:trPr>
        <w:tc>
          <w:tcPr>
            <w:tcW w:w="20" w:type="dxa"/>
            <w:vAlign w:val="bottom"/>
          </w:tcPr>
          <w:p>
            <w:pPr>
              <w:spacing w:after="0"/>
              <w:rPr>
                <w:sz w:val="15"/>
                <w:szCs w:val="15"/>
                <w:color w:val="auto"/>
              </w:rPr>
            </w:pPr>
          </w:p>
        </w:tc>
        <w:tc>
          <w:tcPr>
            <w:tcW w:w="3000" w:type="dxa"/>
            <w:vAlign w:val="bottom"/>
            <w:gridSpan w:val="2"/>
          </w:tcPr>
          <w:p>
            <w:pPr>
              <w:ind w:left="620"/>
              <w:spacing w:after="0"/>
              <w:rPr>
                <w:sz w:val="20"/>
                <w:szCs w:val="20"/>
                <w:color w:val="auto"/>
              </w:rPr>
            </w:pPr>
            <w:r>
              <w:rPr>
                <w:rFonts w:ascii="Times New Roman" w:cs="Times New Roman" w:eastAsia="Times New Roman" w:hAnsi="Times New Roman"/>
                <w:sz w:val="14"/>
                <w:szCs w:val="14"/>
                <w:b w:val="1"/>
                <w:bCs w:val="1"/>
                <w:color w:val="auto"/>
              </w:rPr>
              <w:t>Performance Obligation</w:t>
            </w:r>
          </w:p>
        </w:tc>
        <w:tc>
          <w:tcPr>
            <w:tcW w:w="20" w:type="dxa"/>
            <w:vAlign w:val="bottom"/>
          </w:tcPr>
          <w:p>
            <w:pPr>
              <w:spacing w:after="0"/>
              <w:rPr>
                <w:sz w:val="15"/>
                <w:szCs w:val="15"/>
                <w:color w:val="auto"/>
              </w:rPr>
            </w:pPr>
          </w:p>
        </w:tc>
        <w:tc>
          <w:tcPr>
            <w:tcW w:w="28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Satisfied</w:t>
            </w:r>
          </w:p>
        </w:tc>
      </w:tr>
      <w:tr>
        <w:trPr>
          <w:trHeight w:val="191"/>
        </w:trPr>
        <w:tc>
          <w:tcPr>
            <w:tcW w:w="20" w:type="dxa"/>
            <w:vAlign w:val="bottom"/>
          </w:tcPr>
          <w:p>
            <w:pPr>
              <w:spacing w:after="0"/>
              <w:rPr>
                <w:sz w:val="16"/>
                <w:szCs w:val="16"/>
                <w:color w:val="auto"/>
              </w:rPr>
            </w:pPr>
          </w:p>
        </w:tc>
        <w:tc>
          <w:tcPr>
            <w:tcW w:w="278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b w:val="1"/>
                <w:bCs w:val="1"/>
                <w:i w:val="1"/>
                <w:iCs w:val="1"/>
                <w:color w:val="auto"/>
              </w:rPr>
              <w:t>Software and Product Revenue</w:t>
            </w:r>
          </w:p>
        </w:tc>
        <w:tc>
          <w:tcPr>
            <w:tcW w:w="2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800" w:type="dxa"/>
            <w:vAlign w:val="bottom"/>
            <w:tcBorders>
              <w:top w:val="single" w:sz="8" w:color="auto"/>
            </w:tcBorders>
          </w:tcPr>
          <w:p>
            <w:pPr>
              <w:spacing w:after="0"/>
              <w:rPr>
                <w:sz w:val="16"/>
                <w:szCs w:val="16"/>
                <w:color w:val="auto"/>
              </w:rPr>
            </w:pPr>
          </w:p>
        </w:tc>
      </w:tr>
      <w:tr>
        <w:trPr>
          <w:trHeight w:val="216"/>
        </w:trPr>
        <w:tc>
          <w:tcPr>
            <w:tcW w:w="30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Software licenses (perpetual or term)</w:t>
            </w:r>
          </w:p>
        </w:tc>
        <w:tc>
          <w:tcPr>
            <w:tcW w:w="28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For perpetual licenses, typically when</w:t>
            </w:r>
          </w:p>
        </w:tc>
      </w:tr>
      <w:tr>
        <w:trPr>
          <w:trHeight w:val="216"/>
        </w:trPr>
        <w:tc>
          <w:tcPr>
            <w:tcW w:w="20" w:type="dxa"/>
            <w:vAlign w:val="bottom"/>
          </w:tcPr>
          <w:p>
            <w:pPr>
              <w:spacing w:after="0"/>
              <w:rPr>
                <w:sz w:val="18"/>
                <w:szCs w:val="18"/>
                <w:color w:val="auto"/>
              </w:rPr>
            </w:pPr>
          </w:p>
        </w:tc>
        <w:tc>
          <w:tcPr>
            <w:tcW w:w="2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made available for download (point in</w:t>
            </w:r>
          </w:p>
        </w:tc>
      </w:tr>
      <w:tr>
        <w:trPr>
          <w:trHeight w:val="216"/>
        </w:trPr>
        <w:tc>
          <w:tcPr>
            <w:tcW w:w="20" w:type="dxa"/>
            <w:vAlign w:val="bottom"/>
          </w:tcPr>
          <w:p>
            <w:pPr>
              <w:spacing w:after="0"/>
              <w:rPr>
                <w:sz w:val="18"/>
                <w:szCs w:val="18"/>
                <w:color w:val="auto"/>
              </w:rPr>
            </w:pPr>
          </w:p>
        </w:tc>
        <w:tc>
          <w:tcPr>
            <w:tcW w:w="2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time); for term-based licenses, at the</w:t>
            </w:r>
          </w:p>
        </w:tc>
      </w:tr>
      <w:tr>
        <w:trPr>
          <w:trHeight w:val="216"/>
        </w:trPr>
        <w:tc>
          <w:tcPr>
            <w:tcW w:w="20" w:type="dxa"/>
            <w:vAlign w:val="bottom"/>
          </w:tcPr>
          <w:p>
            <w:pPr>
              <w:spacing w:after="0"/>
              <w:rPr>
                <w:sz w:val="18"/>
                <w:szCs w:val="18"/>
                <w:color w:val="auto"/>
              </w:rPr>
            </w:pPr>
          </w:p>
        </w:tc>
        <w:tc>
          <w:tcPr>
            <w:tcW w:w="2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beginning of the specified term (point</w:t>
            </w:r>
          </w:p>
        </w:tc>
      </w:tr>
      <w:tr>
        <w:trPr>
          <w:trHeight w:val="216"/>
        </w:trPr>
        <w:tc>
          <w:tcPr>
            <w:tcW w:w="20" w:type="dxa"/>
            <w:vAlign w:val="bottom"/>
          </w:tcPr>
          <w:p>
            <w:pPr>
              <w:spacing w:after="0"/>
              <w:rPr>
                <w:sz w:val="18"/>
                <w:szCs w:val="18"/>
                <w:color w:val="auto"/>
              </w:rPr>
            </w:pPr>
          </w:p>
        </w:tc>
        <w:tc>
          <w:tcPr>
            <w:tcW w:w="2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in time)</w:t>
            </w:r>
          </w:p>
        </w:tc>
      </w:tr>
      <w:tr>
        <w:trPr>
          <w:trHeight w:val="216"/>
        </w:trPr>
        <w:tc>
          <w:tcPr>
            <w:tcW w:w="30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Software licenses (subscription)</w:t>
            </w:r>
          </w:p>
        </w:tc>
        <w:tc>
          <w:tcPr>
            <w:tcW w:w="28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Upon activation of hosted site (over</w:t>
            </w:r>
          </w:p>
        </w:tc>
      </w:tr>
      <w:tr>
        <w:trPr>
          <w:trHeight w:val="216"/>
        </w:trPr>
        <w:tc>
          <w:tcPr>
            <w:tcW w:w="20" w:type="dxa"/>
            <w:vAlign w:val="bottom"/>
          </w:tcPr>
          <w:p>
            <w:pPr>
              <w:spacing w:after="0"/>
              <w:rPr>
                <w:sz w:val="18"/>
                <w:szCs w:val="18"/>
                <w:color w:val="auto"/>
              </w:rPr>
            </w:pPr>
          </w:p>
        </w:tc>
        <w:tc>
          <w:tcPr>
            <w:tcW w:w="2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time)</w:t>
            </w:r>
          </w:p>
        </w:tc>
      </w:tr>
      <w:tr>
        <w:trPr>
          <w:trHeight w:val="216"/>
        </w:trPr>
        <w:tc>
          <w:tcPr>
            <w:tcW w:w="30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Hardware</w:t>
            </w:r>
          </w:p>
        </w:tc>
        <w:tc>
          <w:tcPr>
            <w:tcW w:w="28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When control of the hardware passes</w:t>
            </w:r>
          </w:p>
        </w:tc>
      </w:tr>
      <w:tr>
        <w:trPr>
          <w:trHeight w:val="216"/>
        </w:trPr>
        <w:tc>
          <w:tcPr>
            <w:tcW w:w="20" w:type="dxa"/>
            <w:vAlign w:val="bottom"/>
          </w:tcPr>
          <w:p>
            <w:pPr>
              <w:spacing w:after="0"/>
              <w:rPr>
                <w:sz w:val="18"/>
                <w:szCs w:val="18"/>
                <w:color w:val="auto"/>
              </w:rPr>
            </w:pPr>
          </w:p>
        </w:tc>
        <w:tc>
          <w:tcPr>
            <w:tcW w:w="2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to the customer; typically, upon</w:t>
            </w:r>
          </w:p>
        </w:tc>
      </w:tr>
      <w:tr>
        <w:trPr>
          <w:trHeight w:val="216"/>
        </w:trPr>
        <w:tc>
          <w:tcPr>
            <w:tcW w:w="20" w:type="dxa"/>
            <w:vAlign w:val="bottom"/>
          </w:tcPr>
          <w:p>
            <w:pPr>
              <w:spacing w:after="0"/>
              <w:rPr>
                <w:sz w:val="18"/>
                <w:szCs w:val="18"/>
                <w:color w:val="auto"/>
              </w:rPr>
            </w:pPr>
          </w:p>
        </w:tc>
        <w:tc>
          <w:tcPr>
            <w:tcW w:w="2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delivery (point in time)</w:t>
            </w:r>
          </w:p>
        </w:tc>
      </w:tr>
      <w:tr>
        <w:trPr>
          <w:trHeight w:val="216"/>
        </w:trPr>
        <w:tc>
          <w:tcPr>
            <w:tcW w:w="30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Software upgrades</w:t>
            </w:r>
          </w:p>
        </w:tc>
        <w:tc>
          <w:tcPr>
            <w:tcW w:w="28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Upon transfer of control; typically,</w:t>
            </w:r>
          </w:p>
        </w:tc>
      </w:tr>
      <w:tr>
        <w:trPr>
          <w:trHeight w:val="216"/>
        </w:trPr>
        <w:tc>
          <w:tcPr>
            <w:tcW w:w="20" w:type="dxa"/>
            <w:vAlign w:val="bottom"/>
          </w:tcPr>
          <w:p>
            <w:pPr>
              <w:spacing w:after="0"/>
              <w:rPr>
                <w:sz w:val="18"/>
                <w:szCs w:val="18"/>
                <w:color w:val="auto"/>
              </w:rPr>
            </w:pPr>
          </w:p>
        </w:tc>
        <w:tc>
          <w:tcPr>
            <w:tcW w:w="2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when made available for download</w:t>
            </w:r>
          </w:p>
        </w:tc>
      </w:tr>
      <w:tr>
        <w:trPr>
          <w:trHeight w:val="234"/>
        </w:trPr>
        <w:tc>
          <w:tcPr>
            <w:tcW w:w="20" w:type="dxa"/>
            <w:vAlign w:val="bottom"/>
          </w:tcPr>
          <w:p>
            <w:pPr>
              <w:spacing w:after="0"/>
              <w:rPr>
                <w:sz w:val="20"/>
                <w:szCs w:val="20"/>
                <w:color w:val="auto"/>
              </w:rPr>
            </w:pPr>
          </w:p>
        </w:tc>
        <w:tc>
          <w:tcPr>
            <w:tcW w:w="27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8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(point in time)</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39370</wp:posOffset>
            </wp:positionH>
            <wp:positionV relativeFrom="paragraph">
              <wp:posOffset>-1096645</wp:posOffset>
            </wp:positionV>
            <wp:extent cx="5648960" cy="27432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5648960" cy="274320"/>
                    </a:xfrm>
                    <a:prstGeom prst="rect">
                      <a:avLst/>
                    </a:prstGeom>
                    <a:noFill/>
                  </pic:spPr>
                </pic:pic>
              </a:graphicData>
            </a:graphic>
          </wp:anchor>
        </w:drawing>
        <w:drawing>
          <wp:anchor simplePos="0" relativeHeight="251657728" behindDoc="1" locked="0" layoutInCell="0" allowOverlap="1">
            <wp:simplePos x="0" y="0"/>
            <wp:positionH relativeFrom="column">
              <wp:posOffset>39370</wp:posOffset>
            </wp:positionH>
            <wp:positionV relativeFrom="paragraph">
              <wp:posOffset>-410845</wp:posOffset>
            </wp:positionV>
            <wp:extent cx="5648960" cy="41148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5648960" cy="411480"/>
                    </a:xfrm>
                    <a:prstGeom prst="rect">
                      <a:avLst/>
                    </a:prstGeom>
                    <a:noFill/>
                  </pic:spPr>
                </pic:pic>
              </a:graphicData>
            </a:graphic>
          </wp:anchor>
        </w:drawing>
        <w:drawing>
          <wp:anchor simplePos="0" relativeHeight="251657728" behindDoc="1" locked="0" layoutInCell="0" allowOverlap="1">
            <wp:simplePos x="0" y="0"/>
            <wp:positionH relativeFrom="column">
              <wp:posOffset>39370</wp:posOffset>
            </wp:positionH>
            <wp:positionV relativeFrom="paragraph">
              <wp:posOffset>-1928495</wp:posOffset>
            </wp:positionV>
            <wp:extent cx="5648960" cy="14541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5648960" cy="14541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w:t>
      </w:r>
    </w:p>
    <w:p>
      <w:pPr>
        <w:spacing w:after="0" w:line="6"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4"/>
          <w:szCs w:val="14"/>
          <w:b w:val="1"/>
          <w:bCs w:val="1"/>
          <w:color w:val="auto"/>
        </w:rPr>
        <w:t>When Payment is Typically Due</w:t>
      </w:r>
    </w:p>
    <w:p>
      <w:pPr>
        <w:spacing w:after="0" w:line="205" w:lineRule="exact"/>
        <w:rPr>
          <w:sz w:val="20"/>
          <w:szCs w:val="20"/>
          <w:color w:val="auto"/>
        </w:rPr>
      </w:pPr>
    </w:p>
    <w:p>
      <w:pPr>
        <w:ind w:left="140" w:right="399"/>
        <w:spacing w:after="0" w:line="289" w:lineRule="auto"/>
        <w:rPr>
          <w:sz w:val="20"/>
          <w:szCs w:val="20"/>
          <w:color w:val="auto"/>
        </w:rPr>
      </w:pPr>
      <w:r>
        <w:rPr>
          <w:rFonts w:ascii="Times New Roman" w:cs="Times New Roman" w:eastAsia="Times New Roman" w:hAnsi="Times New Roman"/>
          <w:sz w:val="17"/>
          <w:szCs w:val="17"/>
          <w:color w:val="auto"/>
        </w:rPr>
        <w:t>Generally, within 30-60 days of invoicing, except for term licenses which may be paid for over time</w:t>
      </w:r>
    </w:p>
    <w:p>
      <w:pPr>
        <w:spacing w:after="0" w:line="374" w:lineRule="exact"/>
        <w:rPr>
          <w:sz w:val="20"/>
          <w:szCs w:val="20"/>
          <w:color w:val="auto"/>
        </w:rPr>
      </w:pPr>
    </w:p>
    <w:p>
      <w:pPr>
        <w:ind w:left="140" w:right="599"/>
        <w:spacing w:after="0" w:line="261" w:lineRule="auto"/>
        <w:rPr>
          <w:sz w:val="20"/>
          <w:szCs w:val="20"/>
          <w:color w:val="auto"/>
        </w:rPr>
      </w:pPr>
      <w:r>
        <w:rPr>
          <w:rFonts w:ascii="Times New Roman" w:cs="Times New Roman" w:eastAsia="Times New Roman" w:hAnsi="Times New Roman"/>
          <w:sz w:val="18"/>
          <w:szCs w:val="18"/>
          <w:color w:val="auto"/>
        </w:rPr>
        <w:t>Generally, within 30-60 days of invoicing</w:t>
      </w:r>
    </w:p>
    <w:p>
      <w:pPr>
        <w:ind w:left="140" w:right="599"/>
        <w:spacing w:after="0" w:line="260" w:lineRule="auto"/>
        <w:rPr>
          <w:sz w:val="20"/>
          <w:szCs w:val="20"/>
          <w:color w:val="auto"/>
        </w:rPr>
      </w:pPr>
      <w:r>
        <w:rPr>
          <w:rFonts w:ascii="Times New Roman" w:cs="Times New Roman" w:eastAsia="Times New Roman" w:hAnsi="Times New Roman"/>
          <w:sz w:val="18"/>
          <w:szCs w:val="18"/>
          <w:color w:val="auto"/>
        </w:rPr>
        <w:t>Generally, within 30-60 days of invoicing</w:t>
      </w:r>
    </w:p>
    <w:p>
      <w:pPr>
        <w:spacing w:after="0" w:line="181" w:lineRule="exact"/>
        <w:rPr>
          <w:sz w:val="20"/>
          <w:szCs w:val="20"/>
          <w:color w:val="auto"/>
        </w:rPr>
      </w:pPr>
    </w:p>
    <w:p>
      <w:pPr>
        <w:ind w:left="140" w:right="599"/>
        <w:spacing w:after="0" w:line="282" w:lineRule="auto"/>
        <w:rPr>
          <w:sz w:val="20"/>
          <w:szCs w:val="20"/>
          <w:color w:val="auto"/>
        </w:rPr>
      </w:pPr>
      <w:r>
        <w:rPr>
          <w:rFonts w:ascii="Times New Roman" w:cs="Times New Roman" w:eastAsia="Times New Roman" w:hAnsi="Times New Roman"/>
          <w:sz w:val="18"/>
          <w:szCs w:val="18"/>
          <w:color w:val="auto"/>
        </w:rPr>
        <w:t>Generally, within 30-60 days of invoicing</w:t>
      </w:r>
    </w:p>
    <w:p>
      <w:pPr>
        <w:spacing w:after="0" w:line="180" w:lineRule="exact"/>
        <w:rPr>
          <w:sz w:val="20"/>
          <w:szCs w:val="20"/>
          <w:color w:val="auto"/>
        </w:rPr>
      </w:pPr>
    </w:p>
    <w:p>
      <w:pPr>
        <w:sectPr>
          <w:pgSz w:w="11900" w:h="16838" w:orient="portrait"/>
          <w:cols w:equalWidth="0" w:num="2">
            <w:col w:w="5900" w:space="100"/>
            <w:col w:w="3019"/>
          </w:cols>
          <w:pgMar w:left="1440" w:top="513" w:right="1440" w:bottom="1440" w:gutter="0" w:footer="0" w:header="0"/>
          <w:type w:val="continuous"/>
        </w:sectPr>
      </w:pPr>
    </w:p>
    <w:tbl>
      <w:tblPr>
        <w:tblLayout w:type="fixed"/>
        <w:tblInd w:w="60" w:type="dxa"/>
        <w:tblCellMar>
          <w:top w:w="0" w:type="dxa"/>
          <w:left w:w="0" w:type="dxa"/>
          <w:bottom w:w="0" w:type="dxa"/>
          <w:right w:w="0" w:type="dxa"/>
        </w:tblCellMar>
      </w:tblPr>
      <w:tr>
        <w:trPr>
          <w:trHeight w:val="198"/>
        </w:trPr>
        <w:tc>
          <w:tcPr>
            <w:tcW w:w="2900" w:type="dxa"/>
            <w:vAlign w:val="bottom"/>
          </w:tcPr>
          <w:p>
            <w:pPr>
              <w:spacing w:after="0" w:line="198" w:lineRule="exact"/>
              <w:rPr>
                <w:sz w:val="20"/>
                <w:szCs w:val="20"/>
                <w:color w:val="auto"/>
              </w:rPr>
            </w:pPr>
            <w:r>
              <w:rPr>
                <w:rFonts w:ascii="Times New Roman" w:cs="Times New Roman" w:eastAsia="Times New Roman" w:hAnsi="Times New Roman"/>
                <w:sz w:val="18"/>
                <w:szCs w:val="18"/>
                <w:b w:val="1"/>
                <w:bCs w:val="1"/>
                <w:i w:val="1"/>
                <w:iCs w:val="1"/>
                <w:color w:val="auto"/>
              </w:rPr>
              <w:t>Customer Support Revenue</w:t>
            </w:r>
          </w:p>
        </w:tc>
        <w:tc>
          <w:tcPr>
            <w:tcW w:w="2980" w:type="dxa"/>
            <w:vAlign w:val="bottom"/>
          </w:tcPr>
          <w:p>
            <w:pPr>
              <w:ind w:left="2920"/>
              <w:spacing w:after="0" w:line="198" w:lineRule="exact"/>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900" w:type="dxa"/>
            <w:vAlign w:val="bottom"/>
          </w:tcPr>
          <w:p>
            <w:pPr>
              <w:spacing w:after="0"/>
              <w:rPr>
                <w:sz w:val="20"/>
                <w:szCs w:val="20"/>
                <w:color w:val="auto"/>
              </w:rPr>
            </w:pPr>
            <w:r>
              <w:rPr>
                <w:rFonts w:ascii="Times New Roman" w:cs="Times New Roman" w:eastAsia="Times New Roman" w:hAnsi="Times New Roman"/>
                <w:sz w:val="18"/>
                <w:szCs w:val="18"/>
                <w:color w:val="auto"/>
              </w:rPr>
              <w:t>Customer support</w:t>
            </w:r>
          </w:p>
        </w:tc>
        <w:tc>
          <w:tcPr>
            <w:tcW w:w="29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Ratably over the course of the support</w:t>
            </w:r>
          </w:p>
        </w:tc>
        <w:tc>
          <w:tcPr>
            <w:tcW w:w="0" w:type="dxa"/>
            <w:vAlign w:val="bottom"/>
          </w:tcPr>
          <w:p>
            <w:pPr>
              <w:spacing w:after="0"/>
              <w:rPr>
                <w:sz w:val="1"/>
                <w:szCs w:val="1"/>
                <w:color w:val="auto"/>
              </w:rPr>
            </w:pPr>
          </w:p>
        </w:tc>
      </w:tr>
      <w:tr>
        <w:trPr>
          <w:trHeight w:val="216"/>
        </w:trPr>
        <w:tc>
          <w:tcPr>
            <w:tcW w:w="290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i w:val="1"/>
                <w:iCs w:val="1"/>
                <w:color w:val="auto"/>
              </w:rPr>
              <w:t>Professional Services</w:t>
            </w:r>
          </w:p>
        </w:tc>
        <w:tc>
          <w:tcPr>
            <w:tcW w:w="29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contract (over time)</w:t>
            </w:r>
          </w:p>
        </w:tc>
        <w:tc>
          <w:tcPr>
            <w:tcW w:w="0" w:type="dxa"/>
            <w:vAlign w:val="bottom"/>
          </w:tcPr>
          <w:p>
            <w:pPr>
              <w:spacing w:after="0"/>
              <w:rPr>
                <w:sz w:val="1"/>
                <w:szCs w:val="1"/>
                <w:color w:val="auto"/>
              </w:rPr>
            </w:pPr>
          </w:p>
        </w:tc>
      </w:tr>
      <w:tr>
        <w:trPr>
          <w:trHeight w:val="216"/>
        </w:trPr>
        <w:tc>
          <w:tcPr>
            <w:tcW w:w="2900" w:type="dxa"/>
            <w:vAlign w:val="bottom"/>
            <w:vMerge w:val="continue"/>
          </w:tcPr>
          <w:p>
            <w:pPr>
              <w:spacing w:after="0"/>
              <w:rPr>
                <w:sz w:val="18"/>
                <w:szCs w:val="18"/>
                <w:color w:val="auto"/>
              </w:rPr>
            </w:pPr>
          </w:p>
        </w:tc>
        <w:tc>
          <w:tcPr>
            <w:tcW w:w="2980" w:type="dxa"/>
            <w:vAlign w:val="bottom"/>
          </w:tcPr>
          <w:p>
            <w:pPr>
              <w:ind w:left="29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900" w:type="dxa"/>
            <w:vAlign w:val="bottom"/>
          </w:tcPr>
          <w:p>
            <w:pPr>
              <w:spacing w:after="0"/>
              <w:rPr>
                <w:sz w:val="20"/>
                <w:szCs w:val="20"/>
                <w:color w:val="auto"/>
              </w:rPr>
            </w:pPr>
            <w:r>
              <w:rPr>
                <w:rFonts w:ascii="Times New Roman" w:cs="Times New Roman" w:eastAsia="Times New Roman" w:hAnsi="Times New Roman"/>
                <w:sz w:val="18"/>
                <w:szCs w:val="18"/>
                <w:color w:val="auto"/>
              </w:rPr>
              <w:t>Other professional services (excluding</w:t>
            </w:r>
          </w:p>
        </w:tc>
        <w:tc>
          <w:tcPr>
            <w:tcW w:w="29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As work is performed (over time),</w:t>
            </w:r>
          </w:p>
        </w:tc>
        <w:tc>
          <w:tcPr>
            <w:tcW w:w="0" w:type="dxa"/>
            <w:vAlign w:val="bottom"/>
          </w:tcPr>
          <w:p>
            <w:pPr>
              <w:spacing w:after="0"/>
              <w:rPr>
                <w:sz w:val="1"/>
                <w:szCs w:val="1"/>
                <w:color w:val="auto"/>
              </w:rPr>
            </w:pPr>
          </w:p>
        </w:tc>
      </w:tr>
      <w:tr>
        <w:trPr>
          <w:trHeight w:val="216"/>
        </w:trPr>
        <w:tc>
          <w:tcPr>
            <w:tcW w:w="2900" w:type="dxa"/>
            <w:vAlign w:val="bottom"/>
          </w:tcPr>
          <w:p>
            <w:pPr>
              <w:spacing w:after="0"/>
              <w:rPr>
                <w:sz w:val="20"/>
                <w:szCs w:val="20"/>
                <w:color w:val="auto"/>
              </w:rPr>
            </w:pPr>
            <w:r>
              <w:rPr>
                <w:rFonts w:ascii="Times New Roman" w:cs="Times New Roman" w:eastAsia="Times New Roman" w:hAnsi="Times New Roman"/>
                <w:sz w:val="18"/>
                <w:szCs w:val="18"/>
                <w:color w:val="auto"/>
              </w:rPr>
              <w:t>training services)</w:t>
            </w:r>
          </w:p>
        </w:tc>
        <w:tc>
          <w:tcPr>
            <w:tcW w:w="29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typically on the input method based</w:t>
            </w:r>
          </w:p>
        </w:tc>
        <w:tc>
          <w:tcPr>
            <w:tcW w:w="0" w:type="dxa"/>
            <w:vAlign w:val="bottom"/>
          </w:tcPr>
          <w:p>
            <w:pPr>
              <w:spacing w:after="0"/>
              <w:rPr>
                <w:sz w:val="1"/>
                <w:szCs w:val="1"/>
                <w:color w:val="auto"/>
              </w:rPr>
            </w:pPr>
          </w:p>
        </w:tc>
      </w:tr>
      <w:tr>
        <w:trPr>
          <w:trHeight w:val="216"/>
        </w:trPr>
        <w:tc>
          <w:tcPr>
            <w:tcW w:w="2900" w:type="dxa"/>
            <w:vAlign w:val="bottom"/>
          </w:tcPr>
          <w:p>
            <w:pPr>
              <w:spacing w:after="0"/>
              <w:rPr>
                <w:sz w:val="18"/>
                <w:szCs w:val="18"/>
                <w:color w:val="auto"/>
              </w:rPr>
            </w:pPr>
          </w:p>
        </w:tc>
        <w:tc>
          <w:tcPr>
            <w:tcW w:w="29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on hours incurred</w:t>
            </w:r>
          </w:p>
        </w:tc>
        <w:tc>
          <w:tcPr>
            <w:tcW w:w="0" w:type="dxa"/>
            <w:vAlign w:val="bottom"/>
          </w:tcPr>
          <w:p>
            <w:pPr>
              <w:spacing w:after="0"/>
              <w:rPr>
                <w:sz w:val="1"/>
                <w:szCs w:val="1"/>
                <w:color w:val="auto"/>
              </w:rPr>
            </w:pPr>
          </w:p>
        </w:tc>
      </w:tr>
      <w:tr>
        <w:trPr>
          <w:trHeight w:val="216"/>
        </w:trPr>
        <w:tc>
          <w:tcPr>
            <w:tcW w:w="2900" w:type="dxa"/>
            <w:vAlign w:val="bottom"/>
          </w:tcPr>
          <w:p>
            <w:pPr>
              <w:spacing w:after="0"/>
              <w:rPr>
                <w:sz w:val="20"/>
                <w:szCs w:val="20"/>
                <w:color w:val="auto"/>
              </w:rPr>
            </w:pPr>
            <w:r>
              <w:rPr>
                <w:rFonts w:ascii="Times New Roman" w:cs="Times New Roman" w:eastAsia="Times New Roman" w:hAnsi="Times New Roman"/>
                <w:sz w:val="18"/>
                <w:szCs w:val="18"/>
                <w:color w:val="auto"/>
              </w:rPr>
              <w:t>Training</w:t>
            </w:r>
          </w:p>
        </w:tc>
        <w:tc>
          <w:tcPr>
            <w:tcW w:w="29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As the training is delivered (over</w:t>
            </w:r>
          </w:p>
        </w:tc>
        <w:tc>
          <w:tcPr>
            <w:tcW w:w="0" w:type="dxa"/>
            <w:vAlign w:val="bottom"/>
          </w:tcPr>
          <w:p>
            <w:pPr>
              <w:spacing w:after="0"/>
              <w:rPr>
                <w:sz w:val="1"/>
                <w:szCs w:val="1"/>
                <w:color w:val="auto"/>
              </w:rPr>
            </w:pPr>
          </w:p>
        </w:tc>
      </w:tr>
      <w:tr>
        <w:trPr>
          <w:trHeight w:val="234"/>
        </w:trPr>
        <w:tc>
          <w:tcPr>
            <w:tcW w:w="2900" w:type="dxa"/>
            <w:vAlign w:val="bottom"/>
          </w:tcPr>
          <w:p>
            <w:pPr>
              <w:spacing w:after="0"/>
              <w:rPr>
                <w:sz w:val="20"/>
                <w:szCs w:val="20"/>
                <w:color w:val="auto"/>
              </w:rPr>
            </w:pPr>
          </w:p>
        </w:tc>
        <w:tc>
          <w:tcPr>
            <w:tcW w:w="29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time), typically one to five days</w:t>
            </w:r>
          </w:p>
        </w:tc>
        <w:tc>
          <w:tcPr>
            <w:tcW w:w="0" w:type="dxa"/>
            <w:vAlign w:val="bottom"/>
          </w:tcPr>
          <w:p>
            <w:pPr>
              <w:spacing w:after="0"/>
              <w:rPr>
                <w:sz w:val="1"/>
                <w:szCs w:val="1"/>
                <w:color w:val="auto"/>
              </w:rPr>
            </w:pPr>
          </w:p>
        </w:tc>
      </w:tr>
      <w:tr>
        <w:trPr>
          <w:trHeight w:val="432"/>
        </w:trPr>
        <w:tc>
          <w:tcPr>
            <w:tcW w:w="29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Significant Judgments</w:t>
            </w:r>
          </w:p>
        </w:tc>
        <w:tc>
          <w:tcPr>
            <w:tcW w:w="29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39370</wp:posOffset>
            </wp:positionH>
            <wp:positionV relativeFrom="paragraph">
              <wp:posOffset>-1370965</wp:posOffset>
            </wp:positionV>
            <wp:extent cx="5648960" cy="27432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5648960" cy="274320"/>
                    </a:xfrm>
                    <a:prstGeom prst="rect">
                      <a:avLst/>
                    </a:prstGeom>
                    <a:noFill/>
                  </pic:spPr>
                </pic:pic>
              </a:graphicData>
            </a:graphic>
          </wp:anchor>
        </w:drawing>
        <w:drawing>
          <wp:anchor simplePos="0" relativeHeight="251657728" behindDoc="1" locked="0" layoutInCell="0" allowOverlap="1">
            <wp:simplePos x="0" y="0"/>
            <wp:positionH relativeFrom="column">
              <wp:posOffset>39370</wp:posOffset>
            </wp:positionH>
            <wp:positionV relativeFrom="paragraph">
              <wp:posOffset>-959485</wp:posOffset>
            </wp:positionV>
            <wp:extent cx="5648960" cy="41148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5648960" cy="41148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jc w:val="right"/>
        <w:ind w:right="19"/>
        <w:spacing w:after="0"/>
        <w:rPr>
          <w:sz w:val="20"/>
          <w:szCs w:val="20"/>
          <w:color w:val="auto"/>
        </w:rPr>
      </w:pPr>
      <w:r>
        <w:rPr>
          <w:rFonts w:ascii="Times New Roman" w:cs="Times New Roman" w:eastAsia="Times New Roman" w:hAnsi="Times New Roman"/>
          <w:sz w:val="18"/>
          <w:szCs w:val="18"/>
          <w:color w:val="auto"/>
        </w:rPr>
        <w:t>​</w:t>
      </w:r>
    </w:p>
    <w:p>
      <w:pPr>
        <w:spacing w:after="0" w:line="9" w:lineRule="exact"/>
        <w:rPr>
          <w:sz w:val="20"/>
          <w:szCs w:val="20"/>
          <w:color w:val="auto"/>
        </w:rPr>
      </w:pPr>
    </w:p>
    <w:p>
      <w:pPr>
        <w:jc w:val="both"/>
        <w:ind w:right="599"/>
        <w:spacing w:after="0" w:line="250" w:lineRule="auto"/>
        <w:rPr>
          <w:sz w:val="20"/>
          <w:szCs w:val="20"/>
          <w:color w:val="auto"/>
        </w:rPr>
      </w:pPr>
      <w:r>
        <w:rPr>
          <w:rFonts w:ascii="Times New Roman" w:cs="Times New Roman" w:eastAsia="Times New Roman" w:hAnsi="Times New Roman"/>
          <w:sz w:val="18"/>
          <w:szCs w:val="18"/>
          <w:color w:val="auto"/>
        </w:rPr>
        <w:t>Generally, within 30-60 days of invoicing</w:t>
      </w:r>
    </w:p>
    <w:p>
      <w:pPr>
        <w:spacing w:after="0" w:line="1" w:lineRule="exact"/>
        <w:rPr>
          <w:sz w:val="20"/>
          <w:szCs w:val="20"/>
          <w:color w:val="auto"/>
        </w:rPr>
      </w:pPr>
    </w:p>
    <w:p>
      <w:pPr>
        <w:jc w:val="right"/>
        <w:ind w:right="19"/>
        <w:spacing w:after="0"/>
        <w:rPr>
          <w:sz w:val="20"/>
          <w:szCs w:val="20"/>
          <w:color w:val="auto"/>
        </w:rPr>
      </w:pPr>
      <w:r>
        <w:rPr>
          <w:rFonts w:ascii="Times New Roman" w:cs="Times New Roman" w:eastAsia="Times New Roman" w:hAnsi="Times New Roman"/>
          <w:sz w:val="18"/>
          <w:szCs w:val="18"/>
          <w:color w:val="auto"/>
        </w:rPr>
        <w:t>​</w:t>
      </w:r>
    </w:p>
    <w:p>
      <w:pPr>
        <w:spacing w:after="0" w:line="9" w:lineRule="exact"/>
        <w:rPr>
          <w:sz w:val="20"/>
          <w:szCs w:val="20"/>
          <w:color w:val="auto"/>
        </w:rPr>
      </w:pPr>
    </w:p>
    <w:p>
      <w:pPr>
        <w:jc w:val="both"/>
        <w:ind w:right="599"/>
        <w:spacing w:after="0" w:line="250" w:lineRule="auto"/>
        <w:rPr>
          <w:sz w:val="20"/>
          <w:szCs w:val="20"/>
          <w:color w:val="auto"/>
        </w:rPr>
      </w:pPr>
      <w:r>
        <w:rPr>
          <w:rFonts w:ascii="Times New Roman" w:cs="Times New Roman" w:eastAsia="Times New Roman" w:hAnsi="Times New Roman"/>
          <w:sz w:val="18"/>
          <w:szCs w:val="18"/>
          <w:color w:val="auto"/>
        </w:rPr>
        <w:t>Generally, within 30-60 days of invoicing (upon completion of services)</w:t>
      </w:r>
    </w:p>
    <w:p>
      <w:pPr>
        <w:spacing w:after="0" w:line="1" w:lineRule="exact"/>
        <w:rPr>
          <w:sz w:val="20"/>
          <w:szCs w:val="20"/>
          <w:color w:val="auto"/>
        </w:rPr>
      </w:pPr>
    </w:p>
    <w:p>
      <w:pPr>
        <w:jc w:val="both"/>
        <w:ind w:right="599"/>
        <w:spacing w:after="0" w:line="260" w:lineRule="auto"/>
        <w:rPr>
          <w:sz w:val="20"/>
          <w:szCs w:val="20"/>
          <w:color w:val="auto"/>
        </w:rPr>
      </w:pPr>
      <w:r>
        <w:rPr>
          <w:rFonts w:ascii="Times New Roman" w:cs="Times New Roman" w:eastAsia="Times New Roman" w:hAnsi="Times New Roman"/>
          <w:sz w:val="18"/>
          <w:szCs w:val="18"/>
          <w:color w:val="auto"/>
        </w:rPr>
        <w:t>Generally, within 30-60 days of services being performed</w:t>
      </w:r>
    </w:p>
    <w:p>
      <w:pPr>
        <w:spacing w:after="0" w:line="613" w:lineRule="exact"/>
        <w:rPr>
          <w:sz w:val="20"/>
          <w:szCs w:val="20"/>
          <w:color w:val="auto"/>
        </w:rPr>
      </w:pPr>
    </w:p>
    <w:p>
      <w:pPr>
        <w:sectPr>
          <w:pgSz w:w="11900" w:h="16838" w:orient="portrait"/>
          <w:cols w:equalWidth="0" w:num="2">
            <w:col w:w="5940" w:space="200"/>
            <w:col w:w="2879"/>
          </w:cols>
          <w:pgMar w:left="1440" w:top="513" w:right="1440" w:bottom="1440" w:gutter="0" w:footer="0" w:header="0"/>
          <w:type w:val="continuous"/>
        </w:sectPr>
      </w:pPr>
    </w:p>
    <w:p>
      <w:pPr>
        <w:jc w:val="both"/>
        <w:ind w:left="60" w:right="519" w:firstLine="324"/>
        <w:spacing w:after="0" w:line="266" w:lineRule="auto"/>
        <w:rPr>
          <w:sz w:val="20"/>
          <w:szCs w:val="20"/>
          <w:color w:val="auto"/>
        </w:rPr>
      </w:pPr>
      <w:r>
        <w:rPr>
          <w:rFonts w:ascii="Times New Roman" w:cs="Times New Roman" w:eastAsia="Times New Roman" w:hAnsi="Times New Roman"/>
          <w:sz w:val="18"/>
          <w:szCs w:val="18"/>
          <w:color w:val="auto"/>
        </w:rPr>
        <w:t>The Company’s contracts with customers often include promises to transfer multiple products and services to the customer. Determining whether products and services are considered distinct performance obligations that should be accounted for separately versus together may require significant judgment.</w:t>
      </w:r>
    </w:p>
    <w:p>
      <w:pPr>
        <w:spacing w:after="0" w:line="176" w:lineRule="exact"/>
        <w:rPr>
          <w:sz w:val="20"/>
          <w:szCs w:val="20"/>
          <w:color w:val="auto"/>
        </w:rPr>
      </w:pPr>
    </w:p>
    <w:p>
      <w:pPr>
        <w:ind w:left="60" w:right="159" w:firstLine="324"/>
        <w:spacing w:after="0" w:line="261" w:lineRule="auto"/>
        <w:rPr>
          <w:sz w:val="20"/>
          <w:szCs w:val="20"/>
          <w:color w:val="auto"/>
        </w:rPr>
      </w:pPr>
      <w:r>
        <w:rPr>
          <w:rFonts w:ascii="Times New Roman" w:cs="Times New Roman" w:eastAsia="Times New Roman" w:hAnsi="Times New Roman"/>
          <w:sz w:val="18"/>
          <w:szCs w:val="18"/>
          <w:color w:val="auto"/>
        </w:rPr>
        <w:t>Judgment is required to determine the SSP for each distinct performance obligation. The Company typically has more than one SSP for individual products and services due to the stratification of those products and services by customers and circumstances. In these instances, the Company may use information such as the size of the customer and geographic region in determining the SSP.</w:t>
      </w:r>
    </w:p>
    <w:p>
      <w:pPr>
        <w:spacing w:after="0" w:line="3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23" w:name="page24"/>
    <w:bookmarkEnd w:id="23"/>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ind w:left="40" w:right="59"/>
        <w:spacing w:after="0" w:line="278" w:lineRule="auto"/>
        <w:rPr>
          <w:sz w:val="20"/>
          <w:szCs w:val="20"/>
          <w:color w:val="auto"/>
        </w:rPr>
      </w:pPr>
      <w:r>
        <w:rPr>
          <w:rFonts w:ascii="Times New Roman" w:cs="Times New Roman" w:eastAsia="Times New Roman" w:hAnsi="Times New Roman"/>
          <w:sz w:val="18"/>
          <w:szCs w:val="18"/>
          <w:b w:val="1"/>
          <w:bCs w:val="1"/>
          <w:color w:val="auto"/>
        </w:rPr>
        <w:t>RIBBON COMMUNICATIONS INC. Notes to Condensed Consolidated Financial Statements (Continued) (unaudited)</w:t>
      </w:r>
    </w:p>
    <w:p>
      <w:pPr>
        <w:spacing w:after="0" w:line="38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Deferred Revenue</w:t>
      </w:r>
    </w:p>
    <w:p>
      <w:pPr>
        <w:spacing w:after="0" w:line="229" w:lineRule="exact"/>
        <w:rPr>
          <w:sz w:val="20"/>
          <w:szCs w:val="20"/>
          <w:color w:val="auto"/>
        </w:rPr>
      </w:pPr>
    </w:p>
    <w:p>
      <w:pPr>
        <w:ind w:left="60" w:right="199" w:firstLine="324"/>
        <w:spacing w:after="0" w:line="261" w:lineRule="auto"/>
        <w:rPr>
          <w:sz w:val="20"/>
          <w:szCs w:val="20"/>
          <w:color w:val="auto"/>
        </w:rPr>
      </w:pPr>
      <w:r>
        <w:rPr>
          <w:rFonts w:ascii="Times New Roman" w:cs="Times New Roman" w:eastAsia="Times New Roman" w:hAnsi="Times New Roman"/>
          <w:sz w:val="18"/>
          <w:szCs w:val="18"/>
          <w:color w:val="auto"/>
        </w:rPr>
        <w:t>Deferred revenue is a contract liability representing amounts collected from or invoiced to customers in excess of revenue recognized. This results primarily from the billing of annual customer support agreements where the revenue is recognized over the term of the agreement. The value of deferred revenue will increase or decrease based on the timing of invoices and recognition of revenue.</w:t>
      </w:r>
    </w:p>
    <w:p>
      <w:pPr>
        <w:spacing w:after="0" w:line="17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Disaggregation of Revenue</w:t>
      </w:r>
    </w:p>
    <w:p>
      <w:pPr>
        <w:spacing w:after="0" w:line="229" w:lineRule="exact"/>
        <w:rPr>
          <w:sz w:val="20"/>
          <w:szCs w:val="20"/>
          <w:color w:val="auto"/>
        </w:rPr>
      </w:pPr>
    </w:p>
    <w:p>
      <w:pPr>
        <w:jc w:val="both"/>
        <w:ind w:left="60" w:right="579" w:firstLine="324"/>
        <w:spacing w:after="0" w:line="266" w:lineRule="auto"/>
        <w:rPr>
          <w:sz w:val="20"/>
          <w:szCs w:val="20"/>
          <w:color w:val="auto"/>
        </w:rPr>
      </w:pPr>
      <w:r>
        <w:rPr>
          <w:rFonts w:ascii="Times New Roman" w:cs="Times New Roman" w:eastAsia="Times New Roman" w:hAnsi="Times New Roman"/>
          <w:sz w:val="18"/>
          <w:szCs w:val="18"/>
          <w:color w:val="auto"/>
        </w:rPr>
        <w:t>The Company disaggregates its revenue from contracts with customers based on the nature of the products and services and the geographic regions in which each customer is domiciled. The Company’s total revenue for the three months ended March 31, 2026 and 2025 was disaggregated geographically as follows:</w:t>
      </w:r>
    </w:p>
    <w:p>
      <w:pPr>
        <w:spacing w:after="0" w:line="170"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44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80" w:type="dxa"/>
            <w:vAlign w:val="bottom"/>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Product</w:t>
            </w:r>
          </w:p>
        </w:tc>
        <w:tc>
          <w:tcPr>
            <w:tcW w:w="20" w:type="dxa"/>
            <w:vAlign w:val="bottom"/>
          </w:tcPr>
          <w:p>
            <w:pPr>
              <w:spacing w:after="0"/>
              <w:rPr>
                <w:sz w:val="13"/>
                <w:szCs w:val="13"/>
                <w:color w:val="auto"/>
              </w:rPr>
            </w:pPr>
          </w:p>
        </w:tc>
        <w:tc>
          <w:tcPr>
            <w:tcW w:w="420" w:type="dxa"/>
            <w:vAlign w:val="bottom"/>
            <w:gridSpan w:val="3"/>
          </w:tcPr>
          <w:p>
            <w:pPr>
              <w:ind w:left="80"/>
              <w:spacing w:after="0"/>
              <w:rPr>
                <w:sz w:val="20"/>
                <w:szCs w:val="20"/>
                <w:color w:val="auto"/>
              </w:rPr>
            </w:pPr>
            <w:r>
              <w:rPr>
                <w:rFonts w:ascii="Times New Roman" w:cs="Times New Roman" w:eastAsia="Times New Roman" w:hAnsi="Times New Roman"/>
                <w:sz w:val="14"/>
                <w:szCs w:val="14"/>
                <w:b w:val="1"/>
                <w:bCs w:val="1"/>
                <w:color w:val="auto"/>
              </w:rPr>
              <w:t>​​​</w:t>
            </w: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160" w:type="dxa"/>
            <w:vAlign w:val="bottom"/>
            <w:gridSpan w:val="5"/>
          </w:tcPr>
          <w:p>
            <w:pPr>
              <w:ind w:left="80"/>
              <w:spacing w:after="0"/>
              <w:rPr>
                <w:sz w:val="20"/>
                <w:szCs w:val="20"/>
                <w:color w:val="auto"/>
              </w:rPr>
            </w:pPr>
            <w:r>
              <w:rPr>
                <w:rFonts w:ascii="Times New Roman" w:cs="Times New Roman" w:eastAsia="Times New Roman" w:hAnsi="Times New Roman"/>
                <w:sz w:val="14"/>
                <w:szCs w:val="14"/>
                <w:b w:val="1"/>
                <w:bCs w:val="1"/>
                <w:color w:val="auto"/>
              </w:rPr>
              <w:t>​​​Service revenue</w:t>
            </w:r>
          </w:p>
        </w:tc>
        <w:tc>
          <w:tcPr>
            <w:tcW w:w="380" w:type="dxa"/>
            <w:vAlign w:val="bottom"/>
            <w:gridSpan w:val="3"/>
          </w:tcPr>
          <w:p>
            <w:pPr>
              <w:jc w:val="right"/>
              <w:ind w:right="122"/>
              <w:spacing w:after="0"/>
              <w:rPr>
                <w:sz w:val="20"/>
                <w:szCs w:val="20"/>
                <w:color w:val="auto"/>
              </w:rPr>
            </w:pPr>
            <w:r>
              <w:rPr>
                <w:rFonts w:ascii="Times New Roman" w:cs="Times New Roman" w:eastAsia="Times New Roman" w:hAnsi="Times New Roman"/>
                <w:sz w:val="14"/>
                <w:szCs w:val="14"/>
                <w:b w:val="1"/>
                <w:bCs w:val="1"/>
                <w:color w:val="auto"/>
              </w:rPr>
              <w:t>​​​</w:t>
            </w: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446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Three months ended March 31, 2026</w:t>
            </w: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80" w:type="dxa"/>
            <w:vAlign w:val="bottom"/>
            <w:vMerge w:val="continue"/>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0" w:type="dxa"/>
            <w:vAlign w:val="bottom"/>
            <w:gridSpan w:val="4"/>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Service revenue</w:t>
            </w:r>
          </w:p>
        </w:tc>
        <w:tc>
          <w:tcPr>
            <w:tcW w:w="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980" w:type="dxa"/>
            <w:vAlign w:val="bottom"/>
            <w:gridSpan w:val="3"/>
          </w:tcPr>
          <w:p>
            <w:pPr>
              <w:jc w:val="center"/>
              <w:ind w:right="40"/>
              <w:spacing w:after="0" w:line="149" w:lineRule="exact"/>
              <w:rPr>
                <w:sz w:val="20"/>
                <w:szCs w:val="20"/>
                <w:color w:val="auto"/>
              </w:rPr>
            </w:pPr>
            <w:r>
              <w:rPr>
                <w:rFonts w:ascii="Times New Roman" w:cs="Times New Roman" w:eastAsia="Times New Roman" w:hAnsi="Times New Roman"/>
                <w:sz w:val="14"/>
                <w:szCs w:val="14"/>
                <w:b w:val="1"/>
                <w:bCs w:val="1"/>
                <w:color w:val="auto"/>
              </w:rPr>
              <w:t>(professional</w:t>
            </w:r>
          </w:p>
        </w:tc>
        <w:tc>
          <w:tcPr>
            <w:tcW w:w="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96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Total revenue</w:t>
            </w:r>
          </w:p>
        </w:tc>
        <w:tc>
          <w:tcPr>
            <w:tcW w:w="0" w:type="dxa"/>
            <w:vAlign w:val="bottom"/>
          </w:tcPr>
          <w:p>
            <w:pPr>
              <w:spacing w:after="0"/>
              <w:rPr>
                <w:sz w:val="1"/>
                <w:szCs w:val="1"/>
                <w:color w:val="auto"/>
              </w:rPr>
            </w:pPr>
          </w:p>
        </w:tc>
      </w:tr>
      <w:tr>
        <w:trPr>
          <w:trHeight w:val="173"/>
        </w:trPr>
        <w:tc>
          <w:tcPr>
            <w:tcW w:w="4460" w:type="dxa"/>
            <w:vAlign w:val="bottom"/>
            <w:vMerge w:val="continue"/>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80" w:type="dxa"/>
            <w:vAlign w:val="bottom"/>
          </w:tcPr>
          <w:p>
            <w:pPr>
              <w:ind w:left="60"/>
              <w:spacing w:after="0"/>
              <w:rPr>
                <w:sz w:val="20"/>
                <w:szCs w:val="20"/>
                <w:color w:val="auto"/>
              </w:rPr>
            </w:pPr>
            <w:r>
              <w:rPr>
                <w:rFonts w:ascii="Times New Roman" w:cs="Times New Roman" w:eastAsia="Times New Roman" w:hAnsi="Times New Roman"/>
                <w:sz w:val="14"/>
                <w:szCs w:val="14"/>
                <w:b w:val="1"/>
                <w:bCs w:val="1"/>
                <w:color w:val="auto"/>
              </w:rPr>
              <w:t>revenue</w:t>
            </w: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980" w:type="dxa"/>
            <w:vAlign w:val="bottom"/>
            <w:gridSpan w:val="3"/>
          </w:tcPr>
          <w:p>
            <w:pPr>
              <w:ind w:left="40"/>
              <w:spacing w:after="0"/>
              <w:rPr>
                <w:sz w:val="20"/>
                <w:szCs w:val="20"/>
                <w:color w:val="auto"/>
              </w:rPr>
            </w:pPr>
            <w:r>
              <w:rPr>
                <w:rFonts w:ascii="Times New Roman" w:cs="Times New Roman" w:eastAsia="Times New Roman" w:hAnsi="Times New Roman"/>
                <w:sz w:val="14"/>
                <w:szCs w:val="14"/>
                <w:b w:val="1"/>
                <w:bCs w:val="1"/>
                <w:color w:val="auto"/>
              </w:rPr>
              <w:t>(maintenance)</w:t>
            </w:r>
          </w:p>
        </w:tc>
        <w:tc>
          <w:tcPr>
            <w:tcW w:w="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0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services)</w:t>
            </w:r>
          </w:p>
        </w:tc>
        <w:tc>
          <w:tcPr>
            <w:tcW w:w="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96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44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United States</w:t>
            </w:r>
          </w:p>
        </w:tc>
        <w:tc>
          <w:tcPr>
            <w:tcW w:w="18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20,941</w:t>
            </w:r>
          </w:p>
        </w:tc>
        <w:tc>
          <w:tcPr>
            <w:tcW w:w="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33,733</w:t>
            </w:r>
          </w:p>
        </w:tc>
        <w:tc>
          <w:tcPr>
            <w:tcW w:w="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17,904</w:t>
            </w:r>
          </w:p>
        </w:tc>
        <w:tc>
          <w:tcPr>
            <w:tcW w:w="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gridSpan w:val="2"/>
            <w:shd w:val="clear" w:color="auto" w:fill="CCEEFF"/>
          </w:tcPr>
          <w:p>
            <w:pPr>
              <w:jc w:val="right"/>
              <w:ind w:right="42"/>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72,578</w:t>
            </w:r>
          </w:p>
        </w:tc>
        <w:tc>
          <w:tcPr>
            <w:tcW w:w="0" w:type="dxa"/>
            <w:vAlign w:val="bottom"/>
          </w:tcPr>
          <w:p>
            <w:pPr>
              <w:spacing w:after="0"/>
              <w:rPr>
                <w:sz w:val="1"/>
                <w:szCs w:val="1"/>
                <w:color w:val="auto"/>
              </w:rPr>
            </w:pPr>
          </w:p>
        </w:tc>
      </w:tr>
      <w:tr>
        <w:trPr>
          <w:trHeight w:val="216"/>
        </w:trPr>
        <w:tc>
          <w:tcPr>
            <w:tcW w:w="4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Europe, Middle East and Africa</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16,962</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14,683</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7,425</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39,070</w:t>
            </w:r>
          </w:p>
        </w:tc>
        <w:tc>
          <w:tcPr>
            <w:tcW w:w="0" w:type="dxa"/>
            <w:vAlign w:val="bottom"/>
          </w:tcPr>
          <w:p>
            <w:pPr>
              <w:spacing w:after="0"/>
              <w:rPr>
                <w:sz w:val="1"/>
                <w:szCs w:val="1"/>
                <w:color w:val="auto"/>
              </w:rPr>
            </w:pPr>
          </w:p>
        </w:tc>
      </w:tr>
      <w:tr>
        <w:trPr>
          <w:trHeight w:val="216"/>
        </w:trPr>
        <w:tc>
          <w:tcPr>
            <w:tcW w:w="4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Asia Pacific</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27,934</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9,230</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3,763</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40,927</w:t>
            </w:r>
          </w:p>
        </w:tc>
        <w:tc>
          <w:tcPr>
            <w:tcW w:w="0" w:type="dxa"/>
            <w:vAlign w:val="bottom"/>
          </w:tcPr>
          <w:p>
            <w:pPr>
              <w:spacing w:after="0"/>
              <w:rPr>
                <w:sz w:val="1"/>
                <w:szCs w:val="1"/>
                <w:color w:val="auto"/>
              </w:rPr>
            </w:pPr>
          </w:p>
        </w:tc>
      </w:tr>
      <w:tr>
        <w:trPr>
          <w:trHeight w:val="216"/>
        </w:trPr>
        <w:tc>
          <w:tcPr>
            <w:tcW w:w="44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2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2,277</w:t>
            </w:r>
          </w:p>
        </w:tc>
        <w:tc>
          <w:tcPr>
            <w:tcW w:w="20" w:type="dxa"/>
            <w:vAlign w:val="bottom"/>
            <w:tcBorders>
              <w:bottom w:val="single" w:sz="8" w:color="CCEEFF"/>
            </w:tcBorders>
          </w:tcPr>
          <w:p>
            <w:pPr>
              <w:spacing w:after="0"/>
              <w:rPr>
                <w:sz w:val="18"/>
                <w:szCs w:val="18"/>
                <w:color w:val="auto"/>
              </w:rPr>
            </w:pPr>
          </w:p>
        </w:tc>
        <w:tc>
          <w:tcPr>
            <w:tcW w:w="160" w:type="dxa"/>
            <w:vAlign w:val="bottom"/>
            <w:tcBorders>
              <w:bottom w:val="single" w:sz="8" w:color="CCEEFF"/>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6,021</w:t>
            </w:r>
          </w:p>
        </w:tc>
        <w:tc>
          <w:tcPr>
            <w:tcW w:w="20" w:type="dxa"/>
            <w:vAlign w:val="bottom"/>
            <w:tcBorders>
              <w:bottom w:val="single" w:sz="8" w:color="CCEEFF"/>
            </w:tcBorders>
          </w:tcPr>
          <w:p>
            <w:pPr>
              <w:spacing w:after="0"/>
              <w:rPr>
                <w:sz w:val="18"/>
                <w:szCs w:val="18"/>
                <w:color w:val="auto"/>
              </w:rPr>
            </w:pPr>
          </w:p>
        </w:tc>
        <w:tc>
          <w:tcPr>
            <w:tcW w:w="160" w:type="dxa"/>
            <w:vAlign w:val="bottom"/>
            <w:tcBorders>
              <w:bottom w:val="single" w:sz="8" w:color="CCEEFF"/>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1,733</w:t>
            </w:r>
          </w:p>
        </w:tc>
        <w:tc>
          <w:tcPr>
            <w:tcW w:w="20" w:type="dxa"/>
            <w:vAlign w:val="bottom"/>
            <w:tcBorders>
              <w:bottom w:val="single" w:sz="8" w:color="CCEEFF"/>
            </w:tcBorders>
          </w:tcPr>
          <w:p>
            <w:pPr>
              <w:spacing w:after="0"/>
              <w:rPr>
                <w:sz w:val="18"/>
                <w:szCs w:val="18"/>
                <w:color w:val="auto"/>
              </w:rPr>
            </w:pPr>
          </w:p>
        </w:tc>
        <w:tc>
          <w:tcPr>
            <w:tcW w:w="160" w:type="dxa"/>
            <w:vAlign w:val="bottom"/>
            <w:tcBorders>
              <w:bottom w:val="single" w:sz="8" w:color="CCEEFF"/>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10,031</w:t>
            </w:r>
          </w:p>
        </w:tc>
        <w:tc>
          <w:tcPr>
            <w:tcW w:w="0" w:type="dxa"/>
            <w:vAlign w:val="bottom"/>
          </w:tcPr>
          <w:p>
            <w:pPr>
              <w:spacing w:after="0"/>
              <w:rPr>
                <w:sz w:val="1"/>
                <w:szCs w:val="1"/>
                <w:color w:val="auto"/>
              </w:rPr>
            </w:pPr>
          </w:p>
        </w:tc>
      </w:tr>
      <w:tr>
        <w:trPr>
          <w:trHeight w:val="210"/>
        </w:trPr>
        <w:tc>
          <w:tcPr>
            <w:tcW w:w="446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68,114</w:t>
            </w:r>
          </w:p>
        </w:tc>
        <w:tc>
          <w:tcPr>
            <w:tcW w:w="2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auto"/>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63,667</w:t>
            </w:r>
          </w:p>
        </w:tc>
        <w:tc>
          <w:tcPr>
            <w:tcW w:w="2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30,825</w:t>
            </w:r>
          </w:p>
        </w:tc>
        <w:tc>
          <w:tcPr>
            <w:tcW w:w="2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gridSpan w:val="2"/>
            <w:shd w:val="clear" w:color="auto" w:fill="CCEEFF"/>
          </w:tcPr>
          <w:p>
            <w:pPr>
              <w:jc w:val="right"/>
              <w:ind w:right="42"/>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162,606</w:t>
            </w:r>
          </w:p>
        </w:tc>
        <w:tc>
          <w:tcPr>
            <w:tcW w:w="0" w:type="dxa"/>
            <w:vAlign w:val="bottom"/>
          </w:tcPr>
          <w:p>
            <w:pPr>
              <w:spacing w:after="0"/>
              <w:rPr>
                <w:sz w:val="1"/>
                <w:szCs w:val="1"/>
                <w:color w:val="auto"/>
              </w:rPr>
            </w:pPr>
          </w:p>
        </w:tc>
      </w:tr>
      <w:tr>
        <w:trPr>
          <w:trHeight w:val="20"/>
        </w:trPr>
        <w:tc>
          <w:tcPr>
            <w:tcW w:w="446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7"/>
        </w:trPr>
        <w:tc>
          <w:tcPr>
            <w:tcW w:w="4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80" w:type="dxa"/>
            <w:vAlign w:val="bottom"/>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Product</w:t>
            </w:r>
          </w:p>
        </w:tc>
        <w:tc>
          <w:tcPr>
            <w:tcW w:w="20" w:type="dxa"/>
            <w:vAlign w:val="bottom"/>
          </w:tcPr>
          <w:p>
            <w:pPr>
              <w:spacing w:after="0"/>
              <w:rPr>
                <w:sz w:val="24"/>
                <w:szCs w:val="24"/>
                <w:color w:val="auto"/>
              </w:rPr>
            </w:pPr>
          </w:p>
        </w:tc>
        <w:tc>
          <w:tcPr>
            <w:tcW w:w="420" w:type="dxa"/>
            <w:vAlign w:val="bottom"/>
            <w:gridSpan w:val="3"/>
          </w:tcPr>
          <w:p>
            <w:pPr>
              <w:ind w:left="80"/>
              <w:spacing w:after="0"/>
              <w:rPr>
                <w:sz w:val="20"/>
                <w:szCs w:val="20"/>
                <w:color w:val="auto"/>
              </w:rPr>
            </w:pPr>
            <w:r>
              <w:rPr>
                <w:rFonts w:ascii="Times New Roman" w:cs="Times New Roman" w:eastAsia="Times New Roman" w:hAnsi="Times New Roman"/>
                <w:sz w:val="14"/>
                <w:szCs w:val="14"/>
                <w:b w:val="1"/>
                <w:bCs w:val="1"/>
                <w:color w:val="auto"/>
              </w:rPr>
              <w:t>​​​</w:t>
            </w:r>
          </w:p>
        </w:tc>
        <w:tc>
          <w:tcPr>
            <w:tcW w:w="7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160" w:type="dxa"/>
            <w:vAlign w:val="bottom"/>
            <w:gridSpan w:val="5"/>
          </w:tcPr>
          <w:p>
            <w:pPr>
              <w:ind w:left="80"/>
              <w:spacing w:after="0"/>
              <w:rPr>
                <w:sz w:val="20"/>
                <w:szCs w:val="20"/>
                <w:color w:val="auto"/>
              </w:rPr>
            </w:pPr>
            <w:r>
              <w:rPr>
                <w:rFonts w:ascii="Times New Roman" w:cs="Times New Roman" w:eastAsia="Times New Roman" w:hAnsi="Times New Roman"/>
                <w:sz w:val="14"/>
                <w:szCs w:val="14"/>
                <w:b w:val="1"/>
                <w:bCs w:val="1"/>
                <w:color w:val="auto"/>
              </w:rPr>
              <w:t>​​​Service revenue</w:t>
            </w:r>
          </w:p>
        </w:tc>
        <w:tc>
          <w:tcPr>
            <w:tcW w:w="380" w:type="dxa"/>
            <w:vAlign w:val="bottom"/>
            <w:gridSpan w:val="3"/>
          </w:tcPr>
          <w:p>
            <w:pPr>
              <w:jc w:val="right"/>
              <w:ind w:right="102"/>
              <w:spacing w:after="0"/>
              <w:rPr>
                <w:sz w:val="20"/>
                <w:szCs w:val="20"/>
                <w:color w:val="auto"/>
              </w:rPr>
            </w:pPr>
            <w:r>
              <w:rPr>
                <w:rFonts w:ascii="Times New Roman" w:cs="Times New Roman" w:eastAsia="Times New Roman" w:hAnsi="Times New Roman"/>
                <w:sz w:val="14"/>
                <w:szCs w:val="14"/>
                <w:b w:val="1"/>
                <w:bCs w:val="1"/>
                <w:color w:val="auto"/>
              </w:rPr>
              <w:t>​​​</w:t>
            </w:r>
          </w:p>
        </w:tc>
        <w:tc>
          <w:tcPr>
            <w:tcW w:w="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8"/>
        </w:trPr>
        <w:tc>
          <w:tcPr>
            <w:tcW w:w="446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Three months ended March 31, 2025</w:t>
            </w: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80" w:type="dxa"/>
            <w:vAlign w:val="bottom"/>
            <w:vMerge w:val="continue"/>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980" w:type="dxa"/>
            <w:vAlign w:val="bottom"/>
            <w:gridSpan w:val="3"/>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Service revenue</w:t>
            </w:r>
          </w:p>
        </w:tc>
        <w:tc>
          <w:tcPr>
            <w:tcW w:w="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gridSpan w:val="2"/>
          </w:tcPr>
          <w:p>
            <w:pPr>
              <w:jc w:val="center"/>
              <w:ind w:right="80"/>
              <w:spacing w:after="0" w:line="149" w:lineRule="exact"/>
              <w:rPr>
                <w:sz w:val="20"/>
                <w:szCs w:val="20"/>
                <w:color w:val="auto"/>
              </w:rPr>
            </w:pPr>
            <w:r>
              <w:rPr>
                <w:rFonts w:ascii="Times New Roman" w:cs="Times New Roman" w:eastAsia="Times New Roman" w:hAnsi="Times New Roman"/>
                <w:sz w:val="14"/>
                <w:szCs w:val="14"/>
                <w:b w:val="1"/>
                <w:bCs w:val="1"/>
                <w:color w:val="auto"/>
              </w:rPr>
              <w:t>(professional</w:t>
            </w:r>
          </w:p>
        </w:tc>
        <w:tc>
          <w:tcPr>
            <w:tcW w:w="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96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Total revenue</w:t>
            </w:r>
          </w:p>
        </w:tc>
        <w:tc>
          <w:tcPr>
            <w:tcW w:w="0" w:type="dxa"/>
            <w:vAlign w:val="bottom"/>
          </w:tcPr>
          <w:p>
            <w:pPr>
              <w:spacing w:after="0"/>
              <w:rPr>
                <w:sz w:val="1"/>
                <w:szCs w:val="1"/>
                <w:color w:val="auto"/>
              </w:rPr>
            </w:pPr>
          </w:p>
        </w:tc>
      </w:tr>
      <w:tr>
        <w:trPr>
          <w:trHeight w:val="173"/>
        </w:trPr>
        <w:tc>
          <w:tcPr>
            <w:tcW w:w="4460" w:type="dxa"/>
            <w:vAlign w:val="bottom"/>
            <w:tcBorders>
              <w:bottom w:val="single" w:sz="8" w:color="CCEEFF"/>
            </w:tcBorders>
            <w:vMerge w:val="continue"/>
          </w:tcPr>
          <w:p>
            <w:pPr>
              <w:spacing w:after="0"/>
              <w:rPr>
                <w:sz w:val="15"/>
                <w:szCs w:val="15"/>
                <w:color w:val="auto"/>
              </w:rPr>
            </w:pPr>
          </w:p>
        </w:tc>
        <w:tc>
          <w:tcPr>
            <w:tcW w:w="2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4"/>
                <w:szCs w:val="14"/>
                <w:b w:val="1"/>
                <w:bCs w:val="1"/>
                <w:color w:val="auto"/>
              </w:rPr>
              <w:t>revenue</w:t>
            </w:r>
          </w:p>
        </w:tc>
        <w:tc>
          <w:tcPr>
            <w:tcW w:w="20" w:type="dxa"/>
            <w:vAlign w:val="bottom"/>
            <w:tcBorders>
              <w:bottom w:val="single" w:sz="8" w:color="auto"/>
            </w:tcBorders>
          </w:tcPr>
          <w:p>
            <w:pPr>
              <w:spacing w:after="0"/>
              <w:rPr>
                <w:sz w:val="15"/>
                <w:szCs w:val="15"/>
                <w:color w:val="auto"/>
              </w:rPr>
            </w:pPr>
          </w:p>
        </w:tc>
        <w:tc>
          <w:tcPr>
            <w:tcW w:w="160" w:type="dxa"/>
            <w:vAlign w:val="bottom"/>
            <w:tcBorders>
              <w:bottom w:val="single" w:sz="8" w:color="CCEEFF"/>
            </w:tcBorders>
          </w:tcPr>
          <w:p>
            <w:pPr>
              <w:spacing w:after="0"/>
              <w:rPr>
                <w:sz w:val="15"/>
                <w:szCs w:val="15"/>
                <w:color w:val="auto"/>
              </w:rPr>
            </w:pPr>
          </w:p>
        </w:tc>
        <w:tc>
          <w:tcPr>
            <w:tcW w:w="20" w:type="dxa"/>
            <w:vAlign w:val="bottom"/>
            <w:tcBorders>
              <w:bottom w:val="single" w:sz="8" w:color="CCEEFF"/>
            </w:tcBorders>
          </w:tcPr>
          <w:p>
            <w:pPr>
              <w:spacing w:after="0"/>
              <w:rPr>
                <w:sz w:val="15"/>
                <w:szCs w:val="15"/>
                <w:color w:val="auto"/>
              </w:rPr>
            </w:pPr>
          </w:p>
        </w:tc>
        <w:tc>
          <w:tcPr>
            <w:tcW w:w="980" w:type="dxa"/>
            <w:vAlign w:val="bottom"/>
            <w:tcBorders>
              <w:bottom w:val="single" w:sz="8" w:color="auto"/>
            </w:tcBorders>
            <w:gridSpan w:val="3"/>
          </w:tcPr>
          <w:p>
            <w:pPr>
              <w:ind w:left="40"/>
              <w:spacing w:after="0"/>
              <w:rPr>
                <w:sz w:val="20"/>
                <w:szCs w:val="20"/>
                <w:color w:val="auto"/>
              </w:rPr>
            </w:pPr>
            <w:r>
              <w:rPr>
                <w:rFonts w:ascii="Times New Roman" w:cs="Times New Roman" w:eastAsia="Times New Roman" w:hAnsi="Times New Roman"/>
                <w:sz w:val="14"/>
                <w:szCs w:val="14"/>
                <w:b w:val="1"/>
                <w:bCs w:val="1"/>
                <w:color w:val="auto"/>
              </w:rPr>
              <w:t>(maintenance)</w:t>
            </w:r>
          </w:p>
        </w:tc>
        <w:tc>
          <w:tcPr>
            <w:tcW w:w="160" w:type="dxa"/>
            <w:vAlign w:val="bottom"/>
            <w:tcBorders>
              <w:bottom w:val="single" w:sz="8" w:color="CCEEFF"/>
            </w:tcBorders>
          </w:tcPr>
          <w:p>
            <w:pPr>
              <w:spacing w:after="0"/>
              <w:rPr>
                <w:sz w:val="15"/>
                <w:szCs w:val="15"/>
                <w:color w:val="auto"/>
              </w:rPr>
            </w:pPr>
          </w:p>
        </w:tc>
        <w:tc>
          <w:tcPr>
            <w:tcW w:w="20" w:type="dxa"/>
            <w:vAlign w:val="bottom"/>
            <w:tcBorders>
              <w:bottom w:val="single" w:sz="8" w:color="CCEEFF"/>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services)</w:t>
            </w:r>
          </w:p>
        </w:tc>
        <w:tc>
          <w:tcPr>
            <w:tcW w:w="160" w:type="dxa"/>
            <w:vAlign w:val="bottom"/>
            <w:tcBorders>
              <w:bottom w:val="single" w:sz="8" w:color="CCEEFF"/>
            </w:tcBorders>
          </w:tcPr>
          <w:p>
            <w:pPr>
              <w:spacing w:after="0"/>
              <w:rPr>
                <w:sz w:val="15"/>
                <w:szCs w:val="15"/>
                <w:color w:val="auto"/>
              </w:rPr>
            </w:pPr>
          </w:p>
        </w:tc>
        <w:tc>
          <w:tcPr>
            <w:tcW w:w="20" w:type="dxa"/>
            <w:vAlign w:val="bottom"/>
            <w:tcBorders>
              <w:bottom w:val="single" w:sz="8" w:color="CCEEFF"/>
            </w:tcBorders>
          </w:tcPr>
          <w:p>
            <w:pPr>
              <w:spacing w:after="0"/>
              <w:rPr>
                <w:sz w:val="15"/>
                <w:szCs w:val="15"/>
                <w:color w:val="auto"/>
              </w:rPr>
            </w:pPr>
          </w:p>
        </w:tc>
        <w:tc>
          <w:tcPr>
            <w:tcW w:w="960" w:type="dxa"/>
            <w:vAlign w:val="bottom"/>
            <w:tcBorders>
              <w:bottom w:val="single" w:sz="8" w:color="auto"/>
            </w:tcBorders>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4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United States</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29,341</w:t>
            </w:r>
          </w:p>
        </w:tc>
        <w:tc>
          <w:tcPr>
            <w:tcW w:w="20" w:type="dxa"/>
            <w:vAlign w:val="bottom"/>
            <w:shd w:val="clear" w:color="auto" w:fill="CCEEFF"/>
          </w:tcPr>
          <w:p>
            <w:pPr>
              <w:spacing w:after="0"/>
              <w:rPr>
                <w:sz w:val="18"/>
                <w:szCs w:val="18"/>
                <w:color w:val="auto"/>
              </w:rPr>
            </w:pPr>
          </w:p>
        </w:tc>
        <w:tc>
          <w:tcPr>
            <w:tcW w:w="180" w:type="dxa"/>
            <w:vAlign w:val="bottom"/>
            <w:gridSpan w:val="2"/>
            <w:shd w:val="clear" w:color="auto" w:fill="CCEEFF"/>
          </w:tcPr>
          <w:p>
            <w:pPr>
              <w:spacing w:after="0"/>
              <w:rPr>
                <w:sz w:val="18"/>
                <w:szCs w:val="18"/>
                <w:color w:val="auto"/>
              </w:rPr>
            </w:pPr>
          </w:p>
        </w:tc>
        <w:tc>
          <w:tcPr>
            <w:tcW w:w="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33,324</w:t>
            </w:r>
          </w:p>
        </w:tc>
        <w:tc>
          <w:tcPr>
            <w:tcW w:w="20" w:type="dxa"/>
            <w:vAlign w:val="bottom"/>
            <w:shd w:val="clear" w:color="auto" w:fill="CCEEFF"/>
          </w:tcPr>
          <w:p>
            <w:pPr>
              <w:spacing w:after="0"/>
              <w:rPr>
                <w:sz w:val="18"/>
                <w:szCs w:val="18"/>
                <w:color w:val="auto"/>
              </w:rPr>
            </w:pPr>
          </w:p>
        </w:tc>
        <w:tc>
          <w:tcPr>
            <w:tcW w:w="180" w:type="dxa"/>
            <w:vAlign w:val="bottom"/>
            <w:gridSpan w:val="2"/>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20,030</w:t>
            </w:r>
          </w:p>
        </w:tc>
        <w:tc>
          <w:tcPr>
            <w:tcW w:w="20" w:type="dxa"/>
            <w:vAlign w:val="bottom"/>
            <w:shd w:val="clear" w:color="auto" w:fill="CCEEFF"/>
          </w:tcPr>
          <w:p>
            <w:pPr>
              <w:spacing w:after="0"/>
              <w:rPr>
                <w:sz w:val="18"/>
                <w:szCs w:val="18"/>
                <w:color w:val="auto"/>
              </w:rPr>
            </w:pPr>
          </w:p>
        </w:tc>
        <w:tc>
          <w:tcPr>
            <w:tcW w:w="180" w:type="dxa"/>
            <w:vAlign w:val="bottom"/>
            <w:gridSpan w:val="2"/>
            <w:shd w:val="clear" w:color="auto" w:fill="CCEEFF"/>
          </w:tcPr>
          <w:p>
            <w:pPr>
              <w:spacing w:after="0"/>
              <w:rPr>
                <w:sz w:val="18"/>
                <w:szCs w:val="18"/>
                <w:color w:val="auto"/>
              </w:rPr>
            </w:pPr>
          </w:p>
        </w:tc>
        <w:tc>
          <w:tcPr>
            <w:tcW w:w="200" w:type="dxa"/>
            <w:vAlign w:val="bottom"/>
            <w:shd w:val="clear" w:color="auto" w:fill="CCEEFF"/>
          </w:tcPr>
          <w:p>
            <w:pPr>
              <w:jc w:val="right"/>
              <w:ind w:right="42"/>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82,695</w:t>
            </w:r>
          </w:p>
        </w:tc>
        <w:tc>
          <w:tcPr>
            <w:tcW w:w="0" w:type="dxa"/>
            <w:vAlign w:val="bottom"/>
          </w:tcPr>
          <w:p>
            <w:pPr>
              <w:spacing w:after="0"/>
              <w:rPr>
                <w:sz w:val="1"/>
                <w:szCs w:val="1"/>
                <w:color w:val="auto"/>
              </w:rPr>
            </w:pPr>
          </w:p>
        </w:tc>
      </w:tr>
      <w:tr>
        <w:trPr>
          <w:trHeight w:val="216"/>
        </w:trPr>
        <w:tc>
          <w:tcPr>
            <w:tcW w:w="4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Europe, Middle East and Africa</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19,460</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17,383</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8,656</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45,499</w:t>
            </w:r>
          </w:p>
        </w:tc>
        <w:tc>
          <w:tcPr>
            <w:tcW w:w="0" w:type="dxa"/>
            <w:vAlign w:val="bottom"/>
          </w:tcPr>
          <w:p>
            <w:pPr>
              <w:spacing w:after="0"/>
              <w:rPr>
                <w:sz w:val="1"/>
                <w:szCs w:val="1"/>
                <w:color w:val="auto"/>
              </w:rPr>
            </w:pPr>
          </w:p>
        </w:tc>
      </w:tr>
      <w:tr>
        <w:trPr>
          <w:trHeight w:val="216"/>
        </w:trPr>
        <w:tc>
          <w:tcPr>
            <w:tcW w:w="4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Asia Pacific</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31,039</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9,400</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2,740</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43,179</w:t>
            </w:r>
          </w:p>
        </w:tc>
        <w:tc>
          <w:tcPr>
            <w:tcW w:w="0" w:type="dxa"/>
            <w:vAlign w:val="bottom"/>
          </w:tcPr>
          <w:p>
            <w:pPr>
              <w:spacing w:after="0"/>
              <w:rPr>
                <w:sz w:val="1"/>
                <w:szCs w:val="1"/>
                <w:color w:val="auto"/>
              </w:rPr>
            </w:pPr>
          </w:p>
        </w:tc>
      </w:tr>
      <w:tr>
        <w:trPr>
          <w:trHeight w:val="216"/>
        </w:trPr>
        <w:tc>
          <w:tcPr>
            <w:tcW w:w="44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2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2,151</w:t>
            </w:r>
          </w:p>
        </w:tc>
        <w:tc>
          <w:tcPr>
            <w:tcW w:w="20" w:type="dxa"/>
            <w:vAlign w:val="bottom"/>
            <w:tcBorders>
              <w:bottom w:val="single" w:sz="8" w:color="auto"/>
            </w:tcBorders>
          </w:tcPr>
          <w:p>
            <w:pPr>
              <w:spacing w:after="0"/>
              <w:rPr>
                <w:sz w:val="18"/>
                <w:szCs w:val="18"/>
                <w:color w:val="auto"/>
              </w:rPr>
            </w:pPr>
          </w:p>
        </w:tc>
        <w:tc>
          <w:tcPr>
            <w:tcW w:w="16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6,315</w:t>
            </w:r>
          </w:p>
        </w:tc>
        <w:tc>
          <w:tcPr>
            <w:tcW w:w="20" w:type="dxa"/>
            <w:vAlign w:val="bottom"/>
            <w:tcBorders>
              <w:bottom w:val="single" w:sz="8" w:color="auto"/>
            </w:tcBorders>
          </w:tcPr>
          <w:p>
            <w:pPr>
              <w:spacing w:after="0"/>
              <w:rPr>
                <w:sz w:val="18"/>
                <w:szCs w:val="18"/>
                <w:color w:val="auto"/>
              </w:rPr>
            </w:pPr>
          </w:p>
        </w:tc>
        <w:tc>
          <w:tcPr>
            <w:tcW w:w="16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1,440</w:t>
            </w:r>
          </w:p>
        </w:tc>
        <w:tc>
          <w:tcPr>
            <w:tcW w:w="20" w:type="dxa"/>
            <w:vAlign w:val="bottom"/>
            <w:tcBorders>
              <w:bottom w:val="single" w:sz="8" w:color="auto"/>
            </w:tcBorders>
          </w:tcPr>
          <w:p>
            <w:pPr>
              <w:spacing w:after="0"/>
              <w:rPr>
                <w:sz w:val="18"/>
                <w:szCs w:val="18"/>
                <w:color w:val="auto"/>
              </w:rPr>
            </w:pPr>
          </w:p>
        </w:tc>
        <w:tc>
          <w:tcPr>
            <w:tcW w:w="16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9,906</w:t>
            </w:r>
          </w:p>
        </w:tc>
        <w:tc>
          <w:tcPr>
            <w:tcW w:w="0" w:type="dxa"/>
            <w:vAlign w:val="bottom"/>
          </w:tcPr>
          <w:p>
            <w:pPr>
              <w:spacing w:after="0"/>
              <w:rPr>
                <w:sz w:val="1"/>
                <w:szCs w:val="1"/>
                <w:color w:val="auto"/>
              </w:rPr>
            </w:pPr>
          </w:p>
        </w:tc>
      </w:tr>
      <w:tr>
        <w:trPr>
          <w:trHeight w:val="210"/>
        </w:trPr>
        <w:tc>
          <w:tcPr>
            <w:tcW w:w="446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81,991</w:t>
            </w:r>
          </w:p>
        </w:tc>
        <w:tc>
          <w:tcPr>
            <w:tcW w:w="20" w:type="dxa"/>
            <w:vAlign w:val="bottom"/>
            <w:tcBorders>
              <w:bottom w:val="single" w:sz="8" w:color="auto"/>
            </w:tcBorders>
            <w:shd w:val="clear" w:color="auto" w:fill="CCEEFF"/>
          </w:tcPr>
          <w:p>
            <w:pPr>
              <w:spacing w:after="0"/>
              <w:rPr>
                <w:sz w:val="18"/>
                <w:szCs w:val="18"/>
                <w:color w:val="auto"/>
              </w:rPr>
            </w:pPr>
          </w:p>
        </w:tc>
        <w:tc>
          <w:tcPr>
            <w:tcW w:w="180" w:type="dxa"/>
            <w:vAlign w:val="bottom"/>
            <w:tcBorders>
              <w:bottom w:val="single" w:sz="8" w:color="CCEEFF"/>
            </w:tcBorders>
            <w:gridSpan w:val="2"/>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66,422</w:t>
            </w:r>
          </w:p>
        </w:tc>
        <w:tc>
          <w:tcPr>
            <w:tcW w:w="20" w:type="dxa"/>
            <w:vAlign w:val="bottom"/>
            <w:tcBorders>
              <w:bottom w:val="single" w:sz="8" w:color="auto"/>
            </w:tcBorders>
            <w:shd w:val="clear" w:color="auto" w:fill="CCEEFF"/>
          </w:tcPr>
          <w:p>
            <w:pPr>
              <w:spacing w:after="0"/>
              <w:rPr>
                <w:sz w:val="18"/>
                <w:szCs w:val="18"/>
                <w:color w:val="auto"/>
              </w:rPr>
            </w:pPr>
          </w:p>
        </w:tc>
        <w:tc>
          <w:tcPr>
            <w:tcW w:w="180" w:type="dxa"/>
            <w:vAlign w:val="bottom"/>
            <w:tcBorders>
              <w:bottom w:val="single" w:sz="8" w:color="CCEEFF"/>
            </w:tcBorders>
            <w:gridSpan w:val="2"/>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32,866</w:t>
            </w:r>
          </w:p>
        </w:tc>
        <w:tc>
          <w:tcPr>
            <w:tcW w:w="20" w:type="dxa"/>
            <w:vAlign w:val="bottom"/>
            <w:tcBorders>
              <w:bottom w:val="single" w:sz="8" w:color="auto"/>
            </w:tcBorders>
            <w:shd w:val="clear" w:color="auto" w:fill="CCEEFF"/>
          </w:tcPr>
          <w:p>
            <w:pPr>
              <w:spacing w:after="0"/>
              <w:rPr>
                <w:sz w:val="18"/>
                <w:szCs w:val="18"/>
                <w:color w:val="auto"/>
              </w:rPr>
            </w:pPr>
          </w:p>
        </w:tc>
        <w:tc>
          <w:tcPr>
            <w:tcW w:w="180" w:type="dxa"/>
            <w:vAlign w:val="bottom"/>
            <w:tcBorders>
              <w:bottom w:val="single" w:sz="8" w:color="CCEEFF"/>
            </w:tcBorders>
            <w:gridSpan w:val="2"/>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jc w:val="right"/>
              <w:ind w:right="42"/>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181,279</w:t>
            </w:r>
          </w:p>
        </w:tc>
        <w:tc>
          <w:tcPr>
            <w:tcW w:w="0" w:type="dxa"/>
            <w:vAlign w:val="bottom"/>
          </w:tcPr>
          <w:p>
            <w:pPr>
              <w:spacing w:after="0"/>
              <w:rPr>
                <w:sz w:val="1"/>
                <w:szCs w:val="1"/>
                <w:color w:val="auto"/>
              </w:rPr>
            </w:pPr>
          </w:p>
        </w:tc>
      </w:tr>
      <w:tr>
        <w:trPr>
          <w:trHeight w:val="20"/>
        </w:trPr>
        <w:tc>
          <w:tcPr>
            <w:tcW w:w="4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left="60" w:right="519" w:firstLine="324"/>
        <w:spacing w:after="0" w:line="282" w:lineRule="auto"/>
        <w:rPr>
          <w:sz w:val="20"/>
          <w:szCs w:val="20"/>
          <w:color w:val="auto"/>
        </w:rPr>
      </w:pPr>
      <w:r>
        <w:rPr>
          <w:rFonts w:ascii="Times New Roman" w:cs="Times New Roman" w:eastAsia="Times New Roman" w:hAnsi="Times New Roman"/>
          <w:sz w:val="18"/>
          <w:szCs w:val="18"/>
          <w:color w:val="auto"/>
        </w:rPr>
        <w:t>The Company’s product revenue from its direct sales program and from indirect sales through its channel partner program for the three months ended March 31, 2026 and 2025 was as follows (in thousands):</w:t>
      </w:r>
    </w:p>
    <w:p>
      <w:pPr>
        <w:spacing w:after="0" w:line="169"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654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2200" w:type="dxa"/>
            <w:vAlign w:val="bottom"/>
            <w:tcBorders>
              <w:bottom w:val="single" w:sz="8" w:color="auto"/>
            </w:tcBorders>
            <w:gridSpan w:val="4"/>
          </w:tcPr>
          <w:p>
            <w:pPr>
              <w:ind w:left="40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0" w:type="dxa"/>
            <w:vAlign w:val="bottom"/>
          </w:tcPr>
          <w:p>
            <w:pPr>
              <w:spacing w:after="0"/>
              <w:rPr>
                <w:sz w:val="1"/>
                <w:szCs w:val="1"/>
                <w:color w:val="auto"/>
              </w:rPr>
            </w:pPr>
          </w:p>
        </w:tc>
      </w:tr>
      <w:tr>
        <w:trPr>
          <w:trHeight w:val="117"/>
        </w:trPr>
        <w:tc>
          <w:tcPr>
            <w:tcW w:w="65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920" w:type="dxa"/>
            <w:vAlign w:val="bottom"/>
          </w:tcPr>
          <w:p>
            <w:pPr>
              <w:ind w:left="60"/>
              <w:spacing w:after="0" w:line="118" w:lineRule="exact"/>
              <w:rPr>
                <w:sz w:val="20"/>
                <w:szCs w:val="20"/>
                <w:color w:val="auto"/>
              </w:rPr>
            </w:pPr>
            <w:r>
              <w:rPr>
                <w:rFonts w:ascii="Times New Roman" w:cs="Times New Roman" w:eastAsia="Times New Roman" w:hAnsi="Times New Roman"/>
                <w:sz w:val="13"/>
                <w:szCs w:val="13"/>
                <w:b w:val="1"/>
                <w:bCs w:val="1"/>
                <w:color w:val="auto"/>
              </w:rPr>
              <w:t>March 31,</w:t>
            </w:r>
          </w:p>
        </w:tc>
        <w:tc>
          <w:tcPr>
            <w:tcW w:w="360" w:type="dxa"/>
            <w:vAlign w:val="bottom"/>
            <w:gridSpan w:val="2"/>
            <w:vMerge w:val="restart"/>
          </w:tcPr>
          <w:p>
            <w:pPr>
              <w:jc w:val="right"/>
              <w:ind w:right="50"/>
              <w:spacing w:after="0"/>
              <w:rPr>
                <w:sz w:val="20"/>
                <w:szCs w:val="20"/>
                <w:color w:val="auto"/>
              </w:rPr>
            </w:pPr>
            <w:r>
              <w:rPr>
                <w:rFonts w:ascii="Times New Roman" w:cs="Times New Roman" w:eastAsia="Times New Roman" w:hAnsi="Times New Roman"/>
                <w:sz w:val="14"/>
                <w:szCs w:val="14"/>
                <w:b w:val="1"/>
                <w:bCs w:val="1"/>
                <w:color w:val="auto"/>
              </w:rPr>
              <w:t>​​​</w:t>
            </w:r>
          </w:p>
        </w:tc>
        <w:tc>
          <w:tcPr>
            <w:tcW w:w="920" w:type="dxa"/>
            <w:vAlign w:val="bottom"/>
          </w:tcPr>
          <w:p>
            <w:pPr>
              <w:jc w:val="right"/>
              <w:ind w:right="158"/>
              <w:spacing w:after="0" w:line="118" w:lineRule="exact"/>
              <w:rPr>
                <w:sz w:val="20"/>
                <w:szCs w:val="20"/>
                <w:color w:val="auto"/>
              </w:rPr>
            </w:pPr>
            <w:r>
              <w:rPr>
                <w:rFonts w:ascii="Times New Roman" w:cs="Times New Roman" w:eastAsia="Times New Roman" w:hAnsi="Times New Roman"/>
                <w:sz w:val="13"/>
                <w:szCs w:val="13"/>
                <w:b w:val="1"/>
                <w:bCs w:val="1"/>
                <w:color w:val="auto"/>
              </w:rPr>
              <w:t>March 31,</w:t>
            </w:r>
          </w:p>
        </w:tc>
        <w:tc>
          <w:tcPr>
            <w:tcW w:w="0" w:type="dxa"/>
            <w:vAlign w:val="bottom"/>
          </w:tcPr>
          <w:p>
            <w:pPr>
              <w:spacing w:after="0"/>
              <w:rPr>
                <w:sz w:val="1"/>
                <w:szCs w:val="1"/>
                <w:color w:val="auto"/>
              </w:rPr>
            </w:pPr>
          </w:p>
        </w:tc>
      </w:tr>
      <w:tr>
        <w:trPr>
          <w:trHeight w:val="173"/>
        </w:trPr>
        <w:tc>
          <w:tcPr>
            <w:tcW w:w="65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20" w:type="dxa"/>
            <w:vAlign w:val="bottom"/>
          </w:tcPr>
          <w:p>
            <w:pPr>
              <w:ind w:left="240"/>
              <w:spacing w:after="0"/>
              <w:rPr>
                <w:sz w:val="20"/>
                <w:szCs w:val="20"/>
                <w:color w:val="auto"/>
              </w:rPr>
            </w:pPr>
            <w:r>
              <w:rPr>
                <w:rFonts w:ascii="Times New Roman" w:cs="Times New Roman" w:eastAsia="Times New Roman" w:hAnsi="Times New Roman"/>
                <w:sz w:val="14"/>
                <w:szCs w:val="14"/>
                <w:b w:val="1"/>
                <w:bCs w:val="1"/>
                <w:color w:val="auto"/>
              </w:rPr>
              <w:t>2026</w:t>
            </w:r>
          </w:p>
        </w:tc>
        <w:tc>
          <w:tcPr>
            <w:tcW w:w="360" w:type="dxa"/>
            <w:vAlign w:val="bottom"/>
            <w:gridSpan w:val="2"/>
            <w:vMerge w:val="continue"/>
          </w:tcPr>
          <w:p>
            <w:pPr>
              <w:spacing w:after="0"/>
              <w:rPr>
                <w:sz w:val="15"/>
                <w:szCs w:val="15"/>
                <w:color w:val="auto"/>
              </w:rPr>
            </w:pPr>
          </w:p>
        </w:tc>
        <w:tc>
          <w:tcPr>
            <w:tcW w:w="920" w:type="dxa"/>
            <w:vAlign w:val="bottom"/>
          </w:tcPr>
          <w:p>
            <w:pPr>
              <w:jc w:val="right"/>
              <w:ind w:right="298"/>
              <w:spacing w:after="0"/>
              <w:rPr>
                <w:sz w:val="20"/>
                <w:szCs w:val="20"/>
                <w:color w:val="auto"/>
              </w:rPr>
            </w:pPr>
            <w:r>
              <w:rPr>
                <w:rFonts w:ascii="Times New Roman" w:cs="Times New Roman" w:eastAsia="Times New Roman" w:hAnsi="Times New Roman"/>
                <w:sz w:val="14"/>
                <w:szCs w:val="14"/>
                <w:b w:val="1"/>
                <w:bCs w:val="1"/>
                <w:color w:val="auto"/>
              </w:rPr>
              <w:t>2025</w:t>
            </w:r>
          </w:p>
        </w:tc>
        <w:tc>
          <w:tcPr>
            <w:tcW w:w="0" w:type="dxa"/>
            <w:vAlign w:val="bottom"/>
          </w:tcPr>
          <w:p>
            <w:pPr>
              <w:spacing w:after="0"/>
              <w:rPr>
                <w:sz w:val="1"/>
                <w:szCs w:val="1"/>
                <w:color w:val="auto"/>
              </w:rPr>
            </w:pPr>
          </w:p>
        </w:tc>
      </w:tr>
      <w:tr>
        <w:trPr>
          <w:trHeight w:val="210"/>
        </w:trPr>
        <w:tc>
          <w:tcPr>
            <w:tcW w:w="65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Indirect sales through channel partner program</w:t>
            </w: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19,329</w:t>
            </w:r>
          </w:p>
        </w:tc>
        <w:tc>
          <w:tcPr>
            <w:tcW w:w="2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22,735</w:t>
            </w:r>
          </w:p>
        </w:tc>
        <w:tc>
          <w:tcPr>
            <w:tcW w:w="0" w:type="dxa"/>
            <w:vAlign w:val="bottom"/>
          </w:tcPr>
          <w:p>
            <w:pPr>
              <w:spacing w:after="0"/>
              <w:rPr>
                <w:sz w:val="1"/>
                <w:szCs w:val="1"/>
                <w:color w:val="auto"/>
              </w:rPr>
            </w:pPr>
          </w:p>
        </w:tc>
      </w:tr>
      <w:tr>
        <w:trPr>
          <w:trHeight w:val="216"/>
        </w:trPr>
        <w:tc>
          <w:tcPr>
            <w:tcW w:w="65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Direct sales</w:t>
            </w:r>
          </w:p>
        </w:tc>
        <w:tc>
          <w:tcPr>
            <w:tcW w:w="16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ind w:left="380"/>
              <w:spacing w:after="0"/>
              <w:rPr>
                <w:sz w:val="20"/>
                <w:szCs w:val="20"/>
                <w:color w:val="auto"/>
              </w:rPr>
            </w:pPr>
            <w:r>
              <w:rPr>
                <w:rFonts w:ascii="Times New Roman" w:cs="Times New Roman" w:eastAsia="Times New Roman" w:hAnsi="Times New Roman"/>
                <w:sz w:val="18"/>
                <w:szCs w:val="18"/>
                <w:color w:val="auto"/>
              </w:rPr>
              <w:t>48,785</w:t>
            </w:r>
          </w:p>
        </w:tc>
        <w:tc>
          <w:tcPr>
            <w:tcW w:w="2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59,256</w:t>
            </w:r>
          </w:p>
        </w:tc>
        <w:tc>
          <w:tcPr>
            <w:tcW w:w="0" w:type="dxa"/>
            <w:vAlign w:val="bottom"/>
          </w:tcPr>
          <w:p>
            <w:pPr>
              <w:spacing w:after="0"/>
              <w:rPr>
                <w:sz w:val="1"/>
                <w:szCs w:val="1"/>
                <w:color w:val="auto"/>
              </w:rPr>
            </w:pPr>
          </w:p>
        </w:tc>
      </w:tr>
      <w:tr>
        <w:trPr>
          <w:trHeight w:val="210"/>
        </w:trPr>
        <w:tc>
          <w:tcPr>
            <w:tcW w:w="654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68,114</w:t>
            </w:r>
          </w:p>
        </w:tc>
        <w:tc>
          <w:tcPr>
            <w:tcW w:w="20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81,991</w:t>
            </w:r>
          </w:p>
        </w:tc>
        <w:tc>
          <w:tcPr>
            <w:tcW w:w="0" w:type="dxa"/>
            <w:vAlign w:val="bottom"/>
          </w:tcPr>
          <w:p>
            <w:pPr>
              <w:spacing w:after="0"/>
              <w:rPr>
                <w:sz w:val="1"/>
                <w:szCs w:val="1"/>
                <w:color w:val="auto"/>
              </w:rPr>
            </w:pPr>
          </w:p>
        </w:tc>
      </w:tr>
      <w:tr>
        <w:trPr>
          <w:trHeight w:val="20"/>
        </w:trPr>
        <w:tc>
          <w:tcPr>
            <w:tcW w:w="65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left="60" w:right="279" w:firstLine="324"/>
        <w:spacing w:after="0" w:line="282" w:lineRule="auto"/>
        <w:rPr>
          <w:sz w:val="20"/>
          <w:szCs w:val="20"/>
          <w:color w:val="auto"/>
        </w:rPr>
      </w:pPr>
      <w:r>
        <w:rPr>
          <w:rFonts w:ascii="Times New Roman" w:cs="Times New Roman" w:eastAsia="Times New Roman" w:hAnsi="Times New Roman"/>
          <w:sz w:val="18"/>
          <w:szCs w:val="18"/>
          <w:color w:val="auto"/>
        </w:rPr>
        <w:t>The Company’s product revenue from sales to enterprise customers and from sales to service provider customers for the three months ended March 31, 2026 and 2025 was as follows (in thousands):</w:t>
      </w:r>
    </w:p>
    <w:p>
      <w:pPr>
        <w:spacing w:after="0" w:line="169"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3460" w:type="dxa"/>
            <w:vAlign w:val="bottom"/>
          </w:tcPr>
          <w:p>
            <w:pPr>
              <w:spacing w:after="0"/>
              <w:rPr>
                <w:sz w:val="15"/>
                <w:szCs w:val="15"/>
                <w:color w:val="auto"/>
              </w:rPr>
            </w:pPr>
          </w:p>
        </w:tc>
        <w:tc>
          <w:tcPr>
            <w:tcW w:w="30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220" w:type="dxa"/>
            <w:vAlign w:val="bottom"/>
            <w:gridSpan w:val="5"/>
          </w:tcPr>
          <w:p>
            <w:pPr>
              <w:ind w:left="40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0" w:type="dxa"/>
            <w:vAlign w:val="bottom"/>
          </w:tcPr>
          <w:p>
            <w:pPr>
              <w:spacing w:after="0"/>
              <w:rPr>
                <w:sz w:val="1"/>
                <w:szCs w:val="1"/>
                <w:color w:val="auto"/>
              </w:rPr>
            </w:pPr>
          </w:p>
        </w:tc>
      </w:tr>
      <w:tr>
        <w:trPr>
          <w:trHeight w:val="117"/>
        </w:trPr>
        <w:tc>
          <w:tcPr>
            <w:tcW w:w="3460" w:type="dxa"/>
            <w:vAlign w:val="bottom"/>
          </w:tcPr>
          <w:p>
            <w:pPr>
              <w:spacing w:after="0"/>
              <w:rPr>
                <w:sz w:val="10"/>
                <w:szCs w:val="10"/>
                <w:color w:val="auto"/>
              </w:rPr>
            </w:pPr>
          </w:p>
        </w:tc>
        <w:tc>
          <w:tcPr>
            <w:tcW w:w="3080" w:type="dxa"/>
            <w:vAlign w:val="bottom"/>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920" w:type="dxa"/>
            <w:vAlign w:val="bottom"/>
            <w:tcBorders>
              <w:top w:val="single" w:sz="8" w:color="auto"/>
            </w:tcBorders>
          </w:tcPr>
          <w:p>
            <w:pPr>
              <w:ind w:left="60"/>
              <w:spacing w:after="0" w:line="118" w:lineRule="exact"/>
              <w:rPr>
                <w:sz w:val="20"/>
                <w:szCs w:val="20"/>
                <w:color w:val="auto"/>
              </w:rPr>
            </w:pPr>
            <w:r>
              <w:rPr>
                <w:rFonts w:ascii="Times New Roman" w:cs="Times New Roman" w:eastAsia="Times New Roman" w:hAnsi="Times New Roman"/>
                <w:sz w:val="13"/>
                <w:szCs w:val="13"/>
                <w:b w:val="1"/>
                <w:bCs w:val="1"/>
                <w:color w:val="auto"/>
              </w:rPr>
              <w:t>March 31,</w:t>
            </w:r>
          </w:p>
        </w:tc>
        <w:tc>
          <w:tcPr>
            <w:tcW w:w="360" w:type="dxa"/>
            <w:vAlign w:val="bottom"/>
            <w:tcBorders>
              <w:top w:val="single" w:sz="8" w:color="auto"/>
            </w:tcBorders>
            <w:gridSpan w:val="2"/>
            <w:vMerge w:val="restart"/>
          </w:tcPr>
          <w:p>
            <w:pPr>
              <w:jc w:val="right"/>
              <w:ind w:right="90"/>
              <w:spacing w:after="0"/>
              <w:rPr>
                <w:sz w:val="20"/>
                <w:szCs w:val="20"/>
                <w:color w:val="auto"/>
              </w:rPr>
            </w:pPr>
            <w:r>
              <w:rPr>
                <w:rFonts w:ascii="Times New Roman" w:cs="Times New Roman" w:eastAsia="Times New Roman" w:hAnsi="Times New Roman"/>
                <w:sz w:val="14"/>
                <w:szCs w:val="14"/>
                <w:b w:val="1"/>
                <w:bCs w:val="1"/>
                <w:color w:val="auto"/>
              </w:rPr>
              <w:t>​​​</w:t>
            </w:r>
          </w:p>
        </w:tc>
        <w:tc>
          <w:tcPr>
            <w:tcW w:w="920" w:type="dxa"/>
            <w:vAlign w:val="bottom"/>
            <w:tcBorders>
              <w:top w:val="single" w:sz="8" w:color="auto"/>
            </w:tcBorders>
          </w:tcPr>
          <w:p>
            <w:pPr>
              <w:jc w:val="right"/>
              <w:ind w:right="158"/>
              <w:spacing w:after="0" w:line="118" w:lineRule="exact"/>
              <w:rPr>
                <w:sz w:val="20"/>
                <w:szCs w:val="20"/>
                <w:color w:val="auto"/>
              </w:rPr>
            </w:pPr>
            <w:r>
              <w:rPr>
                <w:rFonts w:ascii="Times New Roman" w:cs="Times New Roman" w:eastAsia="Times New Roman" w:hAnsi="Times New Roman"/>
                <w:sz w:val="13"/>
                <w:szCs w:val="13"/>
                <w:b w:val="1"/>
                <w:bCs w:val="1"/>
                <w:color w:val="auto"/>
              </w:rPr>
              <w:t>March 31,</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3"/>
        </w:trPr>
        <w:tc>
          <w:tcPr>
            <w:tcW w:w="3460" w:type="dxa"/>
            <w:vAlign w:val="bottom"/>
          </w:tcPr>
          <w:p>
            <w:pPr>
              <w:spacing w:after="0"/>
              <w:rPr>
                <w:sz w:val="15"/>
                <w:szCs w:val="15"/>
                <w:color w:val="auto"/>
              </w:rPr>
            </w:pPr>
          </w:p>
        </w:tc>
        <w:tc>
          <w:tcPr>
            <w:tcW w:w="30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20" w:type="dxa"/>
            <w:vAlign w:val="bottom"/>
          </w:tcPr>
          <w:p>
            <w:pPr>
              <w:ind w:left="240"/>
              <w:spacing w:after="0"/>
              <w:rPr>
                <w:sz w:val="20"/>
                <w:szCs w:val="20"/>
                <w:color w:val="auto"/>
              </w:rPr>
            </w:pPr>
            <w:r>
              <w:rPr>
                <w:rFonts w:ascii="Times New Roman" w:cs="Times New Roman" w:eastAsia="Times New Roman" w:hAnsi="Times New Roman"/>
                <w:sz w:val="14"/>
                <w:szCs w:val="14"/>
                <w:b w:val="1"/>
                <w:bCs w:val="1"/>
                <w:color w:val="auto"/>
              </w:rPr>
              <w:t>2026</w:t>
            </w:r>
          </w:p>
        </w:tc>
        <w:tc>
          <w:tcPr>
            <w:tcW w:w="360" w:type="dxa"/>
            <w:vAlign w:val="bottom"/>
            <w:gridSpan w:val="2"/>
            <w:vMerge w:val="continue"/>
          </w:tcPr>
          <w:p>
            <w:pPr>
              <w:spacing w:after="0"/>
              <w:rPr>
                <w:sz w:val="15"/>
                <w:szCs w:val="15"/>
                <w:color w:val="auto"/>
              </w:rPr>
            </w:pPr>
          </w:p>
        </w:tc>
        <w:tc>
          <w:tcPr>
            <w:tcW w:w="920" w:type="dxa"/>
            <w:vAlign w:val="bottom"/>
          </w:tcPr>
          <w:p>
            <w:pPr>
              <w:jc w:val="right"/>
              <w:ind w:right="298"/>
              <w:spacing w:after="0"/>
              <w:rPr>
                <w:sz w:val="20"/>
                <w:szCs w:val="20"/>
                <w:color w:val="auto"/>
              </w:rPr>
            </w:pPr>
            <w:r>
              <w:rPr>
                <w:rFonts w:ascii="Times New Roman" w:cs="Times New Roman" w:eastAsia="Times New Roman" w:hAnsi="Times New Roman"/>
                <w:sz w:val="14"/>
                <w:szCs w:val="14"/>
                <w:b w:val="1"/>
                <w:bCs w:val="1"/>
                <w:color w:val="auto"/>
              </w:rPr>
              <w:t>2025</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34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Sales to enterprise customers</w:t>
            </w:r>
          </w:p>
        </w:tc>
        <w:tc>
          <w:tcPr>
            <w:tcW w:w="30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21,516</w:t>
            </w:r>
          </w:p>
        </w:tc>
        <w:tc>
          <w:tcPr>
            <w:tcW w:w="2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23,232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Sales to service provider customers</w:t>
            </w:r>
          </w:p>
        </w:tc>
        <w:tc>
          <w:tcPr>
            <w:tcW w:w="308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ind w:left="380"/>
              <w:spacing w:after="0"/>
              <w:rPr>
                <w:sz w:val="20"/>
                <w:szCs w:val="20"/>
                <w:color w:val="auto"/>
              </w:rPr>
            </w:pPr>
            <w:r>
              <w:rPr>
                <w:rFonts w:ascii="Times New Roman" w:cs="Times New Roman" w:eastAsia="Times New Roman" w:hAnsi="Times New Roman"/>
                <w:sz w:val="18"/>
                <w:szCs w:val="18"/>
                <w:color w:val="auto"/>
              </w:rPr>
              <w:t>46,598</w:t>
            </w:r>
          </w:p>
        </w:tc>
        <w:tc>
          <w:tcPr>
            <w:tcW w:w="2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58,759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3460" w:type="dxa"/>
            <w:vAlign w:val="bottom"/>
            <w:tcBorders>
              <w:bottom w:val="single" w:sz="8" w:color="CCEEFF"/>
            </w:tcBorders>
            <w:shd w:val="clear" w:color="auto" w:fill="CCEEFF"/>
          </w:tcPr>
          <w:p>
            <w:pPr>
              <w:spacing w:after="0"/>
              <w:rPr>
                <w:sz w:val="18"/>
                <w:szCs w:val="18"/>
                <w:color w:val="auto"/>
              </w:rPr>
            </w:pPr>
          </w:p>
        </w:tc>
        <w:tc>
          <w:tcPr>
            <w:tcW w:w="308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68,114</w:t>
            </w:r>
          </w:p>
        </w:tc>
        <w:tc>
          <w:tcPr>
            <w:tcW w:w="20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81,991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460" w:type="dxa"/>
            <w:vAlign w:val="bottom"/>
          </w:tcPr>
          <w:p>
            <w:pPr>
              <w:spacing w:after="0" w:line="20" w:lineRule="exact"/>
              <w:rPr>
                <w:sz w:val="1"/>
                <w:szCs w:val="1"/>
                <w:color w:val="auto"/>
              </w:rPr>
            </w:pPr>
          </w:p>
        </w:tc>
        <w:tc>
          <w:tcPr>
            <w:tcW w:w="3080" w:type="dxa"/>
            <w:vAlign w:val="bottom"/>
            <w:vMerge w:val="restart"/>
          </w:tcPr>
          <w:p>
            <w:pPr>
              <w:jc w:val="right"/>
              <w:ind w:right="1890"/>
              <w:spacing w:after="0"/>
              <w:rPr>
                <w:sz w:val="20"/>
                <w:szCs w:val="20"/>
                <w:color w:val="auto"/>
              </w:rPr>
            </w:pPr>
            <w:r>
              <w:rPr>
                <w:rFonts w:ascii="Times New Roman" w:cs="Times New Roman" w:eastAsia="Times New Roman" w:hAnsi="Times New Roman"/>
                <w:sz w:val="18"/>
                <w:szCs w:val="18"/>
                <w:color w:val="auto"/>
              </w:rPr>
              <w:t>24</w:t>
            </w:r>
          </w:p>
        </w:tc>
        <w:tc>
          <w:tcPr>
            <w:tcW w:w="1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44"/>
        </w:trPr>
        <w:tc>
          <w:tcPr>
            <w:tcW w:w="3460" w:type="dxa"/>
            <w:vAlign w:val="bottom"/>
          </w:tcPr>
          <w:p>
            <w:pPr>
              <w:spacing w:after="0"/>
              <w:rPr>
                <w:sz w:val="24"/>
                <w:szCs w:val="24"/>
                <w:color w:val="auto"/>
              </w:rPr>
            </w:pPr>
          </w:p>
        </w:tc>
        <w:tc>
          <w:tcPr>
            <w:tcW w:w="3080" w:type="dxa"/>
            <w:vAlign w:val="bottom"/>
            <w:vMerge w:val="continue"/>
          </w:tcPr>
          <w:p>
            <w:pPr>
              <w:spacing w:after="0"/>
              <w:rPr>
                <w:sz w:val="24"/>
                <w:szCs w:val="24"/>
                <w:color w:val="auto"/>
              </w:rPr>
            </w:pPr>
          </w:p>
        </w:tc>
        <w:tc>
          <w:tcPr>
            <w:tcW w:w="1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47"/>
        </w:trPr>
        <w:tc>
          <w:tcPr>
            <w:tcW w:w="3460" w:type="dxa"/>
            <w:vAlign w:val="bottom"/>
            <w:tcBorders>
              <w:bottom w:val="single" w:sz="8" w:color="auto"/>
            </w:tcBorders>
          </w:tcPr>
          <w:p>
            <w:pPr>
              <w:spacing w:after="0"/>
              <w:rPr>
                <w:sz w:val="24"/>
                <w:szCs w:val="24"/>
                <w:color w:val="auto"/>
              </w:rPr>
            </w:pPr>
          </w:p>
        </w:tc>
        <w:tc>
          <w:tcPr>
            <w:tcW w:w="30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513" w:right="1440" w:bottom="1440" w:gutter="0" w:footer="0" w:header="0"/>
        </w:sectPr>
      </w:pPr>
    </w:p>
    <w:bookmarkStart w:id="24" w:name="page25"/>
    <w:bookmarkEnd w:id="24"/>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ind w:left="40" w:right="59"/>
        <w:spacing w:after="0" w:line="278" w:lineRule="auto"/>
        <w:rPr>
          <w:sz w:val="20"/>
          <w:szCs w:val="20"/>
          <w:color w:val="auto"/>
        </w:rPr>
      </w:pPr>
      <w:r>
        <w:rPr>
          <w:rFonts w:ascii="Times New Roman" w:cs="Times New Roman" w:eastAsia="Times New Roman" w:hAnsi="Times New Roman"/>
          <w:sz w:val="18"/>
          <w:szCs w:val="18"/>
          <w:b w:val="1"/>
          <w:bCs w:val="1"/>
          <w:color w:val="auto"/>
        </w:rPr>
        <w:t>RIBBON COMMUNICATIONS INC. Notes to Condensed Consolidated Financial Statements (Continued) (unaudited)</w:t>
      </w:r>
    </w:p>
    <w:p>
      <w:pPr>
        <w:spacing w:after="0" w:line="38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The Company’s product revenue and service revenue components by segment for the three months ended</w:t>
      </w:r>
    </w:p>
    <w:p>
      <w:pPr>
        <w:spacing w:after="0" w:line="2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March 31, 2026 and 2025 were as follows (in thousands):</w:t>
      </w:r>
    </w:p>
    <w:p>
      <w:pPr>
        <w:spacing w:after="0" w:line="214"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65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260" w:type="dxa"/>
            <w:vAlign w:val="bottom"/>
            <w:gridSpan w:val="5"/>
          </w:tcPr>
          <w:p>
            <w:pPr>
              <w:ind w:left="40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0" w:type="dxa"/>
            <w:vAlign w:val="bottom"/>
          </w:tcPr>
          <w:p>
            <w:pPr>
              <w:spacing w:after="0"/>
              <w:rPr>
                <w:sz w:val="1"/>
                <w:szCs w:val="1"/>
                <w:color w:val="auto"/>
              </w:rPr>
            </w:pPr>
          </w:p>
        </w:tc>
      </w:tr>
      <w:tr>
        <w:trPr>
          <w:trHeight w:val="117"/>
        </w:trPr>
        <w:tc>
          <w:tcPr>
            <w:tcW w:w="6540" w:type="dxa"/>
            <w:vAlign w:val="bottom"/>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920" w:type="dxa"/>
            <w:vAlign w:val="bottom"/>
            <w:tcBorders>
              <w:top w:val="single" w:sz="8" w:color="auto"/>
            </w:tcBorders>
          </w:tcPr>
          <w:p>
            <w:pPr>
              <w:jc w:val="right"/>
              <w:ind w:right="155"/>
              <w:spacing w:after="0" w:line="118" w:lineRule="exact"/>
              <w:rPr>
                <w:sz w:val="20"/>
                <w:szCs w:val="20"/>
                <w:color w:val="auto"/>
              </w:rPr>
            </w:pPr>
            <w:r>
              <w:rPr>
                <w:rFonts w:ascii="Times New Roman" w:cs="Times New Roman" w:eastAsia="Times New Roman" w:hAnsi="Times New Roman"/>
                <w:sz w:val="13"/>
                <w:szCs w:val="13"/>
                <w:b w:val="1"/>
                <w:bCs w:val="1"/>
                <w:color w:val="auto"/>
              </w:rPr>
              <w:t>March 31,</w:t>
            </w:r>
          </w:p>
        </w:tc>
        <w:tc>
          <w:tcPr>
            <w:tcW w:w="360" w:type="dxa"/>
            <w:vAlign w:val="bottom"/>
            <w:tcBorders>
              <w:top w:val="single" w:sz="8" w:color="auto"/>
            </w:tcBorders>
            <w:gridSpan w:val="2"/>
            <w:vMerge w:val="restart"/>
          </w:tcPr>
          <w:p>
            <w:pPr>
              <w:jc w:val="right"/>
              <w:ind w:right="90"/>
              <w:spacing w:after="0"/>
              <w:rPr>
                <w:sz w:val="20"/>
                <w:szCs w:val="20"/>
                <w:color w:val="auto"/>
              </w:rPr>
            </w:pPr>
            <w:r>
              <w:rPr>
                <w:rFonts w:ascii="Times New Roman" w:cs="Times New Roman" w:eastAsia="Times New Roman" w:hAnsi="Times New Roman"/>
                <w:sz w:val="14"/>
                <w:szCs w:val="14"/>
                <w:b w:val="1"/>
                <w:bCs w:val="1"/>
                <w:color w:val="auto"/>
              </w:rPr>
              <w:t>​​​</w:t>
            </w:r>
          </w:p>
        </w:tc>
        <w:tc>
          <w:tcPr>
            <w:tcW w:w="920" w:type="dxa"/>
            <w:vAlign w:val="bottom"/>
            <w:tcBorders>
              <w:top w:val="single" w:sz="8" w:color="auto"/>
            </w:tcBorders>
          </w:tcPr>
          <w:p>
            <w:pPr>
              <w:jc w:val="right"/>
              <w:ind w:right="153"/>
              <w:spacing w:after="0" w:line="118" w:lineRule="exact"/>
              <w:rPr>
                <w:sz w:val="20"/>
                <w:szCs w:val="20"/>
                <w:color w:val="auto"/>
              </w:rPr>
            </w:pPr>
            <w:r>
              <w:rPr>
                <w:rFonts w:ascii="Times New Roman" w:cs="Times New Roman" w:eastAsia="Times New Roman" w:hAnsi="Times New Roman"/>
                <w:sz w:val="13"/>
                <w:szCs w:val="13"/>
                <w:b w:val="1"/>
                <w:bCs w:val="1"/>
                <w:color w:val="auto"/>
              </w:rPr>
              <w:t>March 31,</w:t>
            </w: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3"/>
        </w:trPr>
        <w:tc>
          <w:tcPr>
            <w:tcW w:w="65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20" w:type="dxa"/>
            <w:vAlign w:val="bottom"/>
          </w:tcPr>
          <w:p>
            <w:pPr>
              <w:jc w:val="right"/>
              <w:ind w:right="315"/>
              <w:spacing w:after="0"/>
              <w:rPr>
                <w:sz w:val="20"/>
                <w:szCs w:val="20"/>
                <w:color w:val="auto"/>
              </w:rPr>
            </w:pPr>
            <w:r>
              <w:rPr>
                <w:rFonts w:ascii="Times New Roman" w:cs="Times New Roman" w:eastAsia="Times New Roman" w:hAnsi="Times New Roman"/>
                <w:sz w:val="14"/>
                <w:szCs w:val="14"/>
                <w:b w:val="1"/>
                <w:bCs w:val="1"/>
                <w:color w:val="auto"/>
              </w:rPr>
              <w:t>2026</w:t>
            </w:r>
          </w:p>
        </w:tc>
        <w:tc>
          <w:tcPr>
            <w:tcW w:w="360" w:type="dxa"/>
            <w:vAlign w:val="bottom"/>
            <w:gridSpan w:val="2"/>
            <w:vMerge w:val="continue"/>
          </w:tcPr>
          <w:p>
            <w:pPr>
              <w:spacing w:after="0"/>
              <w:rPr>
                <w:sz w:val="15"/>
                <w:szCs w:val="15"/>
                <w:color w:val="auto"/>
              </w:rPr>
            </w:pPr>
          </w:p>
        </w:tc>
        <w:tc>
          <w:tcPr>
            <w:tcW w:w="920" w:type="dxa"/>
            <w:vAlign w:val="bottom"/>
          </w:tcPr>
          <w:p>
            <w:pPr>
              <w:jc w:val="right"/>
              <w:ind w:right="293"/>
              <w:spacing w:after="0"/>
              <w:rPr>
                <w:sz w:val="20"/>
                <w:szCs w:val="20"/>
                <w:color w:val="auto"/>
              </w:rPr>
            </w:pPr>
            <w:r>
              <w:rPr>
                <w:rFonts w:ascii="Times New Roman" w:cs="Times New Roman" w:eastAsia="Times New Roman" w:hAnsi="Times New Roman"/>
                <w:sz w:val="14"/>
                <w:szCs w:val="14"/>
                <w:b w:val="1"/>
                <w:bCs w:val="1"/>
                <w:color w:val="auto"/>
              </w:rPr>
              <w:t>2025</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65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Product revenue:</w:t>
            </w:r>
          </w:p>
        </w:tc>
        <w:tc>
          <w:tcPr>
            <w:tcW w:w="16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Cloud and Edge</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26,259</w:t>
            </w:r>
          </w:p>
        </w:tc>
        <w:tc>
          <w:tcPr>
            <w:tcW w:w="3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31,861</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IP Optical Networks</w:t>
            </w:r>
          </w:p>
        </w:tc>
        <w:tc>
          <w:tcPr>
            <w:tcW w:w="16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41,855</w:t>
            </w:r>
          </w:p>
        </w:tc>
        <w:tc>
          <w:tcPr>
            <w:tcW w:w="2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50,130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9"/>
        </w:trPr>
        <w:tc>
          <w:tcPr>
            <w:tcW w:w="654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Total product revenue</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68,114</w:t>
            </w:r>
          </w:p>
        </w:tc>
        <w:tc>
          <w:tcPr>
            <w:tcW w:w="20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81,991</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7"/>
        </w:trPr>
        <w:tc>
          <w:tcPr>
            <w:tcW w:w="65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6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6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Service revenue:</w:t>
            </w: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360" w:type="dxa"/>
            <w:vAlign w:val="bottom"/>
            <w:gridSpan w:val="2"/>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spacing w:after="0"/>
              <w:rPr>
                <w:sz w:val="18"/>
                <w:szCs w:val="18"/>
                <w:color w:val="auto"/>
              </w:rPr>
            </w:pPr>
          </w:p>
        </w:tc>
        <w:tc>
          <w:tcPr>
            <w:tcW w:w="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Maintenance:</w:t>
            </w: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360" w:type="dxa"/>
            <w:vAlign w:val="bottom"/>
            <w:gridSpan w:val="2"/>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spacing w:after="0"/>
              <w:rPr>
                <w:sz w:val="18"/>
                <w:szCs w:val="18"/>
                <w:color w:val="auto"/>
              </w:rPr>
            </w:pPr>
          </w:p>
        </w:tc>
        <w:tc>
          <w:tcPr>
            <w:tcW w:w="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65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Cloud and Edge</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50,232</w:t>
            </w:r>
          </w:p>
        </w:tc>
        <w:tc>
          <w:tcPr>
            <w:tcW w:w="3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50,768</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IP Optical Networks</w:t>
            </w:r>
          </w:p>
        </w:tc>
        <w:tc>
          <w:tcPr>
            <w:tcW w:w="16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13,435</w:t>
            </w:r>
          </w:p>
        </w:tc>
        <w:tc>
          <w:tcPr>
            <w:tcW w:w="2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15,654</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654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8"/>
                <w:szCs w:val="18"/>
                <w:color w:val="auto"/>
              </w:rPr>
              <w:t>Total maintenance revenue</w:t>
            </w:r>
          </w:p>
        </w:tc>
        <w:tc>
          <w:tcPr>
            <w:tcW w:w="16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63,667</w:t>
            </w:r>
          </w:p>
        </w:tc>
        <w:tc>
          <w:tcPr>
            <w:tcW w:w="2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66,422</w:t>
            </w:r>
          </w:p>
        </w:tc>
        <w:tc>
          <w:tcPr>
            <w:tcW w:w="6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9"/>
        </w:trPr>
        <w:tc>
          <w:tcPr>
            <w:tcW w:w="65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Professional services:</w:t>
            </w: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73"/>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Cloud and Edge</w:t>
            </w:r>
          </w:p>
        </w:tc>
        <w:tc>
          <w:tcPr>
            <w:tcW w:w="1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23,021</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24,962</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IP Optical Networks</w:t>
            </w:r>
          </w:p>
        </w:tc>
        <w:tc>
          <w:tcPr>
            <w:tcW w:w="16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7,804</w:t>
            </w:r>
          </w:p>
        </w:tc>
        <w:tc>
          <w:tcPr>
            <w:tcW w:w="2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7,904</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654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Total professional services revenue</w:t>
            </w:r>
          </w:p>
        </w:tc>
        <w:tc>
          <w:tcPr>
            <w:tcW w:w="16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30,825</w:t>
            </w:r>
          </w:p>
        </w:tc>
        <w:tc>
          <w:tcPr>
            <w:tcW w:w="2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32,866</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54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Total service revenue</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94,492</w:t>
            </w:r>
          </w:p>
        </w:tc>
        <w:tc>
          <w:tcPr>
            <w:tcW w:w="20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99,288</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5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Revenue Contract Balances</w:t>
      </w:r>
    </w:p>
    <w:p>
      <w:pPr>
        <w:spacing w:after="0" w:line="229" w:lineRule="exact"/>
        <w:rPr>
          <w:sz w:val="20"/>
          <w:szCs w:val="20"/>
          <w:color w:val="auto"/>
        </w:rPr>
      </w:pPr>
    </w:p>
    <w:p>
      <w:pPr>
        <w:ind w:left="60" w:right="79" w:firstLine="324"/>
        <w:spacing w:after="0" w:line="269" w:lineRule="auto"/>
        <w:rPr>
          <w:sz w:val="20"/>
          <w:szCs w:val="20"/>
          <w:color w:val="auto"/>
        </w:rPr>
      </w:pPr>
      <w:r>
        <w:rPr>
          <w:rFonts w:ascii="Times New Roman" w:cs="Times New Roman" w:eastAsia="Times New Roman" w:hAnsi="Times New Roman"/>
          <w:sz w:val="17"/>
          <w:szCs w:val="17"/>
          <w:color w:val="auto"/>
        </w:rPr>
        <w:t>The timing of revenue recognition, billings and cash collections results in billed accounts receivable, unbilled receivables, which are contract assets, and customer advances and deposits, which are contract liabilities, in the Company’s condensed consolidated balance sheets. Amounts are billed as work progresses in accordance with agreed-upon contractual terms, either at periodic intervals or upon achievement of contractual milestones. Billing may occur subsequent to revenue recognition, resulting in contract assets. The Company may receive advances or deposits from its customers before revenue is recognized, resulting in contract liabilities which are classified as deferred revenue. These assets and liabilities are reported in the Company’s condensed consolidated balance sheets on a contract-by-contract basis as of the end of each reporting period. Changes in the contract asset and liability balances during the three months ended March 31, 2026 were not materially impacted by any factors other than billing and revenue recognition. Nearly all of the Company’s deferred revenue balance is related to services revenue, primarily customer support contracts. Unbilled receivables stem primarily from engagements where services have been performed; however, billing cannot occur until services are completed.</w:t>
      </w:r>
    </w:p>
    <w:p>
      <w:pPr>
        <w:spacing w:after="0" w:line="182" w:lineRule="exact"/>
        <w:rPr>
          <w:sz w:val="20"/>
          <w:szCs w:val="20"/>
          <w:color w:val="auto"/>
        </w:rPr>
      </w:pPr>
    </w:p>
    <w:p>
      <w:pPr>
        <w:ind w:left="60" w:right="159" w:firstLine="324"/>
        <w:spacing w:after="0" w:line="258" w:lineRule="auto"/>
        <w:rPr>
          <w:sz w:val="20"/>
          <w:szCs w:val="20"/>
          <w:color w:val="auto"/>
        </w:rPr>
      </w:pPr>
      <w:r>
        <w:rPr>
          <w:rFonts w:ascii="Times New Roman" w:cs="Times New Roman" w:eastAsia="Times New Roman" w:hAnsi="Times New Roman"/>
          <w:sz w:val="18"/>
          <w:szCs w:val="18"/>
          <w:color w:val="auto"/>
        </w:rPr>
        <w:t>In some arrangements, the Company allows customers to pay for term-based software licenses and products over the term of the software license. The Company also sells SaaS-based software under subscription arrangements, with payment terms over the term of the SaaS agreement. Amounts recognized as revenue in excess of amounts billed are recorded as unbilled receivables. Unbilled receivables that are anticipated to be invoiced in the next twelve months are included in Accounts receivable on the Company’s condensed consolidated balance sheets.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25" w:name="page26"/>
    <w:bookmarkEnd w:id="25"/>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ind w:left="1500" w:right="1840"/>
        <w:spacing w:after="0" w:line="278" w:lineRule="auto"/>
        <w:rPr>
          <w:sz w:val="20"/>
          <w:szCs w:val="20"/>
          <w:color w:val="auto"/>
        </w:rPr>
      </w:pPr>
      <w:r>
        <w:rPr>
          <w:rFonts w:ascii="Times New Roman" w:cs="Times New Roman" w:eastAsia="Times New Roman" w:hAnsi="Times New Roman"/>
          <w:sz w:val="18"/>
          <w:szCs w:val="18"/>
          <w:b w:val="1"/>
          <w:bCs w:val="1"/>
          <w:color w:val="auto"/>
        </w:rPr>
        <w:t>RIBBON COMMUNICATIONS INC. Notes to Condensed Consolidated Financial Statements (Continued) (unaudited)</w:t>
      </w:r>
    </w:p>
    <w:p>
      <w:pPr>
        <w:spacing w:after="0" w:line="388" w:lineRule="exact"/>
        <w:rPr>
          <w:sz w:val="20"/>
          <w:szCs w:val="20"/>
          <w:color w:val="auto"/>
        </w:rPr>
      </w:pPr>
    </w:p>
    <w:p>
      <w:pPr>
        <w:ind w:left="60" w:right="279" w:firstLine="324"/>
        <w:spacing w:after="0" w:line="282" w:lineRule="auto"/>
        <w:rPr>
          <w:sz w:val="20"/>
          <w:szCs w:val="20"/>
          <w:color w:val="auto"/>
        </w:rPr>
      </w:pPr>
      <w:r>
        <w:rPr>
          <w:rFonts w:ascii="Times New Roman" w:cs="Times New Roman" w:eastAsia="Times New Roman" w:hAnsi="Times New Roman"/>
          <w:sz w:val="18"/>
          <w:szCs w:val="18"/>
          <w:color w:val="auto"/>
        </w:rPr>
        <w:t>The changes in the Company’s accounts receivable, unbilled receivables and deferred revenue balances for the three months ended March 31, 2026 were as follows (in thousands):</w:t>
      </w:r>
    </w:p>
    <w:p>
      <w:pPr>
        <w:spacing w:after="0" w:line="156"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5360" w:type="dxa"/>
            <w:vAlign w:val="bottom"/>
          </w:tcPr>
          <w:p>
            <w:pPr>
              <w:spacing w:after="0"/>
              <w:rPr>
                <w:sz w:val="13"/>
                <w:szCs w:val="13"/>
                <w:color w:val="auto"/>
              </w:rPr>
            </w:pPr>
          </w:p>
        </w:tc>
        <w:tc>
          <w:tcPr>
            <w:tcW w:w="820" w:type="dxa"/>
            <w:vAlign w:val="bottom"/>
            <w:gridSpan w:val="2"/>
            <w:vMerge w:val="restart"/>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rPr>
              <w:t>Accounts</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rPr>
              <w:t>Unbilled</w:t>
            </w:r>
          </w:p>
        </w:tc>
        <w:tc>
          <w:tcPr>
            <w:tcW w:w="120" w:type="dxa"/>
            <w:vAlign w:val="bottom"/>
          </w:tcPr>
          <w:p>
            <w:pPr>
              <w:spacing w:after="0"/>
              <w:rPr>
                <w:sz w:val="13"/>
                <w:szCs w:val="13"/>
                <w:color w:val="auto"/>
              </w:rPr>
            </w:pP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rPr>
              <w:t>Deferred</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60" w:type="dxa"/>
            <w:vAlign w:val="bottom"/>
          </w:tcPr>
          <w:p>
            <w:pPr>
              <w:jc w:val="right"/>
              <w:ind w:right="17"/>
              <w:spacing w:after="0"/>
              <w:rPr>
                <w:sz w:val="20"/>
                <w:szCs w:val="20"/>
                <w:color w:val="auto"/>
              </w:rPr>
            </w:pPr>
            <w:r>
              <w:rPr>
                <w:rFonts w:ascii="Times New Roman" w:cs="Times New Roman" w:eastAsia="Times New Roman" w:hAnsi="Times New Roman"/>
                <w:sz w:val="14"/>
                <w:szCs w:val="14"/>
                <w:b w:val="1"/>
                <w:bCs w:val="1"/>
                <w:color w:val="auto"/>
              </w:rPr>
              <w:t>Deferred</w:t>
            </w:r>
          </w:p>
        </w:tc>
        <w:tc>
          <w:tcPr>
            <w:tcW w:w="0" w:type="dxa"/>
            <w:vAlign w:val="bottom"/>
          </w:tcPr>
          <w:p>
            <w:pPr>
              <w:spacing w:after="0"/>
              <w:rPr>
                <w:sz w:val="1"/>
                <w:szCs w:val="1"/>
                <w:color w:val="auto"/>
              </w:rPr>
            </w:pPr>
          </w:p>
        </w:tc>
      </w:tr>
      <w:tr>
        <w:trPr>
          <w:trHeight w:val="148"/>
        </w:trPr>
        <w:tc>
          <w:tcPr>
            <w:tcW w:w="5360" w:type="dxa"/>
            <w:vAlign w:val="bottom"/>
          </w:tcPr>
          <w:p>
            <w:pPr>
              <w:spacing w:after="0"/>
              <w:rPr>
                <w:sz w:val="12"/>
                <w:szCs w:val="12"/>
                <w:color w:val="auto"/>
              </w:rPr>
            </w:pPr>
          </w:p>
        </w:tc>
        <w:tc>
          <w:tcPr>
            <w:tcW w:w="82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gridSpan w:val="2"/>
          </w:tcPr>
          <w:p>
            <w:pPr>
              <w:jc w:val="right"/>
              <w:ind w:right="140"/>
              <w:spacing w:after="0" w:line="149" w:lineRule="exact"/>
              <w:rPr>
                <w:sz w:val="20"/>
                <w:szCs w:val="20"/>
                <w:color w:val="auto"/>
              </w:rPr>
            </w:pPr>
            <w:r>
              <w:rPr>
                <w:rFonts w:ascii="Times New Roman" w:cs="Times New Roman" w:eastAsia="Times New Roman" w:hAnsi="Times New Roman"/>
                <w:sz w:val="14"/>
                <w:szCs w:val="14"/>
                <w:b w:val="1"/>
                <w:bCs w:val="1"/>
                <w:color w:val="auto"/>
              </w:rPr>
              <w:t>accounts</w:t>
            </w:r>
          </w:p>
        </w:tc>
        <w:tc>
          <w:tcPr>
            <w:tcW w:w="120" w:type="dxa"/>
            <w:vAlign w:val="bottom"/>
          </w:tcPr>
          <w:p>
            <w:pPr>
              <w:spacing w:after="0"/>
              <w:rPr>
                <w:sz w:val="12"/>
                <w:szCs w:val="12"/>
                <w:color w:val="auto"/>
              </w:rPr>
            </w:pPr>
          </w:p>
        </w:tc>
        <w:tc>
          <w:tcPr>
            <w:tcW w:w="820" w:type="dxa"/>
            <w:vAlign w:val="bottom"/>
            <w:gridSpan w:val="2"/>
          </w:tcPr>
          <w:p>
            <w:pPr>
              <w:jc w:val="right"/>
              <w:ind w:right="180"/>
              <w:spacing w:after="0" w:line="149" w:lineRule="exact"/>
              <w:rPr>
                <w:sz w:val="20"/>
                <w:szCs w:val="20"/>
                <w:color w:val="auto"/>
              </w:rPr>
            </w:pPr>
            <w:r>
              <w:rPr>
                <w:rFonts w:ascii="Times New Roman" w:cs="Times New Roman" w:eastAsia="Times New Roman" w:hAnsi="Times New Roman"/>
                <w:sz w:val="14"/>
                <w:szCs w:val="14"/>
                <w:b w:val="1"/>
                <w:bCs w:val="1"/>
                <w:color w:val="auto"/>
              </w:rPr>
              <w:t>revenue</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jc w:val="right"/>
              <w:ind w:right="57"/>
              <w:spacing w:after="0" w:line="149" w:lineRule="exact"/>
              <w:rPr>
                <w:sz w:val="20"/>
                <w:szCs w:val="20"/>
                <w:color w:val="auto"/>
              </w:rPr>
            </w:pPr>
            <w:r>
              <w:rPr>
                <w:rFonts w:ascii="Times New Roman" w:cs="Times New Roman" w:eastAsia="Times New Roman" w:hAnsi="Times New Roman"/>
                <w:sz w:val="14"/>
                <w:szCs w:val="14"/>
                <w:b w:val="1"/>
                <w:bCs w:val="1"/>
                <w:color w:val="auto"/>
              </w:rPr>
              <w:t>revenue</w:t>
            </w:r>
          </w:p>
        </w:tc>
        <w:tc>
          <w:tcPr>
            <w:tcW w:w="0" w:type="dxa"/>
            <w:vAlign w:val="bottom"/>
          </w:tcPr>
          <w:p>
            <w:pPr>
              <w:spacing w:after="0"/>
              <w:rPr>
                <w:sz w:val="1"/>
                <w:szCs w:val="1"/>
                <w:color w:val="auto"/>
              </w:rPr>
            </w:pPr>
          </w:p>
        </w:tc>
      </w:tr>
      <w:tr>
        <w:trPr>
          <w:trHeight w:val="173"/>
        </w:trPr>
        <w:tc>
          <w:tcPr>
            <w:tcW w:w="5360" w:type="dxa"/>
            <w:vAlign w:val="bottom"/>
          </w:tcPr>
          <w:p>
            <w:pPr>
              <w:spacing w:after="0"/>
              <w:rPr>
                <w:sz w:val="15"/>
                <w:szCs w:val="15"/>
                <w:color w:val="auto"/>
              </w:rPr>
            </w:pPr>
          </w:p>
        </w:tc>
        <w:tc>
          <w:tcPr>
            <w:tcW w:w="820" w:type="dxa"/>
            <w:vAlign w:val="bottom"/>
            <w:gridSpan w:val="2"/>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rPr>
              <w:t>receivable</w:t>
            </w:r>
          </w:p>
        </w:tc>
        <w:tc>
          <w:tcPr>
            <w:tcW w:w="900" w:type="dxa"/>
            <w:vAlign w:val="bottom"/>
            <w:gridSpan w:val="4"/>
          </w:tcPr>
          <w:p>
            <w:pPr>
              <w:jc w:val="right"/>
              <w:ind w:right="100"/>
              <w:spacing w:after="0"/>
              <w:rPr>
                <w:sz w:val="20"/>
                <w:szCs w:val="20"/>
                <w:color w:val="auto"/>
              </w:rPr>
            </w:pP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b w:val="1"/>
                <w:bCs w:val="1"/>
                <w:color w:val="auto"/>
              </w:rPr>
              <w:t>receivable</w:t>
            </w:r>
          </w:p>
        </w:tc>
        <w:tc>
          <w:tcPr>
            <w:tcW w:w="940" w:type="dxa"/>
            <w:vAlign w:val="bottom"/>
            <w:gridSpan w:val="3"/>
          </w:tcPr>
          <w:p>
            <w:pPr>
              <w:jc w:val="right"/>
              <w:ind w:right="160"/>
              <w:spacing w:after="0"/>
              <w:rPr>
                <w:sz w:val="20"/>
                <w:szCs w:val="20"/>
                <w:color w:val="auto"/>
              </w:rPr>
            </w:pP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b w:val="1"/>
                <w:bCs w:val="1"/>
                <w:color w:val="auto"/>
              </w:rPr>
              <w:t>(current)</w:t>
            </w:r>
          </w:p>
        </w:tc>
        <w:tc>
          <w:tcPr>
            <w:tcW w:w="88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(long-term)</w:t>
            </w:r>
          </w:p>
        </w:tc>
        <w:tc>
          <w:tcPr>
            <w:tcW w:w="0" w:type="dxa"/>
            <w:vAlign w:val="bottom"/>
          </w:tcPr>
          <w:p>
            <w:pPr>
              <w:spacing w:after="0"/>
              <w:rPr>
                <w:sz w:val="1"/>
                <w:szCs w:val="1"/>
                <w:color w:val="auto"/>
              </w:rPr>
            </w:pPr>
          </w:p>
        </w:tc>
      </w:tr>
      <w:tr>
        <w:trPr>
          <w:trHeight w:val="209"/>
        </w:trPr>
        <w:tc>
          <w:tcPr>
            <w:tcW w:w="53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January 1, 2026</w:t>
            </w: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$ 161,007</w:t>
            </w:r>
          </w:p>
        </w:tc>
        <w:tc>
          <w:tcPr>
            <w:tcW w:w="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70,878</w:t>
            </w:r>
          </w:p>
        </w:tc>
        <w:tc>
          <w:tcPr>
            <w:tcW w:w="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$ 124,425</w:t>
            </w:r>
          </w:p>
        </w:tc>
        <w:tc>
          <w:tcPr>
            <w:tcW w:w="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31,654</w:t>
            </w:r>
          </w:p>
        </w:tc>
        <w:tc>
          <w:tcPr>
            <w:tcW w:w="0" w:type="dxa"/>
            <w:vAlign w:val="bottom"/>
          </w:tcPr>
          <w:p>
            <w:pPr>
              <w:spacing w:after="0"/>
              <w:rPr>
                <w:sz w:val="1"/>
                <w:szCs w:val="1"/>
                <w:color w:val="auto"/>
              </w:rPr>
            </w:pPr>
          </w:p>
        </w:tc>
      </w:tr>
      <w:tr>
        <w:trPr>
          <w:trHeight w:val="216"/>
        </w:trPr>
        <w:tc>
          <w:tcPr>
            <w:tcW w:w="5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Increase (decrease), net</w:t>
            </w:r>
          </w:p>
        </w:tc>
        <w:tc>
          <w:tcPr>
            <w:tcW w:w="8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(19,051)</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(8,776)</w:t>
            </w:r>
          </w:p>
        </w:tc>
        <w:tc>
          <w:tcPr>
            <w:tcW w:w="94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(1,806)</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769</w:t>
            </w:r>
          </w:p>
        </w:tc>
        <w:tc>
          <w:tcPr>
            <w:tcW w:w="0" w:type="dxa"/>
            <w:vAlign w:val="bottom"/>
          </w:tcPr>
          <w:p>
            <w:pPr>
              <w:spacing w:after="0"/>
              <w:rPr>
                <w:sz w:val="1"/>
                <w:szCs w:val="1"/>
                <w:color w:val="auto"/>
              </w:rPr>
            </w:pPr>
          </w:p>
        </w:tc>
      </w:tr>
      <w:tr>
        <w:trPr>
          <w:trHeight w:val="210"/>
        </w:trPr>
        <w:tc>
          <w:tcPr>
            <w:tcW w:w="53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March 31, 2026</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$ 141,956</w:t>
            </w:r>
          </w:p>
        </w:tc>
        <w:tc>
          <w:tcPr>
            <w:tcW w:w="4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62,102</w:t>
            </w:r>
          </w:p>
        </w:tc>
        <w:tc>
          <w:tcPr>
            <w:tcW w:w="4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$ 122,619</w:t>
            </w:r>
          </w:p>
        </w:tc>
        <w:tc>
          <w:tcPr>
            <w:tcW w:w="4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32,423</w:t>
            </w:r>
          </w:p>
        </w:tc>
        <w:tc>
          <w:tcPr>
            <w:tcW w:w="0" w:type="dxa"/>
            <w:vAlign w:val="bottom"/>
          </w:tcPr>
          <w:p>
            <w:pPr>
              <w:spacing w:after="0"/>
              <w:rPr>
                <w:sz w:val="1"/>
                <w:szCs w:val="1"/>
                <w:color w:val="auto"/>
              </w:rPr>
            </w:pPr>
          </w:p>
        </w:tc>
      </w:tr>
      <w:tr>
        <w:trPr>
          <w:trHeight w:val="20"/>
        </w:trPr>
        <w:tc>
          <w:tcPr>
            <w:tcW w:w="536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left="60" w:right="119" w:firstLine="324"/>
        <w:spacing w:after="0" w:line="256" w:lineRule="auto"/>
        <w:rPr>
          <w:sz w:val="20"/>
          <w:szCs w:val="20"/>
          <w:color w:val="auto"/>
        </w:rPr>
      </w:pPr>
      <w:r>
        <w:rPr>
          <w:rFonts w:ascii="Times New Roman" w:cs="Times New Roman" w:eastAsia="Times New Roman" w:hAnsi="Times New Roman"/>
          <w:sz w:val="18"/>
          <w:szCs w:val="18"/>
          <w:color w:val="auto"/>
        </w:rPr>
        <w:t>The Company recognized approximately $43 million of revenue in the three months ended March 31, 2026 that was recorded as deferred revenue at December 31, 2025 and approximately $51 million of revenue in the three months ended March 31, 2025 that was recorded as deferred revenue at December 31, 2024. Of the Company’s deferred revenue reported as long-term in its condensed consolidated balance sheet at March 31, 2026, the Company expects that approximately $12 million will be recognized as revenue in 2027, approximately $9 million will be recognized as revenue in 2028 and approximately $11 million will be recognized as revenue in 2029 and beyond.</w:t>
      </w:r>
    </w:p>
    <w:p>
      <w:pPr>
        <w:spacing w:after="0" w:line="187" w:lineRule="exact"/>
        <w:rPr>
          <w:sz w:val="20"/>
          <w:szCs w:val="20"/>
          <w:color w:val="auto"/>
        </w:rPr>
      </w:pPr>
    </w:p>
    <w:p>
      <w:pPr>
        <w:ind w:left="60" w:right="139" w:firstLine="324"/>
        <w:spacing w:after="0" w:line="256" w:lineRule="auto"/>
        <w:rPr>
          <w:sz w:val="20"/>
          <w:szCs w:val="20"/>
          <w:color w:val="auto"/>
        </w:rPr>
      </w:pPr>
      <w:r>
        <w:rPr>
          <w:rFonts w:ascii="Times New Roman" w:cs="Times New Roman" w:eastAsia="Times New Roman" w:hAnsi="Times New Roman"/>
          <w:sz w:val="18"/>
          <w:szCs w:val="18"/>
          <w:color w:val="auto"/>
        </w:rPr>
        <w:t>The Company applies the optional exemption of not disclosing the transaction price allocated to the remaining performance obligation for its contracts with an original duration of less than one year. In 2024, the Company entered into a contract with an existing customer that has revenue allocated to remaining performance obligations, which includes unearned revenue and amounts that will be invoiced and recognized as revenue in future periods of approximately $163 million and $171 million as of March 31, 2026 and December 31, 2025, respectively. At this time, the Company expects to recognize the majority of the revenue related to this contract in the years 2026 through 2028.</w:t>
      </w:r>
    </w:p>
    <w:p>
      <w:pPr>
        <w:spacing w:after="0" w:line="187" w:lineRule="exact"/>
        <w:rPr>
          <w:sz w:val="20"/>
          <w:szCs w:val="20"/>
          <w:color w:val="auto"/>
        </w:rPr>
      </w:pPr>
    </w:p>
    <w:p>
      <w:pPr>
        <w:ind w:left="60" w:right="139" w:firstLine="324"/>
        <w:spacing w:after="0" w:line="266" w:lineRule="auto"/>
        <w:rPr>
          <w:sz w:val="20"/>
          <w:szCs w:val="20"/>
          <w:color w:val="auto"/>
        </w:rPr>
      </w:pPr>
      <w:r>
        <w:rPr>
          <w:rFonts w:ascii="Times New Roman" w:cs="Times New Roman" w:eastAsia="Times New Roman" w:hAnsi="Times New Roman"/>
          <w:sz w:val="18"/>
          <w:szCs w:val="18"/>
          <w:color w:val="auto"/>
        </w:rPr>
        <w:t>All freight-related customer invoicing is recorded as revenue, while the shipping and handling costs that occur after control of the promised goods or services transfer to the customer are reported as fulfillment costs, a component of Cost of revenue - product in the Company’s condensed consolidated statements of operations.</w:t>
      </w:r>
    </w:p>
    <w:p>
      <w:pPr>
        <w:spacing w:after="0" w:line="1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Deferred Commissions Cost</w:t>
      </w:r>
    </w:p>
    <w:p>
      <w:pPr>
        <w:spacing w:after="0" w:line="229" w:lineRule="exact"/>
        <w:rPr>
          <w:sz w:val="20"/>
          <w:szCs w:val="20"/>
          <w:color w:val="auto"/>
        </w:rPr>
      </w:pPr>
    </w:p>
    <w:p>
      <w:pPr>
        <w:ind w:left="60" w:right="99" w:firstLine="324"/>
        <w:spacing w:after="0" w:line="261" w:lineRule="auto"/>
        <w:rPr>
          <w:sz w:val="20"/>
          <w:szCs w:val="20"/>
          <w:color w:val="auto"/>
        </w:rPr>
      </w:pPr>
      <w:r>
        <w:rPr>
          <w:rFonts w:ascii="Times New Roman" w:cs="Times New Roman" w:eastAsia="Times New Roman" w:hAnsi="Times New Roman"/>
          <w:sz w:val="18"/>
          <w:szCs w:val="18"/>
          <w:color w:val="auto"/>
        </w:rPr>
        <w:t>Sales commissions earned by the Company’s employees are considered incremental and recoverable costs of obtaining a contract with a customer. These costs have been deferred on our condensed consolidated balance sheet and are being amortized over the expected life of the customer contract, which is generally five years. At March 31, 2026 and December 31, 2025, the Company had $2.1 million of deferred sales commissions capitalized.</w:t>
      </w:r>
    </w:p>
    <w:p>
      <w:pPr>
        <w:spacing w:after="0" w:line="17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(13) OPERATING SEGMENT INFORMATION</w:t>
      </w:r>
    </w:p>
    <w:p>
      <w:pPr>
        <w:spacing w:after="0" w:line="229" w:lineRule="exact"/>
        <w:rPr>
          <w:sz w:val="20"/>
          <w:szCs w:val="20"/>
          <w:color w:val="auto"/>
        </w:rPr>
      </w:pPr>
    </w:p>
    <w:p>
      <w:pPr>
        <w:ind w:left="60" w:right="179" w:firstLine="324"/>
        <w:spacing w:after="0" w:line="266" w:lineRule="auto"/>
        <w:rPr>
          <w:sz w:val="20"/>
          <w:szCs w:val="20"/>
          <w:color w:val="auto"/>
        </w:rPr>
      </w:pPr>
      <w:r>
        <w:rPr>
          <w:rFonts w:ascii="Times New Roman" w:cs="Times New Roman" w:eastAsia="Times New Roman" w:hAnsi="Times New Roman"/>
          <w:sz w:val="18"/>
          <w:szCs w:val="18"/>
          <w:color w:val="auto"/>
        </w:rPr>
        <w:t>The Company has two operating and reportable segments, Cloud and Edge and IP Optical Networks, that align with the way the business is managed. The Company’s CODM, its President and Chief Executive Officer, makes key operating decisions and assesses performance based upon these reportable segments.</w:t>
      </w:r>
    </w:p>
    <w:p>
      <w:pPr>
        <w:spacing w:after="0" w:line="216" w:lineRule="exact"/>
        <w:rPr>
          <w:sz w:val="20"/>
          <w:szCs w:val="20"/>
          <w:color w:val="auto"/>
        </w:rPr>
      </w:pPr>
    </w:p>
    <w:p>
      <w:pPr>
        <w:ind w:left="60" w:right="179" w:firstLine="324"/>
        <w:spacing w:after="0" w:line="255" w:lineRule="auto"/>
        <w:rPr>
          <w:sz w:val="20"/>
          <w:szCs w:val="20"/>
          <w:color w:val="auto"/>
        </w:rPr>
      </w:pPr>
      <w:r>
        <w:rPr>
          <w:rFonts w:ascii="Times New Roman" w:cs="Times New Roman" w:eastAsia="Times New Roman" w:hAnsi="Times New Roman"/>
          <w:sz w:val="18"/>
          <w:szCs w:val="18"/>
          <w:color w:val="auto"/>
        </w:rPr>
        <w:t>The Cloud and Edge segment provides secure and reliable software and hardware products, solutions and services for enabling Voice over Internet Protocol ("VoIP") communications, Voice over Long-Term Evolution ("VoLTE") and Voice Over 5G ("VoNR") communications, and Unified Communications and Collaboration ("UC&amp;C") within service provider and enterprise networks and from the cloud. The Cloud and Edge products are increasingly software-centric and cloud-native for deployment on private, public or hybrid cloud infrastructures, in data centers, on enterprise premises and within service provider networks. Ribbon's Cloud and Edge product portfolio consists primarily of its Session Border Controller ("SBC") products and its Network Transformation products.</w:t>
      </w:r>
    </w:p>
    <w:p>
      <w:pPr>
        <w:spacing w:after="0" w:line="18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The IP Optical Networks segment provides high-performance, secure solutions for IP networking and optical</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26" w:name="page27"/>
    <w:bookmarkEnd w:id="26"/>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ind w:left="1560" w:right="1780"/>
        <w:spacing w:after="0" w:line="278" w:lineRule="auto"/>
        <w:rPr>
          <w:sz w:val="20"/>
          <w:szCs w:val="20"/>
          <w:color w:val="auto"/>
        </w:rPr>
      </w:pPr>
      <w:r>
        <w:rPr>
          <w:rFonts w:ascii="Times New Roman" w:cs="Times New Roman" w:eastAsia="Times New Roman" w:hAnsi="Times New Roman"/>
          <w:sz w:val="18"/>
          <w:szCs w:val="18"/>
          <w:b w:val="1"/>
          <w:bCs w:val="1"/>
          <w:color w:val="auto"/>
        </w:rPr>
        <w:t>RIBBON COMMUNICATIONS INC. Notes to Condensed Consolidated Financial Statements (Continued) (unaudited)</w:t>
      </w:r>
    </w:p>
    <w:p>
      <w:pPr>
        <w:spacing w:after="0" w:line="388" w:lineRule="exact"/>
        <w:rPr>
          <w:sz w:val="20"/>
          <w:szCs w:val="20"/>
          <w:color w:val="auto"/>
        </w:rPr>
      </w:pPr>
    </w:p>
    <w:p>
      <w:pPr>
        <w:ind w:left="60" w:right="359"/>
        <w:spacing w:after="0" w:line="261" w:lineRule="auto"/>
        <w:rPr>
          <w:sz w:val="20"/>
          <w:szCs w:val="20"/>
          <w:color w:val="auto"/>
        </w:rPr>
      </w:pPr>
      <w:r>
        <w:rPr>
          <w:rFonts w:ascii="Times New Roman" w:cs="Times New Roman" w:eastAsia="Times New Roman" w:hAnsi="Times New Roman"/>
          <w:sz w:val="18"/>
          <w:szCs w:val="18"/>
          <w:color w:val="auto"/>
        </w:rPr>
        <w:t>transport, supporting wireless networks including 5G, metro and edge aggregation, core networking, data center interconnect, legacy transformation and transport solutions for wholesale carriers. This portfolio is offered to service provider, enterprise and industry verticals with critical transport network infrastructures including utilities, government, defense, transportation, and education and research.</w:t>
      </w:r>
    </w:p>
    <w:p>
      <w:pPr>
        <w:spacing w:after="0" w:line="180" w:lineRule="exact"/>
        <w:rPr>
          <w:sz w:val="20"/>
          <w:szCs w:val="20"/>
          <w:color w:val="auto"/>
        </w:rPr>
      </w:pPr>
    </w:p>
    <w:p>
      <w:pPr>
        <w:ind w:left="60" w:right="299" w:firstLine="324"/>
        <w:spacing w:after="0" w:line="261" w:lineRule="auto"/>
        <w:rPr>
          <w:sz w:val="20"/>
          <w:szCs w:val="20"/>
          <w:color w:val="auto"/>
        </w:rPr>
      </w:pPr>
      <w:r>
        <w:rPr>
          <w:rFonts w:ascii="Times New Roman" w:cs="Times New Roman" w:eastAsia="Times New Roman" w:hAnsi="Times New Roman"/>
          <w:sz w:val="18"/>
          <w:szCs w:val="18"/>
          <w:color w:val="auto"/>
        </w:rPr>
        <w:t>The Company does not provide segment asset information as such information is not provided to the CODM and accordingly, asset information is not used in assessing segment performance. Segment revenue and expenses included in the tables below represent direct revenue and expense attributable to each segment. Please see Note 4 for information regarding the allocation of goodwill between segments.</w:t>
      </w:r>
    </w:p>
    <w:p>
      <w:pPr>
        <w:spacing w:after="0" w:line="180" w:lineRule="exact"/>
        <w:rPr>
          <w:sz w:val="20"/>
          <w:szCs w:val="20"/>
          <w:color w:val="auto"/>
        </w:rPr>
      </w:pPr>
    </w:p>
    <w:p>
      <w:pPr>
        <w:ind w:left="60" w:right="139" w:firstLine="324"/>
        <w:spacing w:after="0" w:line="255" w:lineRule="auto"/>
        <w:rPr>
          <w:sz w:val="20"/>
          <w:szCs w:val="20"/>
          <w:color w:val="auto"/>
        </w:rPr>
      </w:pPr>
      <w:r>
        <w:rPr>
          <w:rFonts w:ascii="Times New Roman" w:cs="Times New Roman" w:eastAsia="Times New Roman" w:hAnsi="Times New Roman"/>
          <w:sz w:val="18"/>
          <w:szCs w:val="18"/>
          <w:color w:val="auto"/>
        </w:rPr>
        <w:t>The CODM utilizes adjusted gross profit to evaluate each segment's performance. The Company calculates adjusted gross profit by excluding from cost of revenue both amortization of acquired technology and stock-based compensation and may also exclude other items in future periods that the Company believes are not part of the Company's core business. The Company uses adjusted gross profit to develop its annual budget and quarterly forecasts. The CODM analyzes adjusted gross profit compared to the annual budget and quarterly forecasts to allocate resources. Ribbon’s calculation of adjusted gross profit may not be comparable to similarly titled measures used by other companies. See below for a reconciliation of segment adjusted gross profit to gross profit and loss before income taxes.</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27" w:name="page28"/>
    <w:bookmarkEnd w:id="27"/>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ind w:left="1500" w:right="1840"/>
        <w:spacing w:after="0" w:line="278" w:lineRule="auto"/>
        <w:rPr>
          <w:sz w:val="20"/>
          <w:szCs w:val="20"/>
          <w:color w:val="auto"/>
        </w:rPr>
      </w:pPr>
      <w:r>
        <w:rPr>
          <w:rFonts w:ascii="Times New Roman" w:cs="Times New Roman" w:eastAsia="Times New Roman" w:hAnsi="Times New Roman"/>
          <w:sz w:val="18"/>
          <w:szCs w:val="18"/>
          <w:b w:val="1"/>
          <w:bCs w:val="1"/>
          <w:color w:val="auto"/>
        </w:rPr>
        <w:t>RIBBON COMMUNICATIONS INC. Notes to Condensed Consolidated Financial Statements (Continued) (unaudited)</w:t>
      </w:r>
    </w:p>
    <w:p>
      <w:pPr>
        <w:spacing w:after="0" w:line="38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The tables below present significant segment expenses regularly reviewed by the CODM for the three months ended</w:t>
      </w:r>
    </w:p>
    <w:p>
      <w:pPr>
        <w:spacing w:after="0" w:line="2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March 31, 2026 and 2025 (in thousands):</w:t>
      </w:r>
    </w:p>
    <w:p>
      <w:pPr>
        <w:spacing w:after="0" w:line="214"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64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320" w:type="dxa"/>
            <w:vAlign w:val="bottom"/>
            <w:gridSpan w:val="7"/>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0" w:type="dxa"/>
            <w:vAlign w:val="bottom"/>
          </w:tcPr>
          <w:p>
            <w:pPr>
              <w:spacing w:after="0"/>
              <w:rPr>
                <w:sz w:val="1"/>
                <w:szCs w:val="1"/>
                <w:color w:val="auto"/>
              </w:rPr>
            </w:pPr>
          </w:p>
        </w:tc>
      </w:tr>
      <w:tr>
        <w:trPr>
          <w:trHeight w:val="117"/>
        </w:trPr>
        <w:tc>
          <w:tcPr>
            <w:tcW w:w="6440" w:type="dxa"/>
            <w:vAlign w:val="bottom"/>
          </w:tcPr>
          <w:p>
            <w:pPr>
              <w:spacing w:after="0"/>
              <w:rPr>
                <w:sz w:val="10"/>
                <w:szCs w:val="10"/>
                <w:color w:val="auto"/>
              </w:rPr>
            </w:pPr>
          </w:p>
        </w:tc>
        <w:tc>
          <w:tcPr>
            <w:tcW w:w="20" w:type="dxa"/>
            <w:vAlign w:val="bottom"/>
            <w:tcBorders>
              <w:top w:val="single" w:sz="8" w:color="auto"/>
            </w:tcBorders>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960" w:type="dxa"/>
            <w:vAlign w:val="bottom"/>
            <w:tcBorders>
              <w:top w:val="single" w:sz="8" w:color="auto"/>
            </w:tcBorders>
            <w:gridSpan w:val="2"/>
          </w:tcPr>
          <w:p>
            <w:pPr>
              <w:jc w:val="center"/>
              <w:ind w:right="220"/>
              <w:spacing w:after="0" w:line="118" w:lineRule="exact"/>
              <w:rPr>
                <w:sz w:val="20"/>
                <w:szCs w:val="20"/>
                <w:color w:val="auto"/>
              </w:rPr>
            </w:pPr>
            <w:r>
              <w:rPr>
                <w:rFonts w:ascii="Times New Roman" w:cs="Times New Roman" w:eastAsia="Times New Roman" w:hAnsi="Times New Roman"/>
                <w:sz w:val="13"/>
                <w:szCs w:val="13"/>
                <w:b w:val="1"/>
                <w:bCs w:val="1"/>
                <w:color w:val="auto"/>
              </w:rPr>
              <w:t>March 31,</w:t>
            </w:r>
          </w:p>
        </w:tc>
        <w:tc>
          <w:tcPr>
            <w:tcW w:w="400" w:type="dxa"/>
            <w:vAlign w:val="bottom"/>
            <w:tcBorders>
              <w:top w:val="single" w:sz="8" w:color="auto"/>
            </w:tcBorders>
            <w:gridSpan w:val="3"/>
            <w:vMerge w:val="restart"/>
          </w:tcPr>
          <w:p>
            <w:pPr>
              <w:jc w:val="center"/>
              <w:ind w:right="90"/>
              <w:spacing w:after="0"/>
              <w:rPr>
                <w:sz w:val="20"/>
                <w:szCs w:val="20"/>
                <w:color w:val="auto"/>
              </w:rPr>
            </w:pPr>
            <w:r>
              <w:rPr>
                <w:rFonts w:ascii="Times New Roman" w:cs="Times New Roman" w:eastAsia="Times New Roman" w:hAnsi="Times New Roman"/>
                <w:sz w:val="14"/>
                <w:szCs w:val="14"/>
                <w:b w:val="1"/>
                <w:bCs w:val="1"/>
                <w:color w:val="auto"/>
              </w:rPr>
              <w:t>​​​</w:t>
            </w:r>
          </w:p>
        </w:tc>
        <w:tc>
          <w:tcPr>
            <w:tcW w:w="940" w:type="dxa"/>
            <w:vAlign w:val="bottom"/>
            <w:tcBorders>
              <w:top w:val="single" w:sz="8" w:color="auto"/>
            </w:tcBorders>
          </w:tcPr>
          <w:p>
            <w:pPr>
              <w:jc w:val="center"/>
              <w:ind w:right="115"/>
              <w:spacing w:after="0" w:line="118" w:lineRule="exact"/>
              <w:rPr>
                <w:sz w:val="20"/>
                <w:szCs w:val="20"/>
                <w:color w:val="auto"/>
              </w:rPr>
            </w:pPr>
            <w:r>
              <w:rPr>
                <w:rFonts w:ascii="Times New Roman" w:cs="Times New Roman" w:eastAsia="Times New Roman" w:hAnsi="Times New Roman"/>
                <w:sz w:val="13"/>
                <w:szCs w:val="13"/>
                <w:b w:val="1"/>
                <w:bCs w:val="1"/>
                <w:color w:val="auto"/>
              </w:rPr>
              <w:t>March 31,</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3"/>
        </w:trPr>
        <w:tc>
          <w:tcPr>
            <w:tcW w:w="64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40" w:type="dxa"/>
            <w:vAlign w:val="bottom"/>
          </w:tcPr>
          <w:p>
            <w:pPr>
              <w:jc w:val="center"/>
              <w:ind w:right="76"/>
              <w:spacing w:after="0"/>
              <w:rPr>
                <w:sz w:val="20"/>
                <w:szCs w:val="20"/>
                <w:color w:val="auto"/>
              </w:rPr>
            </w:pPr>
            <w:r>
              <w:rPr>
                <w:rFonts w:ascii="Times New Roman" w:cs="Times New Roman" w:eastAsia="Times New Roman" w:hAnsi="Times New Roman"/>
                <w:sz w:val="14"/>
                <w:szCs w:val="14"/>
                <w:b w:val="1"/>
                <w:bCs w:val="1"/>
                <w:color w:val="auto"/>
              </w:rPr>
              <w:t>2026</w:t>
            </w:r>
          </w:p>
        </w:tc>
        <w:tc>
          <w:tcPr>
            <w:tcW w:w="20" w:type="dxa"/>
            <w:vAlign w:val="bottom"/>
          </w:tcPr>
          <w:p>
            <w:pPr>
              <w:spacing w:after="0"/>
              <w:rPr>
                <w:sz w:val="15"/>
                <w:szCs w:val="15"/>
                <w:color w:val="auto"/>
              </w:rPr>
            </w:pPr>
          </w:p>
        </w:tc>
        <w:tc>
          <w:tcPr>
            <w:tcW w:w="400" w:type="dxa"/>
            <w:vAlign w:val="bottom"/>
            <w:gridSpan w:val="3"/>
            <w:vMerge w:val="continue"/>
          </w:tcPr>
          <w:p>
            <w:pPr>
              <w:spacing w:after="0"/>
              <w:rPr>
                <w:sz w:val="15"/>
                <w:szCs w:val="15"/>
                <w:color w:val="auto"/>
              </w:rPr>
            </w:pPr>
          </w:p>
        </w:tc>
        <w:tc>
          <w:tcPr>
            <w:tcW w:w="940" w:type="dxa"/>
            <w:vAlign w:val="bottom"/>
          </w:tcPr>
          <w:p>
            <w:pPr>
              <w:jc w:val="center"/>
              <w:ind w:right="75"/>
              <w:spacing w:after="0"/>
              <w:rPr>
                <w:sz w:val="20"/>
                <w:szCs w:val="20"/>
                <w:color w:val="auto"/>
              </w:rPr>
            </w:pPr>
            <w:r>
              <w:rPr>
                <w:rFonts w:ascii="Times New Roman" w:cs="Times New Roman" w:eastAsia="Times New Roman" w:hAnsi="Times New Roman"/>
                <w:sz w:val="14"/>
                <w:szCs w:val="14"/>
                <w:b w:val="1"/>
                <w:bCs w:val="1"/>
                <w:color w:val="auto"/>
              </w:rPr>
              <w:t>2025</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64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Segment revenue:</w:t>
            </w:r>
          </w:p>
        </w:tc>
        <w:tc>
          <w:tcPr>
            <w:tcW w:w="2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Cloud and Edge</w:t>
            </w:r>
          </w:p>
        </w:tc>
        <w:tc>
          <w:tcPr>
            <w:tcW w:w="16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99,512</w:t>
            </w:r>
          </w:p>
        </w:tc>
        <w:tc>
          <w:tcPr>
            <w:tcW w:w="20" w:type="dxa"/>
            <w:vAlign w:val="bottom"/>
          </w:tcPr>
          <w:p>
            <w:pPr>
              <w:spacing w:after="0"/>
              <w:rPr>
                <w:sz w:val="18"/>
                <w:szCs w:val="18"/>
                <w:color w:val="auto"/>
              </w:rPr>
            </w:pPr>
          </w:p>
        </w:tc>
        <w:tc>
          <w:tcPr>
            <w:tcW w:w="4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107,591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IP Optical Networks</w:t>
            </w:r>
          </w:p>
        </w:tc>
        <w:tc>
          <w:tcPr>
            <w:tcW w:w="20" w:type="dxa"/>
            <w:vAlign w:val="bottom"/>
            <w:tcBorders>
              <w:bottom w:val="single" w:sz="8" w:color="auto"/>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63,094</w:t>
            </w: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 w:type="dxa"/>
            <w:vAlign w:val="bottom"/>
            <w:tcBorders>
              <w:bottom w:val="single" w:sz="8" w:color="auto"/>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73,688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64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Revenue</w:t>
            </w:r>
          </w:p>
        </w:tc>
        <w:tc>
          <w:tcPr>
            <w:tcW w:w="16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162,606</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181,279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44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6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320" w:type="dxa"/>
            <w:vAlign w:val="bottom"/>
            <w:gridSpan w:val="7"/>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0" w:type="dxa"/>
            <w:vAlign w:val="bottom"/>
          </w:tcPr>
          <w:p>
            <w:pPr>
              <w:spacing w:after="0"/>
              <w:rPr>
                <w:sz w:val="1"/>
                <w:szCs w:val="1"/>
                <w:color w:val="auto"/>
              </w:rPr>
            </w:pPr>
          </w:p>
        </w:tc>
      </w:tr>
      <w:tr>
        <w:trPr>
          <w:trHeight w:val="117"/>
        </w:trPr>
        <w:tc>
          <w:tcPr>
            <w:tcW w:w="6440" w:type="dxa"/>
            <w:vAlign w:val="bottom"/>
          </w:tcPr>
          <w:p>
            <w:pPr>
              <w:spacing w:after="0"/>
              <w:rPr>
                <w:sz w:val="10"/>
                <w:szCs w:val="10"/>
                <w:color w:val="auto"/>
              </w:rPr>
            </w:pPr>
          </w:p>
        </w:tc>
        <w:tc>
          <w:tcPr>
            <w:tcW w:w="20" w:type="dxa"/>
            <w:vAlign w:val="bottom"/>
            <w:tcBorders>
              <w:top w:val="single" w:sz="8" w:color="auto"/>
            </w:tcBorders>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960" w:type="dxa"/>
            <w:vAlign w:val="bottom"/>
            <w:tcBorders>
              <w:top w:val="single" w:sz="8" w:color="auto"/>
            </w:tcBorders>
            <w:gridSpan w:val="2"/>
          </w:tcPr>
          <w:p>
            <w:pPr>
              <w:jc w:val="center"/>
              <w:ind w:right="220"/>
              <w:spacing w:after="0" w:line="118" w:lineRule="exact"/>
              <w:rPr>
                <w:sz w:val="20"/>
                <w:szCs w:val="20"/>
                <w:color w:val="auto"/>
              </w:rPr>
            </w:pPr>
            <w:r>
              <w:rPr>
                <w:rFonts w:ascii="Times New Roman" w:cs="Times New Roman" w:eastAsia="Times New Roman" w:hAnsi="Times New Roman"/>
                <w:sz w:val="13"/>
                <w:szCs w:val="13"/>
                <w:b w:val="1"/>
                <w:bCs w:val="1"/>
                <w:color w:val="auto"/>
              </w:rPr>
              <w:t>March 31,</w:t>
            </w:r>
          </w:p>
        </w:tc>
        <w:tc>
          <w:tcPr>
            <w:tcW w:w="400" w:type="dxa"/>
            <w:vAlign w:val="bottom"/>
            <w:tcBorders>
              <w:top w:val="single" w:sz="8" w:color="auto"/>
            </w:tcBorders>
            <w:gridSpan w:val="3"/>
            <w:vMerge w:val="restart"/>
          </w:tcPr>
          <w:p>
            <w:pPr>
              <w:jc w:val="center"/>
              <w:ind w:right="90"/>
              <w:spacing w:after="0"/>
              <w:rPr>
                <w:sz w:val="20"/>
                <w:szCs w:val="20"/>
                <w:color w:val="auto"/>
              </w:rPr>
            </w:pPr>
            <w:r>
              <w:rPr>
                <w:rFonts w:ascii="Times New Roman" w:cs="Times New Roman" w:eastAsia="Times New Roman" w:hAnsi="Times New Roman"/>
                <w:sz w:val="14"/>
                <w:szCs w:val="14"/>
                <w:b w:val="1"/>
                <w:bCs w:val="1"/>
                <w:color w:val="auto"/>
              </w:rPr>
              <w:t>​​​</w:t>
            </w:r>
          </w:p>
        </w:tc>
        <w:tc>
          <w:tcPr>
            <w:tcW w:w="940" w:type="dxa"/>
            <w:vAlign w:val="bottom"/>
            <w:tcBorders>
              <w:top w:val="single" w:sz="8" w:color="auto"/>
            </w:tcBorders>
          </w:tcPr>
          <w:p>
            <w:pPr>
              <w:jc w:val="center"/>
              <w:ind w:right="115"/>
              <w:spacing w:after="0" w:line="118" w:lineRule="exact"/>
              <w:rPr>
                <w:sz w:val="20"/>
                <w:szCs w:val="20"/>
                <w:color w:val="auto"/>
              </w:rPr>
            </w:pPr>
            <w:r>
              <w:rPr>
                <w:rFonts w:ascii="Times New Roman" w:cs="Times New Roman" w:eastAsia="Times New Roman" w:hAnsi="Times New Roman"/>
                <w:sz w:val="13"/>
                <w:szCs w:val="13"/>
                <w:b w:val="1"/>
                <w:bCs w:val="1"/>
                <w:color w:val="auto"/>
              </w:rPr>
              <w:t>March 31,</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3"/>
        </w:trPr>
        <w:tc>
          <w:tcPr>
            <w:tcW w:w="64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40" w:type="dxa"/>
            <w:vAlign w:val="bottom"/>
          </w:tcPr>
          <w:p>
            <w:pPr>
              <w:jc w:val="center"/>
              <w:ind w:right="76"/>
              <w:spacing w:after="0"/>
              <w:rPr>
                <w:sz w:val="20"/>
                <w:szCs w:val="20"/>
                <w:color w:val="auto"/>
              </w:rPr>
            </w:pPr>
            <w:r>
              <w:rPr>
                <w:rFonts w:ascii="Times New Roman" w:cs="Times New Roman" w:eastAsia="Times New Roman" w:hAnsi="Times New Roman"/>
                <w:sz w:val="14"/>
                <w:szCs w:val="14"/>
                <w:b w:val="1"/>
                <w:bCs w:val="1"/>
                <w:color w:val="auto"/>
              </w:rPr>
              <w:t>2026</w:t>
            </w:r>
          </w:p>
        </w:tc>
        <w:tc>
          <w:tcPr>
            <w:tcW w:w="20" w:type="dxa"/>
            <w:vAlign w:val="bottom"/>
          </w:tcPr>
          <w:p>
            <w:pPr>
              <w:spacing w:after="0"/>
              <w:rPr>
                <w:sz w:val="15"/>
                <w:szCs w:val="15"/>
                <w:color w:val="auto"/>
              </w:rPr>
            </w:pPr>
          </w:p>
        </w:tc>
        <w:tc>
          <w:tcPr>
            <w:tcW w:w="400" w:type="dxa"/>
            <w:vAlign w:val="bottom"/>
            <w:gridSpan w:val="3"/>
            <w:vMerge w:val="continue"/>
          </w:tcPr>
          <w:p>
            <w:pPr>
              <w:spacing w:after="0"/>
              <w:rPr>
                <w:sz w:val="15"/>
                <w:szCs w:val="15"/>
                <w:color w:val="auto"/>
              </w:rPr>
            </w:pPr>
          </w:p>
        </w:tc>
        <w:tc>
          <w:tcPr>
            <w:tcW w:w="940" w:type="dxa"/>
            <w:vAlign w:val="bottom"/>
          </w:tcPr>
          <w:p>
            <w:pPr>
              <w:jc w:val="center"/>
              <w:ind w:right="75"/>
              <w:spacing w:after="0"/>
              <w:rPr>
                <w:sz w:val="20"/>
                <w:szCs w:val="20"/>
                <w:color w:val="auto"/>
              </w:rPr>
            </w:pPr>
            <w:r>
              <w:rPr>
                <w:rFonts w:ascii="Times New Roman" w:cs="Times New Roman" w:eastAsia="Times New Roman" w:hAnsi="Times New Roman"/>
                <w:sz w:val="14"/>
                <w:szCs w:val="14"/>
                <w:b w:val="1"/>
                <w:bCs w:val="1"/>
                <w:color w:val="auto"/>
              </w:rPr>
              <w:t>2025</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64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Segment adjusted gross profit:</w:t>
            </w:r>
          </w:p>
        </w:tc>
        <w:tc>
          <w:tcPr>
            <w:tcW w:w="2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Cloud and Edge</w:t>
            </w:r>
          </w:p>
        </w:tc>
        <w:tc>
          <w:tcPr>
            <w:tcW w:w="16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56,522</w:t>
            </w:r>
          </w:p>
        </w:tc>
        <w:tc>
          <w:tcPr>
            <w:tcW w:w="20" w:type="dxa"/>
            <w:vAlign w:val="bottom"/>
          </w:tcPr>
          <w:p>
            <w:pPr>
              <w:spacing w:after="0"/>
              <w:rPr>
                <w:sz w:val="18"/>
                <w:szCs w:val="18"/>
                <w:color w:val="auto"/>
              </w:rPr>
            </w:pPr>
          </w:p>
        </w:tc>
        <w:tc>
          <w:tcPr>
            <w:tcW w:w="4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67,296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IP Optical Networks</w:t>
            </w:r>
          </w:p>
        </w:tc>
        <w:tc>
          <w:tcPr>
            <w:tcW w:w="20" w:type="dxa"/>
            <w:vAlign w:val="bottom"/>
            <w:tcBorders>
              <w:bottom w:val="single" w:sz="8" w:color="auto"/>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17,935</w:t>
            </w: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 w:type="dxa"/>
            <w:vAlign w:val="bottom"/>
            <w:tcBorders>
              <w:bottom w:val="single" w:sz="8" w:color="auto"/>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20,814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64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Total segment adjusted gross profit</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74,457</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88,110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6440" w:type="dxa"/>
            <w:vAlign w:val="bottom"/>
          </w:tcPr>
          <w:p>
            <w:pPr>
              <w:ind w:left="20"/>
              <w:spacing w:after="0" w:line="195" w:lineRule="exact"/>
              <w:rPr>
                <w:sz w:val="20"/>
                <w:szCs w:val="20"/>
                <w:color w:val="auto"/>
              </w:rPr>
            </w:pPr>
            <w:r>
              <w:rPr>
                <w:rFonts w:ascii="Times New Roman" w:cs="Times New Roman" w:eastAsia="Times New Roman" w:hAnsi="Times New Roman"/>
                <w:sz w:val="18"/>
                <w:szCs w:val="18"/>
                <w:i w:val="1"/>
                <w:iCs w:val="1"/>
                <w:color w:val="auto"/>
              </w:rPr>
              <w:t>Reconciliation of segment adjusted gross profit to gross profit and loss before income</w:t>
            </w: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6"/>
        </w:trPr>
        <w:tc>
          <w:tcPr>
            <w:tcW w:w="6440" w:type="dxa"/>
            <w:vAlign w:val="bottom"/>
          </w:tcPr>
          <w:p>
            <w:pPr>
              <w:ind w:left="20"/>
              <w:spacing w:after="0"/>
              <w:rPr>
                <w:sz w:val="20"/>
                <w:szCs w:val="20"/>
                <w:color w:val="auto"/>
              </w:rPr>
            </w:pPr>
            <w:r>
              <w:rPr>
                <w:rFonts w:ascii="Times New Roman" w:cs="Times New Roman" w:eastAsia="Times New Roman" w:hAnsi="Times New Roman"/>
                <w:sz w:val="18"/>
                <w:szCs w:val="18"/>
                <w:i w:val="1"/>
                <w:iCs w:val="1"/>
                <w:color w:val="auto"/>
              </w:rPr>
              <w:t>taxes</w:t>
            </w: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6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(204)</w:t>
            </w: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Amortization of acquired technology</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(4,562)</w:t>
            </w: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(5,388)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440" w:type="dxa"/>
            <w:vAlign w:val="bottom"/>
            <w:tcBorders>
              <w:top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Gross profit</w:t>
            </w:r>
          </w:p>
        </w:tc>
        <w:tc>
          <w:tcPr>
            <w:tcW w:w="20" w:type="dxa"/>
            <w:vAlign w:val="bottom"/>
            <w:tcBorders>
              <w:top w:val="single" w:sz="8" w:color="auto"/>
              <w:bottom w:val="single" w:sz="8" w:color="auto"/>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18"/>
                <w:szCs w:val="18"/>
                <w:color w:val="auto"/>
              </w:rPr>
            </w:pP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69,691</w:t>
            </w:r>
          </w:p>
        </w:tc>
        <w:tc>
          <w:tcPr>
            <w:tcW w:w="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auto"/>
              <w:bottom w:val="single" w:sz="8" w:color="auto"/>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spacing w:after="0"/>
              <w:rPr>
                <w:sz w:val="18"/>
                <w:szCs w:val="18"/>
                <w:color w:val="auto"/>
              </w:rPr>
            </w:pP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82,370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64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Research and development expense</w:t>
            </w: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44,445</w:t>
            </w:r>
          </w:p>
        </w:tc>
        <w:tc>
          <w:tcPr>
            <w:tcW w:w="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43,568</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Sales and marketing expense</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32,269</w:t>
            </w: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31,788</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General and administrative expense</w:t>
            </w: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16,978</w:t>
            </w:r>
          </w:p>
        </w:tc>
        <w:tc>
          <w:tcPr>
            <w:tcW w:w="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15,128</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Amortization of acquired intangible assets</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5,656</w:t>
            </w: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6,155</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6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Restructuring and related expense</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2,038</w:t>
            </w: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5,341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expense, net</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9,756</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income, net</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(514)</w:t>
            </w: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(3,129)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4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Loss before income taxes</w:t>
            </w:r>
          </w:p>
        </w:tc>
        <w:tc>
          <w:tcPr>
            <w:tcW w:w="16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(40,937)</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(26,981)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44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6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320" w:type="dxa"/>
            <w:vAlign w:val="bottom"/>
            <w:gridSpan w:val="7"/>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0" w:type="dxa"/>
            <w:vAlign w:val="bottom"/>
          </w:tcPr>
          <w:p>
            <w:pPr>
              <w:spacing w:after="0"/>
              <w:rPr>
                <w:sz w:val="1"/>
                <w:szCs w:val="1"/>
                <w:color w:val="auto"/>
              </w:rPr>
            </w:pPr>
          </w:p>
        </w:tc>
      </w:tr>
      <w:tr>
        <w:trPr>
          <w:trHeight w:val="117"/>
        </w:trPr>
        <w:tc>
          <w:tcPr>
            <w:tcW w:w="64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960" w:type="dxa"/>
            <w:vAlign w:val="bottom"/>
            <w:tcBorders>
              <w:top w:val="single" w:sz="8" w:color="auto"/>
            </w:tcBorders>
            <w:gridSpan w:val="2"/>
          </w:tcPr>
          <w:p>
            <w:pPr>
              <w:jc w:val="center"/>
              <w:ind w:right="180"/>
              <w:spacing w:after="0" w:line="118" w:lineRule="exact"/>
              <w:rPr>
                <w:sz w:val="20"/>
                <w:szCs w:val="20"/>
                <w:color w:val="auto"/>
              </w:rPr>
            </w:pPr>
            <w:r>
              <w:rPr>
                <w:rFonts w:ascii="Times New Roman" w:cs="Times New Roman" w:eastAsia="Times New Roman" w:hAnsi="Times New Roman"/>
                <w:sz w:val="13"/>
                <w:szCs w:val="13"/>
                <w:b w:val="1"/>
                <w:bCs w:val="1"/>
                <w:color w:val="auto"/>
              </w:rPr>
              <w:t>March 31,</w:t>
            </w:r>
          </w:p>
        </w:tc>
        <w:tc>
          <w:tcPr>
            <w:tcW w:w="400" w:type="dxa"/>
            <w:vAlign w:val="bottom"/>
            <w:tcBorders>
              <w:top w:val="single" w:sz="8" w:color="auto"/>
            </w:tcBorders>
            <w:gridSpan w:val="3"/>
            <w:vMerge w:val="restart"/>
          </w:tcPr>
          <w:p>
            <w:pPr>
              <w:jc w:val="center"/>
              <w:ind w:right="70"/>
              <w:spacing w:after="0"/>
              <w:rPr>
                <w:sz w:val="20"/>
                <w:szCs w:val="20"/>
                <w:color w:val="auto"/>
              </w:rPr>
            </w:pPr>
            <w:r>
              <w:rPr>
                <w:rFonts w:ascii="Times New Roman" w:cs="Times New Roman" w:eastAsia="Times New Roman" w:hAnsi="Times New Roman"/>
                <w:sz w:val="14"/>
                <w:szCs w:val="14"/>
                <w:b w:val="1"/>
                <w:bCs w:val="1"/>
                <w:color w:val="auto"/>
              </w:rPr>
              <w:t>​​​</w:t>
            </w:r>
          </w:p>
        </w:tc>
        <w:tc>
          <w:tcPr>
            <w:tcW w:w="940" w:type="dxa"/>
            <w:vAlign w:val="bottom"/>
            <w:tcBorders>
              <w:top w:val="single" w:sz="8" w:color="auto"/>
            </w:tcBorders>
          </w:tcPr>
          <w:p>
            <w:pPr>
              <w:jc w:val="center"/>
              <w:ind w:right="115"/>
              <w:spacing w:after="0" w:line="118" w:lineRule="exact"/>
              <w:rPr>
                <w:sz w:val="20"/>
                <w:szCs w:val="20"/>
                <w:color w:val="auto"/>
              </w:rPr>
            </w:pPr>
            <w:r>
              <w:rPr>
                <w:rFonts w:ascii="Times New Roman" w:cs="Times New Roman" w:eastAsia="Times New Roman" w:hAnsi="Times New Roman"/>
                <w:sz w:val="13"/>
                <w:szCs w:val="13"/>
                <w:b w:val="1"/>
                <w:bCs w:val="1"/>
                <w:color w:val="auto"/>
              </w:rPr>
              <w:t>March 31,</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3"/>
        </w:trPr>
        <w:tc>
          <w:tcPr>
            <w:tcW w:w="64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40" w:type="dxa"/>
            <w:vAlign w:val="bottom"/>
          </w:tcPr>
          <w:p>
            <w:pPr>
              <w:jc w:val="right"/>
              <w:ind w:right="316"/>
              <w:spacing w:after="0"/>
              <w:rPr>
                <w:sz w:val="20"/>
                <w:szCs w:val="20"/>
                <w:color w:val="auto"/>
              </w:rPr>
            </w:pPr>
            <w:r>
              <w:rPr>
                <w:rFonts w:ascii="Times New Roman" w:cs="Times New Roman" w:eastAsia="Times New Roman" w:hAnsi="Times New Roman"/>
                <w:sz w:val="14"/>
                <w:szCs w:val="14"/>
                <w:b w:val="1"/>
                <w:bCs w:val="1"/>
                <w:color w:val="auto"/>
              </w:rPr>
              <w:t>2026</w:t>
            </w:r>
          </w:p>
        </w:tc>
        <w:tc>
          <w:tcPr>
            <w:tcW w:w="20" w:type="dxa"/>
            <w:vAlign w:val="bottom"/>
          </w:tcPr>
          <w:p>
            <w:pPr>
              <w:spacing w:after="0"/>
              <w:rPr>
                <w:sz w:val="15"/>
                <w:szCs w:val="15"/>
                <w:color w:val="auto"/>
              </w:rPr>
            </w:pPr>
          </w:p>
        </w:tc>
        <w:tc>
          <w:tcPr>
            <w:tcW w:w="400" w:type="dxa"/>
            <w:vAlign w:val="bottom"/>
            <w:gridSpan w:val="3"/>
            <w:vMerge w:val="continue"/>
          </w:tcPr>
          <w:p>
            <w:pPr>
              <w:spacing w:after="0"/>
              <w:rPr>
                <w:sz w:val="15"/>
                <w:szCs w:val="15"/>
                <w:color w:val="auto"/>
              </w:rPr>
            </w:pPr>
          </w:p>
        </w:tc>
        <w:tc>
          <w:tcPr>
            <w:tcW w:w="940" w:type="dxa"/>
            <w:vAlign w:val="bottom"/>
          </w:tcPr>
          <w:p>
            <w:pPr>
              <w:jc w:val="right"/>
              <w:ind w:right="315"/>
              <w:spacing w:after="0"/>
              <w:rPr>
                <w:sz w:val="20"/>
                <w:szCs w:val="20"/>
                <w:color w:val="auto"/>
              </w:rPr>
            </w:pPr>
            <w:r>
              <w:rPr>
                <w:rFonts w:ascii="Times New Roman" w:cs="Times New Roman" w:eastAsia="Times New Roman" w:hAnsi="Times New Roman"/>
                <w:sz w:val="14"/>
                <w:szCs w:val="14"/>
                <w:b w:val="1"/>
                <w:bCs w:val="1"/>
                <w:color w:val="auto"/>
              </w:rPr>
              <w:t>2025</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64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Segment depreciation expense:</w:t>
            </w:r>
          </w:p>
        </w:tc>
        <w:tc>
          <w:tcPr>
            <w:tcW w:w="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Cloud and Edge</w:t>
            </w:r>
          </w:p>
        </w:tc>
        <w:tc>
          <w:tcPr>
            <w:tcW w:w="1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2,322</w:t>
            </w:r>
          </w:p>
        </w:tc>
        <w:tc>
          <w:tcPr>
            <w:tcW w:w="20" w:type="dxa"/>
            <w:vAlign w:val="bottom"/>
          </w:tcPr>
          <w:p>
            <w:pPr>
              <w:spacing w:after="0"/>
              <w:rPr>
                <w:sz w:val="18"/>
                <w:szCs w:val="18"/>
                <w:color w:val="auto"/>
              </w:rPr>
            </w:pPr>
          </w:p>
        </w:tc>
        <w:tc>
          <w:tcPr>
            <w:tcW w:w="4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2,353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IP Optical Networks</w:t>
            </w:r>
          </w:p>
        </w:tc>
        <w:tc>
          <w:tcPr>
            <w:tcW w:w="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2,138</w:t>
            </w:r>
          </w:p>
        </w:tc>
        <w:tc>
          <w:tcPr>
            <w:tcW w:w="20" w:type="dxa"/>
            <w:vAlign w:val="bottom"/>
            <w:tcBorders>
              <w:bottom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4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Depreciation expense</w:t>
            </w:r>
          </w:p>
        </w:tc>
        <w:tc>
          <w:tcPr>
            <w:tcW w:w="2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4,460</w:t>
            </w:r>
          </w:p>
        </w:tc>
        <w:tc>
          <w:tcPr>
            <w:tcW w:w="20" w:type="dxa"/>
            <w:vAlign w:val="bottom"/>
            <w:tcBorders>
              <w:bottom w:val="single" w:sz="8" w:color="auto"/>
            </w:tcBorders>
          </w:tcPr>
          <w:p>
            <w:pPr>
              <w:spacing w:after="0"/>
              <w:rPr>
                <w:sz w:val="18"/>
                <w:szCs w:val="18"/>
                <w:color w:val="auto"/>
              </w:rPr>
            </w:pPr>
          </w:p>
        </w:tc>
        <w:tc>
          <w:tcPr>
            <w:tcW w:w="240" w:type="dxa"/>
            <w:vAlign w:val="bottom"/>
            <w:gridSpan w:val="2"/>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3,469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28" w:name="page29"/>
    <w:bookmarkEnd w:id="28"/>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ind w:left="1500" w:right="1840"/>
        <w:spacing w:after="0" w:line="278" w:lineRule="auto"/>
        <w:rPr>
          <w:sz w:val="20"/>
          <w:szCs w:val="20"/>
          <w:color w:val="auto"/>
        </w:rPr>
      </w:pPr>
      <w:r>
        <w:rPr>
          <w:rFonts w:ascii="Times New Roman" w:cs="Times New Roman" w:eastAsia="Times New Roman" w:hAnsi="Times New Roman"/>
          <w:sz w:val="18"/>
          <w:szCs w:val="18"/>
          <w:b w:val="1"/>
          <w:bCs w:val="1"/>
          <w:color w:val="auto"/>
        </w:rPr>
        <w:t>RIBBON COMMUNICATIONS INC. Notes to Condensed Consolidated Financial Statements (Continued) (unaudited)</w:t>
      </w:r>
    </w:p>
    <w:p>
      <w:pPr>
        <w:spacing w:after="0" w:line="38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(14) MAJOR CUSTOMERS</w:t>
      </w:r>
    </w:p>
    <w:p>
      <w:pPr>
        <w:spacing w:after="0" w:line="22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The following customers contributed 10% or more of the Company’s revenue in the three months ended</w:t>
      </w:r>
    </w:p>
    <w:p>
      <w:pPr>
        <w:spacing w:after="0" w:line="2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March 31, 2026 and 2025:</w:t>
      </w:r>
    </w:p>
    <w:p>
      <w:pPr>
        <w:spacing w:after="0" w:line="214"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6540" w:type="dxa"/>
            <w:vAlign w:val="bottom"/>
          </w:tcPr>
          <w:p>
            <w:pPr>
              <w:spacing w:after="0"/>
              <w:rPr>
                <w:sz w:val="15"/>
                <w:szCs w:val="15"/>
                <w:color w:val="auto"/>
              </w:rPr>
            </w:pPr>
          </w:p>
        </w:tc>
        <w:tc>
          <w:tcPr>
            <w:tcW w:w="2160" w:type="dxa"/>
            <w:vAlign w:val="bottom"/>
            <w:gridSpan w:val="5"/>
          </w:tcPr>
          <w:p>
            <w:pPr>
              <w:jc w:val="right"/>
              <w:ind w:right="47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6540" w:type="dxa"/>
            <w:vAlign w:val="bottom"/>
          </w:tcPr>
          <w:p>
            <w:pPr>
              <w:spacing w:after="0"/>
              <w:rPr>
                <w:sz w:val="10"/>
                <w:szCs w:val="10"/>
                <w:color w:val="auto"/>
              </w:rPr>
            </w:pPr>
          </w:p>
        </w:tc>
        <w:tc>
          <w:tcPr>
            <w:tcW w:w="1060" w:type="dxa"/>
            <w:vAlign w:val="bottom"/>
            <w:tcBorders>
              <w:top w:val="single" w:sz="8" w:color="auto"/>
            </w:tcBorders>
            <w:gridSpan w:val="3"/>
          </w:tcPr>
          <w:p>
            <w:pPr>
              <w:jc w:val="center"/>
              <w:ind w:right="139"/>
              <w:spacing w:after="0" w:line="118" w:lineRule="exact"/>
              <w:rPr>
                <w:sz w:val="20"/>
                <w:szCs w:val="20"/>
                <w:color w:val="auto"/>
              </w:rPr>
            </w:pPr>
            <w:r>
              <w:rPr>
                <w:rFonts w:ascii="Times New Roman" w:cs="Times New Roman" w:eastAsia="Times New Roman" w:hAnsi="Times New Roman"/>
                <w:sz w:val="13"/>
                <w:szCs w:val="13"/>
                <w:b w:val="1"/>
                <w:bCs w:val="1"/>
                <w:color w:val="auto"/>
              </w:rPr>
              <w:t>March 31,</w:t>
            </w:r>
          </w:p>
        </w:tc>
        <w:tc>
          <w:tcPr>
            <w:tcW w:w="880" w:type="dxa"/>
            <w:vAlign w:val="bottom"/>
            <w:tcBorders>
              <w:top w:val="single" w:sz="8" w:color="auto"/>
            </w:tcBorders>
          </w:tcPr>
          <w:p>
            <w:pPr>
              <w:jc w:val="right"/>
              <w:ind w:right="60"/>
              <w:spacing w:after="0" w:line="118" w:lineRule="exact"/>
              <w:rPr>
                <w:sz w:val="20"/>
                <w:szCs w:val="20"/>
                <w:color w:val="auto"/>
              </w:rPr>
            </w:pPr>
            <w:r>
              <w:rPr>
                <w:rFonts w:ascii="Times New Roman" w:cs="Times New Roman" w:eastAsia="Times New Roman" w:hAnsi="Times New Roman"/>
                <w:sz w:val="13"/>
                <w:szCs w:val="13"/>
                <w:b w:val="1"/>
                <w:bCs w:val="1"/>
                <w:color w:val="auto"/>
              </w:rPr>
              <w:t>March 31,</w:t>
            </w:r>
          </w:p>
        </w:tc>
        <w:tc>
          <w:tcPr>
            <w:tcW w:w="220" w:type="dxa"/>
            <w:vAlign w:val="bottom"/>
          </w:tcPr>
          <w:p>
            <w:pPr>
              <w:spacing w:after="0"/>
              <w:rPr>
                <w:sz w:val="10"/>
                <w:szCs w:val="10"/>
                <w:color w:val="auto"/>
              </w:rPr>
            </w:pPr>
          </w:p>
        </w:tc>
        <w:tc>
          <w:tcPr>
            <w:tcW w:w="200" w:type="dxa"/>
            <w:vAlign w:val="bottom"/>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173"/>
        </w:trPr>
        <w:tc>
          <w:tcPr>
            <w:tcW w:w="714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2026</w:t>
            </w:r>
          </w:p>
        </w:tc>
        <w:tc>
          <w:tcPr>
            <w:tcW w:w="260" w:type="dxa"/>
            <w:vAlign w:val="bottom"/>
          </w:tcPr>
          <w:p>
            <w:pPr>
              <w:spacing w:after="0"/>
              <w:rPr>
                <w:sz w:val="15"/>
                <w:szCs w:val="15"/>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880" w:type="dxa"/>
            <w:vAlign w:val="bottom"/>
          </w:tcPr>
          <w:p>
            <w:pPr>
              <w:jc w:val="right"/>
              <w:ind w:right="200"/>
              <w:spacing w:after="0"/>
              <w:rPr>
                <w:sz w:val="20"/>
                <w:szCs w:val="20"/>
                <w:color w:val="auto"/>
              </w:rPr>
            </w:pPr>
            <w:r>
              <w:rPr>
                <w:rFonts w:ascii="Times New Roman" w:cs="Times New Roman" w:eastAsia="Times New Roman" w:hAnsi="Times New Roman"/>
                <w:sz w:val="14"/>
                <w:szCs w:val="14"/>
                <w:b w:val="1"/>
                <w:bCs w:val="1"/>
                <w:color w:val="auto"/>
              </w:rPr>
              <w:t>2025</w:t>
            </w:r>
          </w:p>
        </w:tc>
        <w:tc>
          <w:tcPr>
            <w:tcW w:w="220" w:type="dxa"/>
            <w:vAlign w:val="bottom"/>
          </w:tcPr>
          <w:p>
            <w:pPr>
              <w:spacing w:after="0"/>
              <w:rPr>
                <w:sz w:val="15"/>
                <w:szCs w:val="15"/>
                <w:color w:val="auto"/>
              </w:rPr>
            </w:pPr>
          </w:p>
        </w:tc>
        <w:tc>
          <w:tcPr>
            <w:tcW w:w="2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65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Verizon Communications Inc.</w:t>
            </w:r>
          </w:p>
        </w:tc>
        <w:tc>
          <w:tcPr>
            <w:tcW w:w="600" w:type="dxa"/>
            <w:vAlign w:val="bottom"/>
            <w:tcBorders>
              <w:top w:val="single" w:sz="8" w:color="auto"/>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20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3"/>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22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3"/>
              </w:rPr>
              <w:t>%</w:t>
            </w:r>
          </w:p>
        </w:tc>
        <w:tc>
          <w:tcPr>
            <w:tcW w:w="2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1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Bharti Telecom Limited</w:t>
            </w:r>
          </w:p>
        </w:tc>
        <w:tc>
          <w:tcPr>
            <w:tcW w:w="4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14 %</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71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Less than 10% of total revenue</w:t>
            </w:r>
          </w:p>
        </w:tc>
        <w:tc>
          <w:tcPr>
            <w:tcW w:w="2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ind w:left="60" w:right="459" w:firstLine="324"/>
        <w:spacing w:after="0" w:line="261" w:lineRule="auto"/>
        <w:rPr>
          <w:sz w:val="20"/>
          <w:szCs w:val="20"/>
          <w:color w:val="auto"/>
        </w:rPr>
      </w:pPr>
      <w:r>
        <w:rPr>
          <w:rFonts w:ascii="Times New Roman" w:cs="Times New Roman" w:eastAsia="Times New Roman" w:hAnsi="Times New Roman"/>
          <w:sz w:val="18"/>
          <w:szCs w:val="18"/>
          <w:color w:val="auto"/>
        </w:rPr>
        <w:t>At March 31, 2026 and December 31, 2025, no customer accounted for 10% or more of the Company’s accounts receivable balance. The Company performs ongoing credit evaluations of its customers and generally does not require collateral on accounts receivable. The Company maintains an allowance for doubtful accounts and such losses have historically been within management’s expectations.</w:t>
      </w:r>
    </w:p>
    <w:p>
      <w:pPr>
        <w:spacing w:after="0" w:line="17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(15) COMMON STOCK REPURCHASES</w:t>
      </w:r>
    </w:p>
    <w:p>
      <w:pPr>
        <w:spacing w:after="0" w:line="229" w:lineRule="exact"/>
        <w:rPr>
          <w:sz w:val="20"/>
          <w:szCs w:val="20"/>
          <w:color w:val="auto"/>
        </w:rPr>
      </w:pPr>
    </w:p>
    <w:p>
      <w:pPr>
        <w:ind w:left="60" w:right="79" w:firstLine="324"/>
        <w:spacing w:after="0" w:line="254" w:lineRule="auto"/>
        <w:rPr>
          <w:sz w:val="20"/>
          <w:szCs w:val="20"/>
          <w:color w:val="auto"/>
        </w:rPr>
      </w:pPr>
      <w:r>
        <w:rPr>
          <w:rFonts w:ascii="Times New Roman" w:cs="Times New Roman" w:eastAsia="Times New Roman" w:hAnsi="Times New Roman"/>
          <w:sz w:val="18"/>
          <w:szCs w:val="18"/>
          <w:color w:val="auto"/>
        </w:rPr>
        <w:t>In the second quarter of 2025, the Company's Board of Directors approved a program to repurchase up to $50 million of the Company’s common stock (the “2025 Repurchase Program” or the “Repurchase Program”). Commencing on June 5, 2025 and continuing through December 31, 2027, the Repurchase Program is being funded with cash on hand or cash generated from operations. During the three months ended March 31, 2026, the Company used $0.8 million, including transaction fees, to repurchase and retire 0.4 million shares of its common stock under the Repurchase Program. Since the start of the Repurchase Program, the Company has used $9.8 million, including transaction fees, to repurchase and retire 2.9 million shares of its common stock. Repurchases are subject to the terms of the Company’s senior secured credit facility, as amended, which limits aggregate share repurchases to $15 million and subjects such repurchases to compliance with specified financial covenants and leverage requirements.</w:t>
      </w:r>
    </w:p>
    <w:p>
      <w:pPr>
        <w:spacing w:after="0" w:line="18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(16) STOCK-BASED COMPENSATION PLANS</w:t>
      </w:r>
    </w:p>
    <w:p>
      <w:pPr>
        <w:spacing w:after="0" w:line="229" w:lineRule="exact"/>
        <w:rPr>
          <w:sz w:val="20"/>
          <w:szCs w:val="20"/>
          <w:color w:val="auto"/>
        </w:rPr>
      </w:pPr>
    </w:p>
    <w:p>
      <w:pPr>
        <w:ind w:left="60" w:right="119" w:firstLine="324"/>
        <w:spacing w:after="0" w:line="258" w:lineRule="auto"/>
        <w:rPr>
          <w:sz w:val="20"/>
          <w:szCs w:val="20"/>
          <w:color w:val="auto"/>
        </w:rPr>
      </w:pPr>
      <w:r>
        <w:rPr>
          <w:rFonts w:ascii="Times New Roman" w:cs="Times New Roman" w:eastAsia="Times New Roman" w:hAnsi="Times New Roman"/>
          <w:sz w:val="18"/>
          <w:szCs w:val="18"/>
          <w:color w:val="auto"/>
        </w:rPr>
        <w:t>The Company grants stock-based compensation to employees, officers and non-employee directors, as well as consultants and advisors of the Company and its subsidiaries under its 2025 Incentive Award Plan (the “2025 Plan”) which provides for the award of stock options, stock appreciation rights ("SARs"), restricted stock awards ("RSAs"), performance-based stock awards ("PSAs"), restricted stock units ("RSUs"), performance-based stock units ("PSUs") and other stock- or cash-based awards. The 2025 Plan has been approved by the Company’s stockholders.</w:t>
      </w:r>
    </w:p>
    <w:p>
      <w:pPr>
        <w:spacing w:after="0" w:line="17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Executive Equity Arrangements</w:t>
      </w:r>
    </w:p>
    <w:p>
      <w:pPr>
        <w:spacing w:after="0" w:line="22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Performance-Based Stock Grants</w:t>
      </w:r>
    </w:p>
    <w:p>
      <w:pPr>
        <w:spacing w:after="0" w:line="227" w:lineRule="exact"/>
        <w:rPr>
          <w:sz w:val="20"/>
          <w:szCs w:val="20"/>
          <w:color w:val="auto"/>
        </w:rPr>
      </w:pPr>
    </w:p>
    <w:p>
      <w:pPr>
        <w:ind w:left="60" w:right="199" w:firstLine="324"/>
        <w:spacing w:after="0" w:line="254" w:lineRule="auto"/>
        <w:rPr>
          <w:sz w:val="20"/>
          <w:szCs w:val="20"/>
          <w:color w:val="auto"/>
        </w:rPr>
      </w:pPr>
      <w:r>
        <w:rPr>
          <w:rFonts w:ascii="Times New Roman" w:cs="Times New Roman" w:eastAsia="Times New Roman" w:hAnsi="Times New Roman"/>
          <w:sz w:val="18"/>
          <w:szCs w:val="18"/>
          <w:color w:val="auto"/>
        </w:rPr>
        <w:t>In addition to granting RSAs and RSUs to its executives and certain of its employees, the Company also grants PSUs to certain of its executives and certain other employees. Vesting periods for RSAs, RSUs, and PSUs granted range from one to three years. PSUs granted consist of 60% that have both performance and service conditions (the "Performance PSUs") and 40% that have both market and service conditions (the "Market PSUs"). Each Performance PSU is comprised of three consecutive fiscal year performance periods beginning in the year of grant, with one-third of the Performance PSUs attributable to each fiscal year performance period. The Market PSUs have one three-year performance period, beginning January 1 in the year of grant and ending on December 31, three years thereafter. The number of shares of common stock underlying the PSUs that can be earned will not exceed 150% of the Performance or 200% Market PSUs. Shares subject to PSUs that fail to be earned will be forfeited.</w:t>
      </w: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29" w:name="page30"/>
    <w:bookmarkEnd w:id="29"/>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ind w:left="1500" w:right="1840"/>
        <w:spacing w:after="0" w:line="278" w:lineRule="auto"/>
        <w:rPr>
          <w:sz w:val="20"/>
          <w:szCs w:val="20"/>
          <w:color w:val="auto"/>
        </w:rPr>
      </w:pPr>
      <w:r>
        <w:rPr>
          <w:rFonts w:ascii="Times New Roman" w:cs="Times New Roman" w:eastAsia="Times New Roman" w:hAnsi="Times New Roman"/>
          <w:sz w:val="18"/>
          <w:szCs w:val="18"/>
          <w:b w:val="1"/>
          <w:bCs w:val="1"/>
          <w:color w:val="auto"/>
        </w:rPr>
        <w:t>RIBBON COMMUNICATIONS INC. Notes to Condensed Consolidated Financial Statements (Continued) (unaudited)</w:t>
      </w:r>
    </w:p>
    <w:p>
      <w:pPr>
        <w:spacing w:after="0" w:line="38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Restricted Stock Units</w:t>
      </w:r>
    </w:p>
    <w:p>
      <w:pPr>
        <w:spacing w:after="0" w:line="22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The activity related to the Company’s RSUs for the three months ended March 31, 2026 was as follows:</w:t>
      </w:r>
    </w:p>
    <w:p>
      <w:pPr>
        <w:spacing w:after="0" w:line="220"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6640" w:type="dxa"/>
            <w:vAlign w:val="bottom"/>
          </w:tcPr>
          <w:p>
            <w:pPr>
              <w:ind w:left="6520"/>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60" w:type="dxa"/>
            <w:vAlign w:val="bottom"/>
            <w:gridSpan w:val="2"/>
          </w:tcPr>
          <w:p>
            <w:pPr>
              <w:jc w:val="right"/>
              <w:ind w:right="36"/>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Pr>
          <w:p>
            <w:pPr>
              <w:jc w:val="center"/>
              <w:ind w:right="18"/>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0" w:type="dxa"/>
            <w:vAlign w:val="bottom"/>
          </w:tcPr>
          <w:p>
            <w:pPr>
              <w:spacing w:after="0"/>
              <w:rPr>
                <w:sz w:val="1"/>
                <w:szCs w:val="1"/>
                <w:color w:val="auto"/>
              </w:rPr>
            </w:pPr>
          </w:p>
        </w:tc>
      </w:tr>
      <w:tr>
        <w:trPr>
          <w:trHeight w:val="148"/>
        </w:trPr>
        <w:tc>
          <w:tcPr>
            <w:tcW w:w="66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0" w:type="dxa"/>
            <w:vAlign w:val="bottom"/>
          </w:tcPr>
          <w:p>
            <w:pPr>
              <w:spacing w:after="0"/>
              <w:rPr>
                <w:sz w:val="1"/>
                <w:szCs w:val="1"/>
                <w:color w:val="auto"/>
              </w:rPr>
            </w:pPr>
          </w:p>
        </w:tc>
      </w:tr>
      <w:tr>
        <w:trPr>
          <w:trHeight w:val="148"/>
        </w:trPr>
        <w:tc>
          <w:tcPr>
            <w:tcW w:w="6640" w:type="dxa"/>
            <w:vAlign w:val="bottom"/>
          </w:tcPr>
          <w:p>
            <w:pPr>
              <w:spacing w:after="0"/>
              <w:rPr>
                <w:sz w:val="12"/>
                <w:szCs w:val="12"/>
                <w:color w:val="auto"/>
              </w:rPr>
            </w:pPr>
          </w:p>
        </w:tc>
        <w:tc>
          <w:tcPr>
            <w:tcW w:w="1180" w:type="dxa"/>
            <w:vAlign w:val="bottom"/>
            <w:gridSpan w:val="2"/>
            <w:vMerge w:val="restart"/>
          </w:tcPr>
          <w:p>
            <w:pPr>
              <w:jc w:val="right"/>
              <w:ind w:right="40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Grant Date</w:t>
            </w:r>
          </w:p>
        </w:tc>
        <w:tc>
          <w:tcPr>
            <w:tcW w:w="0" w:type="dxa"/>
            <w:vAlign w:val="bottom"/>
          </w:tcPr>
          <w:p>
            <w:pPr>
              <w:spacing w:after="0"/>
              <w:rPr>
                <w:sz w:val="1"/>
                <w:szCs w:val="1"/>
                <w:color w:val="auto"/>
              </w:rPr>
            </w:pPr>
          </w:p>
        </w:tc>
      </w:tr>
      <w:tr>
        <w:trPr>
          <w:trHeight w:val="173"/>
        </w:trPr>
        <w:tc>
          <w:tcPr>
            <w:tcW w:w="6640" w:type="dxa"/>
            <w:vAlign w:val="bottom"/>
          </w:tcPr>
          <w:p>
            <w:pPr>
              <w:spacing w:after="0"/>
              <w:rPr>
                <w:sz w:val="15"/>
                <w:szCs w:val="15"/>
                <w:color w:val="auto"/>
              </w:rPr>
            </w:pPr>
          </w:p>
        </w:tc>
        <w:tc>
          <w:tcPr>
            <w:tcW w:w="1180" w:type="dxa"/>
            <w:vAlign w:val="bottom"/>
            <w:gridSpan w:val="2"/>
            <w:vMerge w:val="continue"/>
          </w:tcPr>
          <w:p>
            <w:pPr>
              <w:spacing w:after="0"/>
              <w:rPr>
                <w:sz w:val="15"/>
                <w:szCs w:val="15"/>
                <w:color w:val="auto"/>
              </w:rPr>
            </w:pP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20" w:type="dxa"/>
            <w:vAlign w:val="bottom"/>
          </w:tcPr>
          <w:p>
            <w:pPr>
              <w:jc w:val="center"/>
              <w:ind w:right="18"/>
              <w:spacing w:after="0"/>
              <w:rPr>
                <w:sz w:val="20"/>
                <w:szCs w:val="20"/>
                <w:color w:val="auto"/>
              </w:rPr>
            </w:pPr>
            <w:r>
              <w:rPr>
                <w:rFonts w:ascii="Times New Roman" w:cs="Times New Roman" w:eastAsia="Times New Roman" w:hAnsi="Times New Roman"/>
                <w:sz w:val="14"/>
                <w:szCs w:val="14"/>
                <w:b w:val="1"/>
                <w:bCs w:val="1"/>
                <w:color w:val="auto"/>
                <w:w w:val="99"/>
              </w:rPr>
              <w:t>Fair Value</w:t>
            </w:r>
          </w:p>
        </w:tc>
        <w:tc>
          <w:tcPr>
            <w:tcW w:w="0" w:type="dxa"/>
            <w:vAlign w:val="bottom"/>
          </w:tcPr>
          <w:p>
            <w:pPr>
              <w:spacing w:after="0"/>
              <w:rPr>
                <w:sz w:val="1"/>
                <w:szCs w:val="1"/>
                <w:color w:val="auto"/>
              </w:rPr>
            </w:pPr>
          </w:p>
        </w:tc>
      </w:tr>
      <w:tr>
        <w:trPr>
          <w:trHeight w:val="210"/>
        </w:trPr>
        <w:tc>
          <w:tcPr>
            <w:tcW w:w="66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Unvested balance at January 1, 2026</w:t>
            </w: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9,928,256</w:t>
            </w:r>
          </w:p>
        </w:tc>
        <w:tc>
          <w:tcPr>
            <w:tcW w:w="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3.12</w:t>
            </w:r>
          </w:p>
        </w:tc>
        <w:tc>
          <w:tcPr>
            <w:tcW w:w="0" w:type="dxa"/>
            <w:vAlign w:val="bottom"/>
          </w:tcPr>
          <w:p>
            <w:pPr>
              <w:spacing w:after="0"/>
              <w:rPr>
                <w:sz w:val="1"/>
                <w:szCs w:val="1"/>
                <w:color w:val="auto"/>
              </w:rPr>
            </w:pPr>
          </w:p>
        </w:tc>
      </w:tr>
      <w:tr>
        <w:trPr>
          <w:trHeight w:val="216"/>
        </w:trPr>
        <w:tc>
          <w:tcPr>
            <w:tcW w:w="66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Granted</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56,752</w:t>
            </w:r>
          </w:p>
        </w:tc>
        <w:tc>
          <w:tcPr>
            <w:tcW w:w="40" w:type="dxa"/>
            <w:vAlign w:val="bottom"/>
          </w:tcPr>
          <w:p>
            <w:pPr>
              <w:spacing w:after="0"/>
              <w:rPr>
                <w:sz w:val="18"/>
                <w:szCs w:val="18"/>
                <w:color w:val="auto"/>
              </w:rPr>
            </w:pP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2.81</w:t>
            </w:r>
          </w:p>
        </w:tc>
        <w:tc>
          <w:tcPr>
            <w:tcW w:w="0" w:type="dxa"/>
            <w:vAlign w:val="bottom"/>
          </w:tcPr>
          <w:p>
            <w:pPr>
              <w:spacing w:after="0"/>
              <w:rPr>
                <w:sz w:val="1"/>
                <w:szCs w:val="1"/>
                <w:color w:val="auto"/>
              </w:rPr>
            </w:pPr>
          </w:p>
        </w:tc>
      </w:tr>
      <w:tr>
        <w:trPr>
          <w:trHeight w:val="216"/>
        </w:trPr>
        <w:tc>
          <w:tcPr>
            <w:tcW w:w="66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Vested</w:t>
            </w:r>
          </w:p>
        </w:tc>
        <w:tc>
          <w:tcPr>
            <w:tcW w:w="11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(177,343)</w:t>
            </w: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2.98</w:t>
            </w:r>
          </w:p>
        </w:tc>
        <w:tc>
          <w:tcPr>
            <w:tcW w:w="0" w:type="dxa"/>
            <w:vAlign w:val="bottom"/>
          </w:tcPr>
          <w:p>
            <w:pPr>
              <w:spacing w:after="0"/>
              <w:rPr>
                <w:sz w:val="1"/>
                <w:szCs w:val="1"/>
                <w:color w:val="auto"/>
              </w:rPr>
            </w:pPr>
          </w:p>
        </w:tc>
      </w:tr>
      <w:tr>
        <w:trPr>
          <w:trHeight w:val="216"/>
        </w:trPr>
        <w:tc>
          <w:tcPr>
            <w:tcW w:w="66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Forfeited</w:t>
            </w:r>
          </w:p>
        </w:tc>
        <w:tc>
          <w:tcPr>
            <w:tcW w:w="11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(146,912)</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3.57</w:t>
            </w:r>
          </w:p>
        </w:tc>
        <w:tc>
          <w:tcPr>
            <w:tcW w:w="0" w:type="dxa"/>
            <w:vAlign w:val="bottom"/>
          </w:tcPr>
          <w:p>
            <w:pPr>
              <w:spacing w:after="0"/>
              <w:rPr>
                <w:sz w:val="1"/>
                <w:szCs w:val="1"/>
                <w:color w:val="auto"/>
              </w:rPr>
            </w:pPr>
          </w:p>
        </w:tc>
      </w:tr>
      <w:tr>
        <w:trPr>
          <w:trHeight w:val="210"/>
        </w:trPr>
        <w:tc>
          <w:tcPr>
            <w:tcW w:w="66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Unvested balance at March 31, 2026</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9,660,753</w:t>
            </w:r>
          </w:p>
        </w:tc>
        <w:tc>
          <w:tcPr>
            <w:tcW w:w="40" w:type="dxa"/>
            <w:vAlign w:val="bottom"/>
            <w:tcBorders>
              <w:top w:val="single" w:sz="8" w:color="CCEEFF"/>
              <w:bottom w:val="single" w:sz="8" w:color="CCEEFF"/>
            </w:tcBorders>
            <w:shd w:val="clear" w:color="auto" w:fill="CCEEFF"/>
          </w:tcPr>
          <w:p>
            <w:pPr>
              <w:spacing w:after="0"/>
              <w:rPr>
                <w:sz w:val="18"/>
                <w:szCs w:val="18"/>
                <w:color w:val="auto"/>
              </w:rPr>
            </w:pPr>
          </w:p>
        </w:tc>
        <w:tc>
          <w:tcPr>
            <w:tcW w:w="260" w:type="dxa"/>
            <w:vAlign w:val="bottom"/>
            <w:tcBorders>
              <w:top w:val="single" w:sz="8" w:color="CCEEFF"/>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3.59</w:t>
            </w:r>
          </w:p>
        </w:tc>
        <w:tc>
          <w:tcPr>
            <w:tcW w:w="0" w:type="dxa"/>
            <w:vAlign w:val="bottom"/>
          </w:tcPr>
          <w:p>
            <w:pPr>
              <w:spacing w:after="0"/>
              <w:rPr>
                <w:sz w:val="1"/>
                <w:szCs w:val="1"/>
                <w:color w:val="auto"/>
              </w:rPr>
            </w:pPr>
          </w:p>
        </w:tc>
      </w:tr>
      <w:tr>
        <w:trPr>
          <w:trHeight w:val="20"/>
        </w:trPr>
        <w:tc>
          <w:tcPr>
            <w:tcW w:w="664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ind w:left="60" w:right="139" w:firstLine="324"/>
        <w:spacing w:after="0" w:line="282" w:lineRule="auto"/>
        <w:rPr>
          <w:sz w:val="20"/>
          <w:szCs w:val="20"/>
          <w:color w:val="auto"/>
        </w:rPr>
      </w:pPr>
      <w:r>
        <w:rPr>
          <w:rFonts w:ascii="Times New Roman" w:cs="Times New Roman" w:eastAsia="Times New Roman" w:hAnsi="Times New Roman"/>
          <w:sz w:val="18"/>
          <w:szCs w:val="18"/>
          <w:color w:val="auto"/>
        </w:rPr>
        <w:t>The total grant date fair value of shares of restricted stock underlying RSUs that vested during the three months ended March 31, 2026 was $0.5 million.</w:t>
      </w:r>
    </w:p>
    <w:p>
      <w:pPr>
        <w:spacing w:after="0" w:line="15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Performance-Based Stock Units</w:t>
      </w:r>
    </w:p>
    <w:p>
      <w:pPr>
        <w:spacing w:after="0" w:line="22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The activity related to the Company’s PSUs for the three months ended March 31, 2026 was as follows:</w:t>
      </w:r>
    </w:p>
    <w:p>
      <w:pPr>
        <w:spacing w:after="0" w:line="220"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6820" w:type="dxa"/>
            <w:vAlign w:val="bottom"/>
          </w:tcPr>
          <w:p>
            <w:pPr>
              <w:ind w:left="6700"/>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60" w:type="dxa"/>
            <w:vAlign w:val="bottom"/>
            <w:gridSpan w:val="2"/>
          </w:tcPr>
          <w:p>
            <w:pPr>
              <w:jc w:val="right"/>
              <w:ind w:right="30"/>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tcPr>
          <w:p>
            <w:pPr>
              <w:jc w:val="center"/>
              <w:ind w:right="18"/>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0" w:type="dxa"/>
            <w:vAlign w:val="bottom"/>
          </w:tcPr>
          <w:p>
            <w:pPr>
              <w:spacing w:after="0"/>
              <w:rPr>
                <w:sz w:val="1"/>
                <w:szCs w:val="1"/>
                <w:color w:val="auto"/>
              </w:rPr>
            </w:pPr>
          </w:p>
        </w:tc>
      </w:tr>
      <w:tr>
        <w:trPr>
          <w:trHeight w:val="148"/>
        </w:trPr>
        <w:tc>
          <w:tcPr>
            <w:tcW w:w="68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tcPr>
          <w:p>
            <w:pPr>
              <w:jc w:val="center"/>
              <w:ind w:right="18"/>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0" w:type="dxa"/>
            <w:vAlign w:val="bottom"/>
          </w:tcPr>
          <w:p>
            <w:pPr>
              <w:spacing w:after="0"/>
              <w:rPr>
                <w:sz w:val="1"/>
                <w:szCs w:val="1"/>
                <w:color w:val="auto"/>
              </w:rPr>
            </w:pPr>
          </w:p>
        </w:tc>
      </w:tr>
      <w:tr>
        <w:trPr>
          <w:trHeight w:val="148"/>
        </w:trPr>
        <w:tc>
          <w:tcPr>
            <w:tcW w:w="6820" w:type="dxa"/>
            <w:vAlign w:val="bottom"/>
          </w:tcPr>
          <w:p>
            <w:pPr>
              <w:spacing w:after="0"/>
              <w:rPr>
                <w:sz w:val="12"/>
                <w:szCs w:val="12"/>
                <w:color w:val="auto"/>
              </w:rPr>
            </w:pPr>
          </w:p>
        </w:tc>
        <w:tc>
          <w:tcPr>
            <w:tcW w:w="980" w:type="dxa"/>
            <w:vAlign w:val="bottom"/>
            <w:gridSpan w:val="2"/>
            <w:vMerge w:val="restart"/>
          </w:tcPr>
          <w:p>
            <w:pPr>
              <w:ind w:left="26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tcPr>
          <w:p>
            <w:pPr>
              <w:jc w:val="center"/>
              <w:ind w:right="18"/>
              <w:spacing w:after="0" w:line="149" w:lineRule="exact"/>
              <w:rPr>
                <w:sz w:val="20"/>
                <w:szCs w:val="20"/>
                <w:color w:val="auto"/>
              </w:rPr>
            </w:pPr>
            <w:r>
              <w:rPr>
                <w:rFonts w:ascii="Times New Roman" w:cs="Times New Roman" w:eastAsia="Times New Roman" w:hAnsi="Times New Roman"/>
                <w:sz w:val="14"/>
                <w:szCs w:val="14"/>
                <w:b w:val="1"/>
                <w:bCs w:val="1"/>
                <w:color w:val="auto"/>
              </w:rPr>
              <w:t>Grant Date</w:t>
            </w:r>
          </w:p>
        </w:tc>
        <w:tc>
          <w:tcPr>
            <w:tcW w:w="0" w:type="dxa"/>
            <w:vAlign w:val="bottom"/>
          </w:tcPr>
          <w:p>
            <w:pPr>
              <w:spacing w:after="0"/>
              <w:rPr>
                <w:sz w:val="1"/>
                <w:szCs w:val="1"/>
                <w:color w:val="auto"/>
              </w:rPr>
            </w:pPr>
          </w:p>
        </w:tc>
      </w:tr>
      <w:tr>
        <w:trPr>
          <w:trHeight w:val="173"/>
        </w:trPr>
        <w:tc>
          <w:tcPr>
            <w:tcW w:w="6820" w:type="dxa"/>
            <w:vAlign w:val="bottom"/>
          </w:tcPr>
          <w:p>
            <w:pPr>
              <w:spacing w:after="0"/>
              <w:rPr>
                <w:sz w:val="15"/>
                <w:szCs w:val="15"/>
                <w:color w:val="auto"/>
              </w:rPr>
            </w:pPr>
          </w:p>
        </w:tc>
        <w:tc>
          <w:tcPr>
            <w:tcW w:w="980" w:type="dxa"/>
            <w:vAlign w:val="bottom"/>
            <w:gridSpan w:val="2"/>
            <w:vMerge w:val="continue"/>
          </w:tcPr>
          <w:p>
            <w:pPr>
              <w:spacing w:after="0"/>
              <w:rPr>
                <w:sz w:val="15"/>
                <w:szCs w:val="15"/>
                <w:color w:val="auto"/>
              </w:rPr>
            </w:pP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Fair Value</w:t>
            </w:r>
          </w:p>
        </w:tc>
        <w:tc>
          <w:tcPr>
            <w:tcW w:w="0" w:type="dxa"/>
            <w:vAlign w:val="bottom"/>
          </w:tcPr>
          <w:p>
            <w:pPr>
              <w:spacing w:after="0"/>
              <w:rPr>
                <w:sz w:val="1"/>
                <w:szCs w:val="1"/>
                <w:color w:val="auto"/>
              </w:rPr>
            </w:pPr>
          </w:p>
        </w:tc>
      </w:tr>
      <w:tr>
        <w:trPr>
          <w:trHeight w:val="210"/>
        </w:trPr>
        <w:tc>
          <w:tcPr>
            <w:tcW w:w="68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Unvested balance at January 1, 2026</w:t>
            </w: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5,054,723</w:t>
            </w:r>
          </w:p>
        </w:tc>
        <w:tc>
          <w:tcPr>
            <w:tcW w:w="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3.93</w:t>
            </w:r>
          </w:p>
        </w:tc>
        <w:tc>
          <w:tcPr>
            <w:tcW w:w="0" w:type="dxa"/>
            <w:vAlign w:val="bottom"/>
          </w:tcPr>
          <w:p>
            <w:pPr>
              <w:spacing w:after="0"/>
              <w:rPr>
                <w:sz w:val="1"/>
                <w:szCs w:val="1"/>
                <w:color w:val="auto"/>
              </w:rPr>
            </w:pPr>
          </w:p>
        </w:tc>
      </w:tr>
      <w:tr>
        <w:trPr>
          <w:trHeight w:val="216"/>
        </w:trPr>
        <w:tc>
          <w:tcPr>
            <w:tcW w:w="68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Granted</w:t>
            </w: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68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Vested</w:t>
            </w: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68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Forfeited</w:t>
            </w:r>
          </w:p>
        </w:tc>
        <w:tc>
          <w:tcPr>
            <w:tcW w:w="9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(57,002)</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3.38</w:t>
            </w:r>
          </w:p>
        </w:tc>
        <w:tc>
          <w:tcPr>
            <w:tcW w:w="0" w:type="dxa"/>
            <w:vAlign w:val="bottom"/>
          </w:tcPr>
          <w:p>
            <w:pPr>
              <w:spacing w:after="0"/>
              <w:rPr>
                <w:sz w:val="1"/>
                <w:szCs w:val="1"/>
                <w:color w:val="auto"/>
              </w:rPr>
            </w:pPr>
          </w:p>
        </w:tc>
      </w:tr>
      <w:tr>
        <w:trPr>
          <w:trHeight w:val="210"/>
        </w:trPr>
        <w:tc>
          <w:tcPr>
            <w:tcW w:w="68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Unvested balance at March 31, 2026</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4,997,721</w:t>
            </w:r>
          </w:p>
        </w:tc>
        <w:tc>
          <w:tcPr>
            <w:tcW w:w="40" w:type="dxa"/>
            <w:vAlign w:val="bottom"/>
            <w:tcBorders>
              <w:top w:val="single" w:sz="8" w:color="CCEEFF"/>
              <w:bottom w:val="single" w:sz="8" w:color="CCEEFF"/>
            </w:tcBorders>
            <w:shd w:val="clear" w:color="auto" w:fill="CCEEFF"/>
          </w:tcPr>
          <w:p>
            <w:pPr>
              <w:spacing w:after="0"/>
              <w:rPr>
                <w:sz w:val="18"/>
                <w:szCs w:val="18"/>
                <w:color w:val="auto"/>
              </w:rPr>
            </w:pPr>
          </w:p>
        </w:tc>
        <w:tc>
          <w:tcPr>
            <w:tcW w:w="260" w:type="dxa"/>
            <w:vAlign w:val="bottom"/>
            <w:tcBorders>
              <w:top w:val="single" w:sz="8" w:color="CCEEFF"/>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3.93</w:t>
            </w:r>
          </w:p>
        </w:tc>
        <w:tc>
          <w:tcPr>
            <w:tcW w:w="0" w:type="dxa"/>
            <w:vAlign w:val="bottom"/>
          </w:tcPr>
          <w:p>
            <w:pPr>
              <w:spacing w:after="0"/>
              <w:rPr>
                <w:sz w:val="1"/>
                <w:szCs w:val="1"/>
                <w:color w:val="auto"/>
              </w:rPr>
            </w:pPr>
          </w:p>
        </w:tc>
      </w:tr>
      <w:tr>
        <w:trPr>
          <w:trHeight w:val="20"/>
        </w:trPr>
        <w:tc>
          <w:tcPr>
            <w:tcW w:w="682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Stock-Based Compensation</w:t>
      </w:r>
    </w:p>
    <w:p>
      <w:pPr>
        <w:spacing w:after="0" w:line="22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The condensed consolidated statements of operations include stock-based compensation for the three months ended</w:t>
      </w:r>
    </w:p>
    <w:p>
      <w:pPr>
        <w:spacing w:after="0" w:line="2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March 31, 2026 and 2025 as follows (in thousands):</w:t>
      </w:r>
    </w:p>
    <w:p>
      <w:pPr>
        <w:spacing w:after="0" w:line="214"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5940" w:type="dxa"/>
            <w:vAlign w:val="bottom"/>
          </w:tcPr>
          <w:p>
            <w:pPr>
              <w:spacing w:after="0"/>
              <w:rPr>
                <w:sz w:val="15"/>
                <w:szCs w:val="15"/>
                <w:color w:val="auto"/>
              </w:rPr>
            </w:pPr>
          </w:p>
        </w:tc>
        <w:tc>
          <w:tcPr>
            <w:tcW w:w="840" w:type="dxa"/>
            <w:vAlign w:val="bottom"/>
            <w:tcBorders>
              <w:bottom w:val="single" w:sz="8" w:color="auto"/>
            </w:tcBorders>
          </w:tcPr>
          <w:p>
            <w:pPr>
              <w:spacing w:after="0"/>
              <w:rPr>
                <w:sz w:val="15"/>
                <w:szCs w:val="15"/>
                <w:color w:val="auto"/>
              </w:rPr>
            </w:pPr>
          </w:p>
        </w:tc>
        <w:tc>
          <w:tcPr>
            <w:tcW w:w="2120" w:type="dxa"/>
            <w:vAlign w:val="bottom"/>
            <w:tcBorders>
              <w:bottom w:val="single" w:sz="8" w:color="auto"/>
            </w:tcBorders>
            <w:gridSpan w:val="4"/>
          </w:tcPr>
          <w:p>
            <w:pPr>
              <w:jc w:val="right"/>
              <w:ind w:right="755"/>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0" w:type="dxa"/>
            <w:vAlign w:val="bottom"/>
          </w:tcPr>
          <w:p>
            <w:pPr>
              <w:spacing w:after="0"/>
              <w:rPr>
                <w:sz w:val="1"/>
                <w:szCs w:val="1"/>
                <w:color w:val="auto"/>
              </w:rPr>
            </w:pPr>
          </w:p>
        </w:tc>
      </w:tr>
      <w:tr>
        <w:trPr>
          <w:trHeight w:val="117"/>
        </w:trPr>
        <w:tc>
          <w:tcPr>
            <w:tcW w:w="5940" w:type="dxa"/>
            <w:vAlign w:val="bottom"/>
          </w:tcPr>
          <w:p>
            <w:pPr>
              <w:spacing w:after="0"/>
              <w:rPr>
                <w:sz w:val="10"/>
                <w:szCs w:val="10"/>
                <w:color w:val="auto"/>
              </w:rPr>
            </w:pPr>
          </w:p>
        </w:tc>
        <w:tc>
          <w:tcPr>
            <w:tcW w:w="1340" w:type="dxa"/>
            <w:vAlign w:val="bottom"/>
            <w:gridSpan w:val="2"/>
          </w:tcPr>
          <w:p>
            <w:pPr>
              <w:jc w:val="right"/>
              <w:ind w:right="293"/>
              <w:spacing w:after="0" w:line="118" w:lineRule="exact"/>
              <w:rPr>
                <w:sz w:val="20"/>
                <w:szCs w:val="20"/>
                <w:color w:val="auto"/>
              </w:rPr>
            </w:pPr>
            <w:r>
              <w:rPr>
                <w:rFonts w:ascii="Times New Roman" w:cs="Times New Roman" w:eastAsia="Times New Roman" w:hAnsi="Times New Roman"/>
                <w:sz w:val="13"/>
                <w:szCs w:val="13"/>
                <w:b w:val="1"/>
                <w:bCs w:val="1"/>
                <w:color w:val="auto"/>
              </w:rPr>
              <w:t>March 31,</w:t>
            </w:r>
          </w:p>
        </w:tc>
        <w:tc>
          <w:tcPr>
            <w:tcW w:w="500" w:type="dxa"/>
            <w:vAlign w:val="bottom"/>
            <w:gridSpan w:val="2"/>
            <w:vMerge w:val="restart"/>
          </w:tcPr>
          <w:p>
            <w:pPr>
              <w:jc w:val="right"/>
              <w:ind w:right="236"/>
              <w:spacing w:after="0"/>
              <w:rPr>
                <w:sz w:val="20"/>
                <w:szCs w:val="20"/>
                <w:color w:val="auto"/>
              </w:rPr>
            </w:pPr>
            <w:r>
              <w:rPr>
                <w:rFonts w:ascii="Times New Roman" w:cs="Times New Roman" w:eastAsia="Times New Roman" w:hAnsi="Times New Roman"/>
                <w:sz w:val="14"/>
                <w:szCs w:val="14"/>
                <w:b w:val="1"/>
                <w:bCs w:val="1"/>
                <w:color w:val="auto"/>
              </w:rPr>
              <w:t>​​​</w:t>
            </w:r>
          </w:p>
        </w:tc>
        <w:tc>
          <w:tcPr>
            <w:tcW w:w="1120" w:type="dxa"/>
            <w:vAlign w:val="bottom"/>
          </w:tcPr>
          <w:p>
            <w:pPr>
              <w:jc w:val="right"/>
              <w:ind w:right="295"/>
              <w:spacing w:after="0" w:line="118" w:lineRule="exact"/>
              <w:rPr>
                <w:sz w:val="20"/>
                <w:szCs w:val="20"/>
                <w:color w:val="auto"/>
              </w:rPr>
            </w:pPr>
            <w:r>
              <w:rPr>
                <w:rFonts w:ascii="Times New Roman" w:cs="Times New Roman" w:eastAsia="Times New Roman" w:hAnsi="Times New Roman"/>
                <w:sz w:val="13"/>
                <w:szCs w:val="13"/>
                <w:b w:val="1"/>
                <w:bCs w:val="1"/>
                <w:color w:val="auto"/>
              </w:rPr>
              <w:t>March 31,</w:t>
            </w:r>
          </w:p>
        </w:tc>
        <w:tc>
          <w:tcPr>
            <w:tcW w:w="0" w:type="dxa"/>
            <w:vAlign w:val="bottom"/>
          </w:tcPr>
          <w:p>
            <w:pPr>
              <w:spacing w:after="0"/>
              <w:rPr>
                <w:sz w:val="1"/>
                <w:szCs w:val="1"/>
                <w:color w:val="auto"/>
              </w:rPr>
            </w:pPr>
          </w:p>
        </w:tc>
      </w:tr>
      <w:tr>
        <w:trPr>
          <w:trHeight w:val="173"/>
        </w:trPr>
        <w:tc>
          <w:tcPr>
            <w:tcW w:w="594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2026</w:t>
            </w:r>
          </w:p>
        </w:tc>
        <w:tc>
          <w:tcPr>
            <w:tcW w:w="500" w:type="dxa"/>
            <w:vAlign w:val="bottom"/>
          </w:tcPr>
          <w:p>
            <w:pPr>
              <w:spacing w:after="0"/>
              <w:rPr>
                <w:sz w:val="15"/>
                <w:szCs w:val="15"/>
                <w:color w:val="auto"/>
              </w:rPr>
            </w:pPr>
          </w:p>
        </w:tc>
        <w:tc>
          <w:tcPr>
            <w:tcW w:w="500" w:type="dxa"/>
            <w:vAlign w:val="bottom"/>
            <w:gridSpan w:val="2"/>
            <w:vMerge w:val="continue"/>
          </w:tcPr>
          <w:p>
            <w:pPr>
              <w:spacing w:after="0"/>
              <w:rPr>
                <w:sz w:val="15"/>
                <w:szCs w:val="15"/>
                <w:color w:val="auto"/>
              </w:rPr>
            </w:pPr>
          </w:p>
        </w:tc>
        <w:tc>
          <w:tcPr>
            <w:tcW w:w="1120" w:type="dxa"/>
            <w:vAlign w:val="bottom"/>
          </w:tcPr>
          <w:p>
            <w:pPr>
              <w:jc w:val="right"/>
              <w:ind w:right="435"/>
              <w:spacing w:after="0"/>
              <w:rPr>
                <w:sz w:val="20"/>
                <w:szCs w:val="20"/>
                <w:color w:val="auto"/>
              </w:rPr>
            </w:pPr>
            <w:r>
              <w:rPr>
                <w:rFonts w:ascii="Times New Roman" w:cs="Times New Roman" w:eastAsia="Times New Roman" w:hAnsi="Times New Roman"/>
                <w:sz w:val="14"/>
                <w:szCs w:val="14"/>
                <w:b w:val="1"/>
                <w:bCs w:val="1"/>
                <w:color w:val="auto"/>
              </w:rPr>
              <w:t>2025</w:t>
            </w:r>
          </w:p>
        </w:tc>
        <w:tc>
          <w:tcPr>
            <w:tcW w:w="0" w:type="dxa"/>
            <w:vAlign w:val="bottom"/>
          </w:tcPr>
          <w:p>
            <w:pPr>
              <w:spacing w:after="0"/>
              <w:rPr>
                <w:sz w:val="1"/>
                <w:szCs w:val="1"/>
                <w:color w:val="auto"/>
              </w:rPr>
            </w:pPr>
          </w:p>
        </w:tc>
      </w:tr>
      <w:tr>
        <w:trPr>
          <w:trHeight w:val="210"/>
        </w:trPr>
        <w:tc>
          <w:tcPr>
            <w:tcW w:w="59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Product cost of revenue</w:t>
            </w:r>
          </w:p>
        </w:tc>
        <w:tc>
          <w:tcPr>
            <w:tcW w:w="840" w:type="dxa"/>
            <w:vAlign w:val="bottom"/>
            <w:tcBorders>
              <w:top w:val="single" w:sz="8" w:color="auto"/>
            </w:tcBorders>
            <w:shd w:val="clear" w:color="auto" w:fill="CCEEFF"/>
          </w:tcPr>
          <w:p>
            <w:pPr>
              <w:jc w:val="right"/>
              <w:ind w:right="660"/>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28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w:t>
            </w:r>
          </w:p>
        </w:tc>
        <w:tc>
          <w:tcPr>
            <w:tcW w:w="0" w:type="dxa"/>
            <w:vAlign w:val="bottom"/>
          </w:tcPr>
          <w:p>
            <w:pPr>
              <w:spacing w:after="0"/>
              <w:rPr>
                <w:sz w:val="1"/>
                <w:szCs w:val="1"/>
                <w:color w:val="auto"/>
              </w:rPr>
            </w:pPr>
          </w:p>
        </w:tc>
      </w:tr>
      <w:tr>
        <w:trPr>
          <w:trHeight w:val="216"/>
        </w:trPr>
        <w:tc>
          <w:tcPr>
            <w:tcW w:w="5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Service cost of revenue</w:t>
            </w:r>
          </w:p>
        </w:tc>
        <w:tc>
          <w:tcPr>
            <w:tcW w:w="84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161</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286</w:t>
            </w:r>
          </w:p>
        </w:tc>
        <w:tc>
          <w:tcPr>
            <w:tcW w:w="0" w:type="dxa"/>
            <w:vAlign w:val="bottom"/>
          </w:tcPr>
          <w:p>
            <w:pPr>
              <w:spacing w:after="0"/>
              <w:rPr>
                <w:sz w:val="1"/>
                <w:szCs w:val="1"/>
                <w:color w:val="auto"/>
              </w:rPr>
            </w:pPr>
          </w:p>
        </w:tc>
      </w:tr>
      <w:tr>
        <w:trPr>
          <w:trHeight w:val="216"/>
        </w:trPr>
        <w:tc>
          <w:tcPr>
            <w:tcW w:w="5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Research and development</w:t>
            </w:r>
          </w:p>
        </w:tc>
        <w:tc>
          <w:tcPr>
            <w:tcW w:w="84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477</w:t>
            </w: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725</w:t>
            </w:r>
          </w:p>
        </w:tc>
        <w:tc>
          <w:tcPr>
            <w:tcW w:w="0" w:type="dxa"/>
            <w:vAlign w:val="bottom"/>
          </w:tcPr>
          <w:p>
            <w:pPr>
              <w:spacing w:after="0"/>
              <w:rPr>
                <w:sz w:val="1"/>
                <w:szCs w:val="1"/>
                <w:color w:val="auto"/>
              </w:rPr>
            </w:pPr>
          </w:p>
        </w:tc>
      </w:tr>
      <w:tr>
        <w:trPr>
          <w:trHeight w:val="216"/>
        </w:trPr>
        <w:tc>
          <w:tcPr>
            <w:tcW w:w="5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Sales and marketing</w:t>
            </w:r>
          </w:p>
        </w:tc>
        <w:tc>
          <w:tcPr>
            <w:tcW w:w="84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1,130</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1,173</w:t>
            </w:r>
          </w:p>
        </w:tc>
        <w:tc>
          <w:tcPr>
            <w:tcW w:w="0" w:type="dxa"/>
            <w:vAlign w:val="bottom"/>
          </w:tcPr>
          <w:p>
            <w:pPr>
              <w:spacing w:after="0"/>
              <w:rPr>
                <w:sz w:val="1"/>
                <w:szCs w:val="1"/>
                <w:color w:val="auto"/>
              </w:rPr>
            </w:pPr>
          </w:p>
        </w:tc>
      </w:tr>
      <w:tr>
        <w:trPr>
          <w:trHeight w:val="216"/>
        </w:trPr>
        <w:tc>
          <w:tcPr>
            <w:tcW w:w="5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84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4,146</w:t>
            </w:r>
          </w:p>
        </w:tc>
        <w:tc>
          <w:tcPr>
            <w:tcW w:w="28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2,048</w:t>
            </w:r>
          </w:p>
        </w:tc>
        <w:tc>
          <w:tcPr>
            <w:tcW w:w="0" w:type="dxa"/>
            <w:vAlign w:val="bottom"/>
          </w:tcPr>
          <w:p>
            <w:pPr>
              <w:spacing w:after="0"/>
              <w:rPr>
                <w:sz w:val="1"/>
                <w:szCs w:val="1"/>
                <w:color w:val="auto"/>
              </w:rPr>
            </w:pPr>
          </w:p>
        </w:tc>
      </w:tr>
      <w:tr>
        <w:trPr>
          <w:trHeight w:val="209"/>
        </w:trPr>
        <w:tc>
          <w:tcPr>
            <w:tcW w:w="5940" w:type="dxa"/>
            <w:vAlign w:val="bottom"/>
          </w:tcPr>
          <w:p>
            <w:pPr>
              <w:spacing w:after="0"/>
              <w:rPr>
                <w:sz w:val="18"/>
                <w:szCs w:val="18"/>
                <w:color w:val="auto"/>
              </w:rPr>
            </w:pPr>
          </w:p>
        </w:tc>
        <w:tc>
          <w:tcPr>
            <w:tcW w:w="840" w:type="dxa"/>
            <w:vAlign w:val="bottom"/>
            <w:tcBorders>
              <w:bottom w:val="single" w:sz="8" w:color="auto"/>
            </w:tcBorders>
          </w:tcPr>
          <w:p>
            <w:pPr>
              <w:jc w:val="right"/>
              <w:ind w:right="660"/>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5,957</w:t>
            </w:r>
          </w:p>
        </w:tc>
        <w:tc>
          <w:tcPr>
            <w:tcW w:w="280" w:type="dxa"/>
            <w:vAlign w:val="bottom"/>
          </w:tcPr>
          <w:p>
            <w:pPr>
              <w:spacing w:after="0"/>
              <w:rPr>
                <w:sz w:val="18"/>
                <w:szCs w:val="18"/>
                <w:color w:val="auto"/>
              </w:rPr>
            </w:pPr>
          </w:p>
        </w:tc>
        <w:tc>
          <w:tcPr>
            <w:tcW w:w="220" w:type="dxa"/>
            <w:vAlign w:val="bottom"/>
            <w:tcBorders>
              <w:bottom w:val="single" w:sz="8" w:color="auto"/>
            </w:tcBorders>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4,298</w:t>
            </w:r>
          </w:p>
        </w:tc>
        <w:tc>
          <w:tcPr>
            <w:tcW w:w="0" w:type="dxa"/>
            <w:vAlign w:val="bottom"/>
          </w:tcPr>
          <w:p>
            <w:pPr>
              <w:spacing w:after="0"/>
              <w:rPr>
                <w:sz w:val="1"/>
                <w:szCs w:val="1"/>
                <w:color w:val="auto"/>
              </w:rPr>
            </w:pPr>
          </w:p>
        </w:tc>
      </w:tr>
      <w:tr>
        <w:trPr>
          <w:trHeight w:val="20"/>
        </w:trPr>
        <w:tc>
          <w:tcPr>
            <w:tcW w:w="594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left="60" w:right="159" w:firstLine="324"/>
        <w:spacing w:after="0" w:line="266" w:lineRule="auto"/>
        <w:rPr>
          <w:sz w:val="20"/>
          <w:szCs w:val="20"/>
          <w:color w:val="auto"/>
        </w:rPr>
      </w:pPr>
      <w:r>
        <w:rPr>
          <w:rFonts w:ascii="Times New Roman" w:cs="Times New Roman" w:eastAsia="Times New Roman" w:hAnsi="Times New Roman"/>
          <w:sz w:val="18"/>
          <w:szCs w:val="18"/>
          <w:color w:val="auto"/>
        </w:rPr>
        <w:t>At March 31, 2026, there was $25.1 million, net of expected forfeitures, of unrecognized stock-based compensation expense related to unvested RSUs and PSUs. This expense is expected to be recognized over a weighted average period of approximately 1.4 years.</w:t>
      </w:r>
    </w:p>
    <w:p>
      <w:pPr>
        <w:spacing w:after="0" w:line="3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30" w:name="page31"/>
    <w:bookmarkEnd w:id="30"/>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ind w:left="60" w:right="79"/>
        <w:spacing w:after="0" w:line="278" w:lineRule="auto"/>
        <w:rPr>
          <w:sz w:val="20"/>
          <w:szCs w:val="20"/>
          <w:color w:val="auto"/>
        </w:rPr>
      </w:pPr>
      <w:r>
        <w:rPr>
          <w:rFonts w:ascii="Times New Roman" w:cs="Times New Roman" w:eastAsia="Times New Roman" w:hAnsi="Times New Roman"/>
          <w:sz w:val="18"/>
          <w:szCs w:val="18"/>
          <w:b w:val="1"/>
          <w:bCs w:val="1"/>
          <w:color w:val="auto"/>
        </w:rPr>
        <w:t>RIBBON COMMUNICATIONS INC. Notes to Condensed Consolidated Financial Statements (Continued) (unaudited)</w:t>
      </w:r>
    </w:p>
    <w:p>
      <w:pPr>
        <w:spacing w:after="0" w:line="38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(17) LEASES</w:t>
      </w:r>
    </w:p>
    <w:p>
      <w:pPr>
        <w:spacing w:after="0" w:line="229" w:lineRule="exact"/>
        <w:rPr>
          <w:sz w:val="20"/>
          <w:szCs w:val="20"/>
          <w:color w:val="auto"/>
        </w:rPr>
      </w:pPr>
    </w:p>
    <w:p>
      <w:pPr>
        <w:ind w:left="60" w:right="179" w:firstLine="324"/>
        <w:spacing w:after="0" w:line="282" w:lineRule="auto"/>
        <w:rPr>
          <w:sz w:val="20"/>
          <w:szCs w:val="20"/>
          <w:color w:val="auto"/>
        </w:rPr>
      </w:pPr>
      <w:r>
        <w:rPr>
          <w:rFonts w:ascii="Times New Roman" w:cs="Times New Roman" w:eastAsia="Times New Roman" w:hAnsi="Times New Roman"/>
          <w:sz w:val="18"/>
          <w:szCs w:val="18"/>
          <w:color w:val="auto"/>
        </w:rPr>
        <w:t>The Company has operating leases for corporate offices and research and development facilities. Operating leases are reported separately in the Company’s condensed consolidated balance sheets.</w:t>
      </w:r>
    </w:p>
    <w:p>
      <w:pPr>
        <w:spacing w:after="0" w:line="162" w:lineRule="exact"/>
        <w:rPr>
          <w:sz w:val="20"/>
          <w:szCs w:val="20"/>
          <w:color w:val="auto"/>
        </w:rPr>
      </w:pPr>
    </w:p>
    <w:p>
      <w:pPr>
        <w:ind w:left="60" w:right="99" w:firstLine="324"/>
        <w:spacing w:after="0" w:line="256" w:lineRule="auto"/>
        <w:rPr>
          <w:sz w:val="20"/>
          <w:szCs w:val="20"/>
          <w:color w:val="auto"/>
        </w:rPr>
      </w:pPr>
      <w:r>
        <w:rPr>
          <w:rFonts w:ascii="Times New Roman" w:cs="Times New Roman" w:eastAsia="Times New Roman" w:hAnsi="Times New Roman"/>
          <w:sz w:val="18"/>
          <w:szCs w:val="18"/>
          <w:color w:val="auto"/>
        </w:rPr>
        <w:t>The Company determines if an arrangement is a lease at inception. A contract is determined to contain a lease component if the arrangement provides the Company with a right to control the use of an identified asset. Lease agreements may include lease and non-lease components. In such instances for all classes of underlying assets, the Company does not separate lease and non-lease components but rather, accounts for the entire arrangement under leasing guidance. Leases with an initial term of 12 months or less are not recorded on the balance sheet and lease expense for these leases is recognized on a straight-line basis over the lease term.</w:t>
      </w:r>
    </w:p>
    <w:p>
      <w:pPr>
        <w:spacing w:after="0" w:line="187" w:lineRule="exact"/>
        <w:rPr>
          <w:sz w:val="20"/>
          <w:szCs w:val="20"/>
          <w:color w:val="auto"/>
        </w:rPr>
      </w:pPr>
    </w:p>
    <w:p>
      <w:pPr>
        <w:ind w:left="60" w:right="79" w:firstLine="324"/>
        <w:spacing w:after="0" w:line="253" w:lineRule="auto"/>
        <w:rPr>
          <w:sz w:val="20"/>
          <w:szCs w:val="20"/>
          <w:color w:val="auto"/>
        </w:rPr>
      </w:pPr>
      <w:r>
        <w:rPr>
          <w:rFonts w:ascii="Times New Roman" w:cs="Times New Roman" w:eastAsia="Times New Roman" w:hAnsi="Times New Roman"/>
          <w:sz w:val="18"/>
          <w:szCs w:val="18"/>
          <w:color w:val="auto"/>
        </w:rPr>
        <w:t>Right-of-use assets and lease liabilities are initially measured based on the present value of the future minimum fixed lease payments (i.e., fixed payments in the lease contract) over the lease term at the commencement date. As the Company’s existing leases do not have a readily determinable implicit rate, the Company uses its incremental borrowing rate based on the information available at the commencement date in determining the present value of future minimum fixed lease payments. The Company calculates its incremental borrowing rate to reflect the interest rate that it would have to pay to borrow on a collateralized basis an amount equal to the lease payments in a similar economic environment over a similar term and considers its historical borrowing activities and market data from entities with comparable credit ratings in this determination. The measurement of the right-of-use asset also includes any lease payments made prior to the commencement date (excluding any lease incentives) and initial direct costs incurred. The Company assessed its right-of-use assets for impairment as of March 31, 2026 and December 31, 2025 and determined no impairment has occurred.</w:t>
      </w:r>
    </w:p>
    <w:p>
      <w:pPr>
        <w:spacing w:after="0" w:line="194" w:lineRule="exact"/>
        <w:rPr>
          <w:sz w:val="20"/>
          <w:szCs w:val="20"/>
          <w:color w:val="auto"/>
        </w:rPr>
      </w:pPr>
    </w:p>
    <w:p>
      <w:pPr>
        <w:ind w:left="60" w:right="339" w:firstLine="324"/>
        <w:spacing w:after="0" w:line="261" w:lineRule="auto"/>
        <w:rPr>
          <w:sz w:val="20"/>
          <w:szCs w:val="20"/>
          <w:color w:val="auto"/>
        </w:rPr>
      </w:pPr>
      <w:r>
        <w:rPr>
          <w:rFonts w:ascii="Times New Roman" w:cs="Times New Roman" w:eastAsia="Times New Roman" w:hAnsi="Times New Roman"/>
          <w:sz w:val="18"/>
          <w:szCs w:val="18"/>
          <w:color w:val="auto"/>
        </w:rPr>
        <w:t>Lease terms may include options to extend or terminate the lease and the Company incorporates such options in the lease term when it has the unilateral right to make such an election and it is reasonably certain that the Company will exercise that option. In making this determination, the Company considers its prior renewal and termination history and planned usage of the assets under lease, incorporating expected market conditions.</w:t>
      </w:r>
    </w:p>
    <w:p>
      <w:pPr>
        <w:spacing w:after="0" w:line="180" w:lineRule="exact"/>
        <w:rPr>
          <w:sz w:val="20"/>
          <w:szCs w:val="20"/>
          <w:color w:val="auto"/>
        </w:rPr>
      </w:pPr>
    </w:p>
    <w:p>
      <w:pPr>
        <w:ind w:left="60" w:right="179" w:firstLine="324"/>
        <w:spacing w:after="0" w:line="258" w:lineRule="auto"/>
        <w:rPr>
          <w:sz w:val="20"/>
          <w:szCs w:val="20"/>
          <w:color w:val="auto"/>
        </w:rPr>
      </w:pPr>
      <w:r>
        <w:rPr>
          <w:rFonts w:ascii="Times New Roman" w:cs="Times New Roman" w:eastAsia="Times New Roman" w:hAnsi="Times New Roman"/>
          <w:sz w:val="18"/>
          <w:szCs w:val="18"/>
          <w:color w:val="auto"/>
        </w:rPr>
        <w:t>For operating leases, lease expense for minimum fixed lease payments is recognized on a straight-line basis over the lease term. Lease contracts may contain variable lease costs, such as common area maintenance, utilities and tax reimbursements that vary over the term of the contract. Variable lease costs are not included in minimum fixed lease payments and as a result, are excluded from the measurement of the right-of-use assets and lease liabilities. The Company expenses all variable lease costs as incurred.</w:t>
      </w:r>
    </w:p>
    <w:p>
      <w:pPr>
        <w:spacing w:after="0" w:line="183" w:lineRule="exact"/>
        <w:rPr>
          <w:sz w:val="20"/>
          <w:szCs w:val="20"/>
          <w:color w:val="auto"/>
        </w:rPr>
      </w:pPr>
    </w:p>
    <w:p>
      <w:pPr>
        <w:ind w:left="60" w:right="79" w:firstLine="324"/>
        <w:spacing w:after="0" w:line="256" w:lineRule="auto"/>
        <w:rPr>
          <w:sz w:val="20"/>
          <w:szCs w:val="20"/>
          <w:color w:val="auto"/>
        </w:rPr>
      </w:pPr>
      <w:r>
        <w:rPr>
          <w:rFonts w:ascii="Times New Roman" w:cs="Times New Roman" w:eastAsia="Times New Roman" w:hAnsi="Times New Roman"/>
          <w:sz w:val="18"/>
          <w:szCs w:val="18"/>
          <w:color w:val="auto"/>
        </w:rPr>
        <w:t>Certain leased facilities are being partially or fully vacated as part of the 2022 Restructuring Plan and for some of those facilities, the Company has no plans to enter into sublease agreements. Accordingly, the Company may accelerate the amortization of those lease assets through the planned cease-use date of each facility, resulting in additional amortization expense. No such accelerated amortization was recorded in the three months ended March 31, 2026 or 2025. The Company did not record estimated future variable lease costs in the three months ended March 31, 2026 or 2025 related to the 2022 Restructuring Plan.</w:t>
      </w:r>
    </w:p>
    <w:p>
      <w:pPr>
        <w:spacing w:after="0" w:line="187" w:lineRule="exact"/>
        <w:rPr>
          <w:sz w:val="20"/>
          <w:szCs w:val="20"/>
          <w:color w:val="auto"/>
        </w:rPr>
      </w:pPr>
    </w:p>
    <w:p>
      <w:pPr>
        <w:ind w:left="60" w:right="139" w:firstLine="324"/>
        <w:spacing w:after="0" w:line="258" w:lineRule="auto"/>
        <w:rPr>
          <w:sz w:val="20"/>
          <w:szCs w:val="20"/>
          <w:color w:val="auto"/>
        </w:rPr>
      </w:pPr>
      <w:r>
        <w:rPr>
          <w:rFonts w:ascii="Times New Roman" w:cs="Times New Roman" w:eastAsia="Times New Roman" w:hAnsi="Times New Roman"/>
          <w:sz w:val="18"/>
          <w:szCs w:val="18"/>
          <w:color w:val="auto"/>
        </w:rPr>
        <w:t>All incremental accelerated amortization and accruals for estimated future variable costs are included in Restructuring and related expense in the Company’s condensed consolidated statements of operations. At March 31, 2026 and December 31, 2025, the Company had accruals of $0.7 million and $0.8 million, respectively, for all future anticipated variable lease costs related to these facilities. The Company may incur additional future expense if it is unable to sublease other locations included in the facilities initiative.</w:t>
      </w:r>
    </w:p>
    <w:p>
      <w:pPr>
        <w:spacing w:after="0" w:line="183" w:lineRule="exact"/>
        <w:rPr>
          <w:sz w:val="20"/>
          <w:szCs w:val="20"/>
          <w:color w:val="auto"/>
        </w:rPr>
      </w:pPr>
    </w:p>
    <w:p>
      <w:pPr>
        <w:ind w:left="60" w:right="419" w:firstLine="324"/>
        <w:spacing w:after="0" w:line="282" w:lineRule="auto"/>
        <w:rPr>
          <w:sz w:val="20"/>
          <w:szCs w:val="20"/>
          <w:color w:val="auto"/>
        </w:rPr>
      </w:pPr>
      <w:r>
        <w:rPr>
          <w:rFonts w:ascii="Times New Roman" w:cs="Times New Roman" w:eastAsia="Times New Roman" w:hAnsi="Times New Roman"/>
          <w:sz w:val="18"/>
          <w:szCs w:val="18"/>
          <w:color w:val="auto"/>
        </w:rPr>
        <w:t>The Company leases its corporate offices and other facilities under operating leases, which expire at various times through 2036.</w:t>
      </w: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31" w:name="page32"/>
    <w:bookmarkEnd w:id="31"/>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ind w:left="40" w:right="59"/>
        <w:spacing w:after="0" w:line="278" w:lineRule="auto"/>
        <w:rPr>
          <w:sz w:val="20"/>
          <w:szCs w:val="20"/>
          <w:color w:val="auto"/>
        </w:rPr>
      </w:pPr>
      <w:r>
        <w:rPr>
          <w:rFonts w:ascii="Times New Roman" w:cs="Times New Roman" w:eastAsia="Times New Roman" w:hAnsi="Times New Roman"/>
          <w:sz w:val="18"/>
          <w:szCs w:val="18"/>
          <w:b w:val="1"/>
          <w:bCs w:val="1"/>
          <w:color w:val="auto"/>
        </w:rPr>
        <w:t>RIBBON COMMUNICATIONS INC. Notes to Condensed Consolidated Financial Statements (Continued) (unaudited)</w:t>
      </w:r>
    </w:p>
    <w:p>
      <w:pPr>
        <w:spacing w:after="0" w:line="388" w:lineRule="exact"/>
        <w:rPr>
          <w:sz w:val="20"/>
          <w:szCs w:val="20"/>
          <w:color w:val="auto"/>
        </w:rPr>
      </w:pPr>
    </w:p>
    <w:p>
      <w:pPr>
        <w:ind w:left="60" w:right="599" w:firstLine="324"/>
        <w:spacing w:after="0" w:line="282" w:lineRule="auto"/>
        <w:rPr>
          <w:sz w:val="20"/>
          <w:szCs w:val="20"/>
          <w:color w:val="auto"/>
        </w:rPr>
      </w:pPr>
      <w:r>
        <w:rPr>
          <w:rFonts w:ascii="Times New Roman" w:cs="Times New Roman" w:eastAsia="Times New Roman" w:hAnsi="Times New Roman"/>
          <w:sz w:val="18"/>
          <w:szCs w:val="18"/>
          <w:color w:val="auto"/>
        </w:rPr>
        <w:t>The Company’s right-of-use lease assets and lease liabilities at March 31, 2026 and December 31, 2025 were as follows (in thousands):</w:t>
      </w:r>
    </w:p>
    <w:p>
      <w:pPr>
        <w:spacing w:after="0" w:line="156"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3000" w:type="dxa"/>
            <w:vAlign w:val="bottom"/>
          </w:tcPr>
          <w:p>
            <w:pPr>
              <w:spacing w:after="0"/>
              <w:rPr>
                <w:sz w:val="13"/>
                <w:szCs w:val="13"/>
                <w:color w:val="auto"/>
              </w:rPr>
            </w:pPr>
          </w:p>
        </w:tc>
        <w:tc>
          <w:tcPr>
            <w:tcW w:w="1240" w:type="dxa"/>
            <w:vAlign w:val="bottom"/>
            <w:gridSpan w:val="2"/>
            <w:vMerge w:val="restart"/>
          </w:tcPr>
          <w:p>
            <w:pPr>
              <w:ind w:left="520"/>
              <w:spacing w:after="0"/>
              <w:rPr>
                <w:sz w:val="20"/>
                <w:szCs w:val="20"/>
                <w:color w:val="auto"/>
              </w:rPr>
            </w:pPr>
            <w:r>
              <w:rPr>
                <w:rFonts w:ascii="Times New Roman" w:cs="Times New Roman" w:eastAsia="Times New Roman" w:hAnsi="Times New Roman"/>
                <w:sz w:val="14"/>
                <w:szCs w:val="14"/>
                <w:color w:val="auto"/>
              </w:rPr>
              <w:t>​​​</w:t>
            </w:r>
          </w:p>
        </w:tc>
        <w:tc>
          <w:tcPr>
            <w:tcW w:w="2660" w:type="dxa"/>
            <w:vAlign w:val="bottom"/>
            <w:vMerge w:val="restart"/>
          </w:tcPr>
          <w:p>
            <w:pPr>
              <w:ind w:left="600"/>
              <w:spacing w:after="0"/>
              <w:rPr>
                <w:sz w:val="20"/>
                <w:szCs w:val="20"/>
                <w:color w:val="auto"/>
              </w:rPr>
            </w:pPr>
            <w:r>
              <w:rPr>
                <w:rFonts w:ascii="Times New Roman" w:cs="Times New Roman" w:eastAsia="Times New Roman" w:hAnsi="Times New Roman"/>
                <w:sz w:val="14"/>
                <w:szCs w:val="14"/>
                <w:b w:val="1"/>
                <w:bCs w:val="1"/>
                <w:color w:val="auto"/>
              </w:rPr>
              <w:t>Classification</w:t>
            </w:r>
          </w:p>
        </w:tc>
        <w:tc>
          <w:tcPr>
            <w:tcW w:w="1000" w:type="dxa"/>
            <w:vAlign w:val="bottom"/>
            <w:gridSpan w:val="4"/>
          </w:tcPr>
          <w:p>
            <w:pPr>
              <w:ind w:left="80"/>
              <w:spacing w:after="0"/>
              <w:rPr>
                <w:sz w:val="20"/>
                <w:szCs w:val="20"/>
                <w:color w:val="auto"/>
              </w:rPr>
            </w:pP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b w:val="1"/>
                <w:bCs w:val="1"/>
                <w:color w:val="auto"/>
              </w:rPr>
              <w:t>March 31,</w:t>
            </w:r>
          </w:p>
        </w:tc>
        <w:tc>
          <w:tcPr>
            <w:tcW w:w="100" w:type="dxa"/>
            <w:vAlign w:val="bottom"/>
          </w:tcPr>
          <w:p>
            <w:pPr>
              <w:spacing w:after="0"/>
              <w:rPr>
                <w:sz w:val="13"/>
                <w:szCs w:val="13"/>
                <w:color w:val="auto"/>
              </w:rPr>
            </w:pPr>
          </w:p>
        </w:tc>
        <w:tc>
          <w:tcPr>
            <w:tcW w:w="96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73"/>
        </w:trPr>
        <w:tc>
          <w:tcPr>
            <w:tcW w:w="3000" w:type="dxa"/>
            <w:vAlign w:val="bottom"/>
          </w:tcPr>
          <w:p>
            <w:pPr>
              <w:spacing w:after="0"/>
              <w:rPr>
                <w:sz w:val="15"/>
                <w:szCs w:val="15"/>
                <w:color w:val="auto"/>
              </w:rPr>
            </w:pPr>
          </w:p>
        </w:tc>
        <w:tc>
          <w:tcPr>
            <w:tcW w:w="1240" w:type="dxa"/>
            <w:vAlign w:val="bottom"/>
            <w:gridSpan w:val="2"/>
            <w:vMerge w:val="continue"/>
          </w:tcPr>
          <w:p>
            <w:pPr>
              <w:spacing w:after="0"/>
              <w:rPr>
                <w:sz w:val="15"/>
                <w:szCs w:val="15"/>
                <w:color w:val="auto"/>
              </w:rPr>
            </w:pPr>
          </w:p>
        </w:tc>
        <w:tc>
          <w:tcPr>
            <w:tcW w:w="2660" w:type="dxa"/>
            <w:vAlign w:val="bottom"/>
            <w:vMerge w:val="continue"/>
          </w:tcPr>
          <w:p>
            <w:pPr>
              <w:spacing w:after="0"/>
              <w:rPr>
                <w:sz w:val="15"/>
                <w:szCs w:val="15"/>
                <w:color w:val="auto"/>
              </w:rPr>
            </w:pPr>
          </w:p>
        </w:tc>
        <w:tc>
          <w:tcPr>
            <w:tcW w:w="32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w:t>
            </w:r>
          </w:p>
        </w:tc>
        <w:tc>
          <w:tcPr>
            <w:tcW w:w="620" w:type="dxa"/>
            <w:vAlign w:val="bottom"/>
          </w:tcPr>
          <w:p>
            <w:pPr>
              <w:ind w:left="80"/>
              <w:spacing w:after="0"/>
              <w:rPr>
                <w:sz w:val="20"/>
                <w:szCs w:val="20"/>
                <w:color w:val="auto"/>
              </w:rPr>
            </w:pPr>
            <w:r>
              <w:rPr>
                <w:rFonts w:ascii="Times New Roman" w:cs="Times New Roman" w:eastAsia="Times New Roman" w:hAnsi="Times New Roman"/>
                <w:sz w:val="14"/>
                <w:szCs w:val="14"/>
                <w:b w:val="1"/>
                <w:bCs w:val="1"/>
                <w:color w:val="auto"/>
              </w:rPr>
              <w:t>2026</w:t>
            </w:r>
          </w:p>
        </w:tc>
        <w:tc>
          <w:tcPr>
            <w:tcW w:w="60" w:type="dxa"/>
            <w:vAlign w:val="bottom"/>
          </w:tcPr>
          <w:p>
            <w:pPr>
              <w:spacing w:after="0"/>
              <w:rPr>
                <w:sz w:val="15"/>
                <w:szCs w:val="15"/>
                <w:color w:val="auto"/>
              </w:rPr>
            </w:pPr>
          </w:p>
        </w:tc>
        <w:tc>
          <w:tcPr>
            <w:tcW w:w="30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w:t>
            </w:r>
          </w:p>
        </w:tc>
        <w:tc>
          <w:tcPr>
            <w:tcW w:w="700" w:type="dxa"/>
            <w:vAlign w:val="bottom"/>
          </w:tcPr>
          <w:p>
            <w:pPr>
              <w:jc w:val="right"/>
              <w:ind w:right="214"/>
              <w:spacing w:after="0"/>
              <w:rPr>
                <w:sz w:val="20"/>
                <w:szCs w:val="20"/>
                <w:color w:val="auto"/>
              </w:rPr>
            </w:pPr>
            <w:r>
              <w:rPr>
                <w:rFonts w:ascii="Times New Roman" w:cs="Times New Roman" w:eastAsia="Times New Roman" w:hAnsi="Times New Roman"/>
                <w:sz w:val="14"/>
                <w:szCs w:val="14"/>
                <w:b w:val="1"/>
                <w:bCs w:val="1"/>
                <w:color w:val="auto"/>
              </w:rPr>
              <w:t>2025</w:t>
            </w:r>
          </w:p>
        </w:tc>
        <w:tc>
          <w:tcPr>
            <w:tcW w:w="6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9"/>
        </w:trPr>
        <w:tc>
          <w:tcPr>
            <w:tcW w:w="30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Assets:</w:t>
            </w:r>
          </w:p>
        </w:tc>
        <w:tc>
          <w:tcPr>
            <w:tcW w:w="600" w:type="dxa"/>
            <w:vAlign w:val="bottom"/>
            <w:tcBorders>
              <w:top w:val="single" w:sz="8" w:color="CCEEFF"/>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18"/>
                <w:szCs w:val="18"/>
                <w:color w:val="auto"/>
              </w:rPr>
            </w:pPr>
          </w:p>
        </w:tc>
        <w:tc>
          <w:tcPr>
            <w:tcW w:w="266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top w:val="single" w:sz="8" w:color="auto"/>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Operating lease assets</w:t>
            </w:r>
          </w:p>
        </w:tc>
        <w:tc>
          <w:tcPr>
            <w:tcW w:w="600" w:type="dxa"/>
            <w:vAlign w:val="bottom"/>
          </w:tcPr>
          <w:p>
            <w:pPr>
              <w:spacing w:after="0"/>
              <w:rPr>
                <w:sz w:val="18"/>
                <w:szCs w:val="18"/>
                <w:color w:val="auto"/>
              </w:rPr>
            </w:pPr>
          </w:p>
        </w:tc>
        <w:tc>
          <w:tcPr>
            <w:tcW w:w="33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Operating lease right-of-use assets</w:t>
            </w:r>
          </w:p>
        </w:tc>
        <w:tc>
          <w:tcPr>
            <w:tcW w:w="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44,010</w:t>
            </w:r>
          </w:p>
        </w:tc>
        <w:tc>
          <w:tcPr>
            <w:tcW w:w="60" w:type="dxa"/>
            <w:vAlign w:val="bottom"/>
          </w:tcPr>
          <w:p>
            <w:pPr>
              <w:spacing w:after="0"/>
              <w:rPr>
                <w:sz w:val="18"/>
                <w:szCs w:val="18"/>
                <w:color w:val="auto"/>
              </w:rPr>
            </w:pPr>
          </w:p>
        </w:tc>
        <w:tc>
          <w:tcPr>
            <w:tcW w:w="30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46,240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6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3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Liabilities:</w:t>
            </w:r>
          </w:p>
        </w:tc>
        <w:tc>
          <w:tcPr>
            <w:tcW w:w="6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660" w:type="dxa"/>
            <w:vAlign w:val="bottom"/>
          </w:tcPr>
          <w:p>
            <w:pPr>
              <w:spacing w:after="0"/>
              <w:rPr>
                <w:sz w:val="18"/>
                <w:szCs w:val="18"/>
                <w:color w:val="auto"/>
              </w:rPr>
            </w:pPr>
          </w:p>
        </w:tc>
        <w:tc>
          <w:tcPr>
            <w:tcW w:w="3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Pr>
          <w:p>
            <w:pPr>
              <w:spacing w:after="0"/>
              <w:rPr>
                <w:sz w:val="18"/>
                <w:szCs w:val="18"/>
                <w:color w:val="auto"/>
              </w:rPr>
            </w:pPr>
          </w:p>
        </w:tc>
        <w:tc>
          <w:tcPr>
            <w:tcW w:w="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Current Operating</w:t>
            </w:r>
          </w:p>
        </w:tc>
        <w:tc>
          <w:tcPr>
            <w:tcW w:w="600" w:type="dxa"/>
            <w:vAlign w:val="bottom"/>
            <w:shd w:val="clear" w:color="auto" w:fill="CCEEFF"/>
          </w:tcPr>
          <w:p>
            <w:pPr>
              <w:spacing w:after="0"/>
              <w:rPr>
                <w:sz w:val="18"/>
                <w:szCs w:val="18"/>
                <w:color w:val="auto"/>
              </w:rPr>
            </w:pPr>
          </w:p>
        </w:tc>
        <w:tc>
          <w:tcPr>
            <w:tcW w:w="33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lease liabilities</w:t>
            </w:r>
          </w:p>
        </w:tc>
        <w:tc>
          <w:tcPr>
            <w:tcW w:w="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11,601</w:t>
            </w:r>
          </w:p>
        </w:tc>
        <w:tc>
          <w:tcPr>
            <w:tcW w:w="60" w:type="dxa"/>
            <w:vAlign w:val="bottom"/>
            <w:shd w:val="clear" w:color="auto" w:fill="CCEEFF"/>
          </w:tcPr>
          <w:p>
            <w:pPr>
              <w:spacing w:after="0"/>
              <w:rPr>
                <w:sz w:val="18"/>
                <w:szCs w:val="18"/>
                <w:color w:val="auto"/>
              </w:rPr>
            </w:pPr>
          </w:p>
        </w:tc>
        <w:tc>
          <w:tcPr>
            <w:tcW w:w="30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11,699</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0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8"/>
                <w:szCs w:val="18"/>
                <w:color w:val="auto"/>
              </w:rPr>
              <w:t>Non-Current Operating</w:t>
            </w:r>
          </w:p>
        </w:tc>
        <w:tc>
          <w:tcPr>
            <w:tcW w:w="600" w:type="dxa"/>
            <w:vAlign w:val="bottom"/>
            <w:tcBorders>
              <w:bottom w:val="single" w:sz="8" w:color="CCEEFF"/>
            </w:tcBorders>
          </w:tcPr>
          <w:p>
            <w:pPr>
              <w:spacing w:after="0"/>
              <w:rPr>
                <w:sz w:val="18"/>
                <w:szCs w:val="18"/>
                <w:color w:val="auto"/>
              </w:rPr>
            </w:pPr>
          </w:p>
        </w:tc>
        <w:tc>
          <w:tcPr>
            <w:tcW w:w="330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8"/>
                <w:szCs w:val="18"/>
                <w:color w:val="auto"/>
              </w:rPr>
              <w:t>Operating lease liabilities, net of current</w:t>
            </w:r>
          </w:p>
        </w:tc>
        <w:tc>
          <w:tcPr>
            <w:tcW w:w="16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57,042</w:t>
            </w:r>
          </w:p>
        </w:tc>
        <w:tc>
          <w:tcPr>
            <w:tcW w:w="6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60,159</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300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Total Operating lease liabilities</w:t>
            </w:r>
          </w:p>
        </w:tc>
        <w:tc>
          <w:tcPr>
            <w:tcW w:w="600" w:type="dxa"/>
            <w:vAlign w:val="bottom"/>
            <w:tcBorders>
              <w:bottom w:val="single" w:sz="8" w:color="CCEEFF"/>
            </w:tcBorders>
            <w:shd w:val="clear" w:color="auto" w:fill="CCEEFF"/>
          </w:tcPr>
          <w:p>
            <w:pPr>
              <w:spacing w:after="0"/>
              <w:rPr>
                <w:sz w:val="18"/>
                <w:szCs w:val="18"/>
                <w:color w:val="auto"/>
              </w:rPr>
            </w:pPr>
          </w:p>
        </w:tc>
        <w:tc>
          <w:tcPr>
            <w:tcW w:w="640" w:type="dxa"/>
            <w:vAlign w:val="bottom"/>
            <w:tcBorders>
              <w:bottom w:val="single" w:sz="8" w:color="CCEEFF"/>
            </w:tcBorders>
            <w:shd w:val="clear" w:color="auto" w:fill="CCEEFF"/>
          </w:tcPr>
          <w:p>
            <w:pPr>
              <w:spacing w:after="0"/>
              <w:rPr>
                <w:sz w:val="18"/>
                <w:szCs w:val="18"/>
                <w:color w:val="auto"/>
              </w:rPr>
            </w:pPr>
          </w:p>
        </w:tc>
        <w:tc>
          <w:tcPr>
            <w:tcW w:w="266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20" w:type="dxa"/>
            <w:vAlign w:val="bottom"/>
            <w:tcBorders>
              <w:bottom w:val="single" w:sz="8" w:color="auto"/>
            </w:tcBorders>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68,643</w:t>
            </w:r>
          </w:p>
        </w:tc>
        <w:tc>
          <w:tcPr>
            <w:tcW w:w="6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71,858</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0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6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left="60" w:right="939" w:firstLine="324"/>
        <w:spacing w:after="0" w:line="282" w:lineRule="auto"/>
        <w:rPr>
          <w:sz w:val="20"/>
          <w:szCs w:val="20"/>
          <w:color w:val="auto"/>
        </w:rPr>
      </w:pPr>
      <w:r>
        <w:rPr>
          <w:rFonts w:ascii="Times New Roman" w:cs="Times New Roman" w:eastAsia="Times New Roman" w:hAnsi="Times New Roman"/>
          <w:sz w:val="18"/>
          <w:szCs w:val="18"/>
          <w:color w:val="auto"/>
        </w:rPr>
        <w:t>The components of lease expense for the three months ended March 31, 2026 and 2025 were as follows (in thousands):</w:t>
      </w:r>
    </w:p>
    <w:p>
      <w:pPr>
        <w:spacing w:after="0" w:line="169"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2220" w:type="dxa"/>
            <w:vAlign w:val="bottom"/>
          </w:tcPr>
          <w:p>
            <w:pPr>
              <w:spacing w:after="0"/>
              <w:rPr>
                <w:sz w:val="15"/>
                <w:szCs w:val="15"/>
                <w:color w:val="auto"/>
              </w:rPr>
            </w:pPr>
          </w:p>
        </w:tc>
        <w:tc>
          <w:tcPr>
            <w:tcW w:w="452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2040" w:type="dxa"/>
            <w:vAlign w:val="bottom"/>
            <w:tcBorders>
              <w:bottom w:val="single" w:sz="8" w:color="auto"/>
            </w:tcBorders>
            <w:gridSpan w:val="4"/>
          </w:tcPr>
          <w:p>
            <w:pPr>
              <w:jc w:val="right"/>
              <w:ind w:right="376"/>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2220" w:type="dxa"/>
            <w:vAlign w:val="bottom"/>
          </w:tcPr>
          <w:p>
            <w:pPr>
              <w:spacing w:after="0"/>
              <w:rPr>
                <w:sz w:val="10"/>
                <w:szCs w:val="10"/>
                <w:color w:val="auto"/>
              </w:rPr>
            </w:pPr>
          </w:p>
        </w:tc>
        <w:tc>
          <w:tcPr>
            <w:tcW w:w="45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60" w:type="dxa"/>
            <w:vAlign w:val="bottom"/>
          </w:tcPr>
          <w:p>
            <w:pPr>
              <w:jc w:val="right"/>
              <w:ind w:right="117"/>
              <w:spacing w:after="0" w:line="118" w:lineRule="exact"/>
              <w:rPr>
                <w:sz w:val="20"/>
                <w:szCs w:val="20"/>
                <w:color w:val="auto"/>
              </w:rPr>
            </w:pPr>
            <w:r>
              <w:rPr>
                <w:rFonts w:ascii="Times New Roman" w:cs="Times New Roman" w:eastAsia="Times New Roman" w:hAnsi="Times New Roman"/>
                <w:sz w:val="13"/>
                <w:szCs w:val="13"/>
                <w:b w:val="1"/>
                <w:bCs w:val="1"/>
                <w:color w:val="auto"/>
              </w:rPr>
              <w:t>March 31,</w:t>
            </w:r>
          </w:p>
        </w:tc>
        <w:tc>
          <w:tcPr>
            <w:tcW w:w="320" w:type="dxa"/>
            <w:vAlign w:val="bottom"/>
            <w:gridSpan w:val="2"/>
            <w:vMerge w:val="restart"/>
          </w:tcPr>
          <w:p>
            <w:pPr>
              <w:jc w:val="right"/>
              <w:ind w:right="36"/>
              <w:spacing w:after="0"/>
              <w:rPr>
                <w:sz w:val="20"/>
                <w:szCs w:val="20"/>
                <w:color w:val="auto"/>
              </w:rPr>
            </w:pPr>
            <w:r>
              <w:rPr>
                <w:rFonts w:ascii="Times New Roman" w:cs="Times New Roman" w:eastAsia="Times New Roman" w:hAnsi="Times New Roman"/>
                <w:sz w:val="14"/>
                <w:szCs w:val="14"/>
                <w:b w:val="1"/>
                <w:bCs w:val="1"/>
                <w:color w:val="auto"/>
              </w:rPr>
              <w:t>​​​</w:t>
            </w:r>
          </w:p>
        </w:tc>
        <w:tc>
          <w:tcPr>
            <w:tcW w:w="860" w:type="dxa"/>
            <w:vAlign w:val="bottom"/>
          </w:tcPr>
          <w:p>
            <w:pPr>
              <w:jc w:val="right"/>
              <w:ind w:right="116"/>
              <w:spacing w:after="0" w:line="118" w:lineRule="exact"/>
              <w:rPr>
                <w:sz w:val="20"/>
                <w:szCs w:val="20"/>
                <w:color w:val="auto"/>
              </w:rPr>
            </w:pPr>
            <w:r>
              <w:rPr>
                <w:rFonts w:ascii="Times New Roman" w:cs="Times New Roman" w:eastAsia="Times New Roman" w:hAnsi="Times New Roman"/>
                <w:sz w:val="13"/>
                <w:szCs w:val="13"/>
                <w:b w:val="1"/>
                <w:bCs w:val="1"/>
                <w:color w:val="auto"/>
              </w:rPr>
              <w:t>March 31,</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220" w:type="dxa"/>
            <w:vAlign w:val="bottom"/>
          </w:tcPr>
          <w:p>
            <w:pPr>
              <w:spacing w:after="0"/>
              <w:rPr>
                <w:sz w:val="15"/>
                <w:szCs w:val="15"/>
                <w:color w:val="auto"/>
              </w:rPr>
            </w:pPr>
          </w:p>
        </w:tc>
        <w:tc>
          <w:tcPr>
            <w:tcW w:w="45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60" w:type="dxa"/>
            <w:vAlign w:val="bottom"/>
          </w:tcPr>
          <w:p>
            <w:pPr>
              <w:jc w:val="right"/>
              <w:ind w:right="277"/>
              <w:spacing w:after="0"/>
              <w:rPr>
                <w:sz w:val="20"/>
                <w:szCs w:val="20"/>
                <w:color w:val="auto"/>
              </w:rPr>
            </w:pPr>
            <w:r>
              <w:rPr>
                <w:rFonts w:ascii="Times New Roman" w:cs="Times New Roman" w:eastAsia="Times New Roman" w:hAnsi="Times New Roman"/>
                <w:sz w:val="14"/>
                <w:szCs w:val="14"/>
                <w:b w:val="1"/>
                <w:bCs w:val="1"/>
                <w:color w:val="auto"/>
              </w:rPr>
              <w:t>2026</w:t>
            </w:r>
          </w:p>
        </w:tc>
        <w:tc>
          <w:tcPr>
            <w:tcW w:w="320" w:type="dxa"/>
            <w:vAlign w:val="bottom"/>
            <w:gridSpan w:val="2"/>
            <w:vMerge w:val="continue"/>
          </w:tcPr>
          <w:p>
            <w:pPr>
              <w:spacing w:after="0"/>
              <w:rPr>
                <w:sz w:val="15"/>
                <w:szCs w:val="15"/>
                <w:color w:val="auto"/>
              </w:rPr>
            </w:pPr>
          </w:p>
        </w:tc>
        <w:tc>
          <w:tcPr>
            <w:tcW w:w="860" w:type="dxa"/>
            <w:vAlign w:val="bottom"/>
          </w:tcPr>
          <w:p>
            <w:pPr>
              <w:jc w:val="right"/>
              <w:ind w:right="276"/>
              <w:spacing w:after="0"/>
              <w:rPr>
                <w:sz w:val="20"/>
                <w:szCs w:val="20"/>
                <w:color w:val="auto"/>
              </w:rPr>
            </w:pPr>
            <w:r>
              <w:rPr>
                <w:rFonts w:ascii="Times New Roman" w:cs="Times New Roman" w:eastAsia="Times New Roman" w:hAnsi="Times New Roman"/>
                <w:sz w:val="14"/>
                <w:szCs w:val="14"/>
                <w:b w:val="1"/>
                <w:bCs w:val="1"/>
                <w:color w:val="auto"/>
              </w:rPr>
              <w:t>2025</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6740" w:type="dxa"/>
            <w:vAlign w:val="bottom"/>
            <w:tcBorders>
              <w:top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lease cost*</w:t>
            </w: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3,690</w:t>
            </w:r>
          </w:p>
        </w:tc>
        <w:tc>
          <w:tcPr>
            <w:tcW w:w="2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Short-term lease cost</w:t>
            </w:r>
          </w:p>
        </w:tc>
        <w:tc>
          <w:tcPr>
            <w:tcW w:w="1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3,571</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3,527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Variable lease costs (costs excluded from minimum fixed lease payments)**</w:t>
            </w: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1,514</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4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8"/>
                <w:szCs w:val="18"/>
                <w:color w:val="auto"/>
              </w:rPr>
              <w:t>Sublease income</w:t>
            </w:r>
          </w:p>
        </w:tc>
        <w:tc>
          <w:tcPr>
            <w:tcW w:w="12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(66)</w:t>
            </w:r>
          </w:p>
        </w:tc>
        <w:tc>
          <w:tcPr>
            <w:tcW w:w="2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740" w:type="dxa"/>
            <w:vAlign w:val="bottom"/>
            <w:tcBorders>
              <w:bottom w:val="single" w:sz="8" w:color="CCEEFF"/>
            </w:tcBorders>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Net lease cost</w:t>
            </w: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8,709</w:t>
            </w:r>
          </w:p>
        </w:tc>
        <w:tc>
          <w:tcPr>
            <w:tcW w:w="2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7,504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45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8"/>
        </w:trPr>
        <w:tc>
          <w:tcPr>
            <w:tcW w:w="20" w:type="dxa"/>
            <w:vAlign w:val="bottom"/>
            <w:tcBorders>
              <w:bottom w:val="single" w:sz="8" w:color="auto"/>
            </w:tcBorders>
          </w:tcPr>
          <w:p>
            <w:pPr>
              <w:spacing w:after="0"/>
              <w:rPr>
                <w:sz w:val="7"/>
                <w:szCs w:val="7"/>
                <w:color w:val="auto"/>
              </w:rPr>
            </w:pPr>
          </w:p>
        </w:tc>
        <w:tc>
          <w:tcPr>
            <w:tcW w:w="2220" w:type="dxa"/>
            <w:vAlign w:val="bottom"/>
            <w:tcBorders>
              <w:bottom w:val="single" w:sz="8" w:color="auto"/>
            </w:tcBorders>
          </w:tcPr>
          <w:p>
            <w:pPr>
              <w:spacing w:after="0"/>
              <w:rPr>
                <w:sz w:val="7"/>
                <w:szCs w:val="7"/>
                <w:color w:val="auto"/>
              </w:rPr>
            </w:pPr>
          </w:p>
        </w:tc>
        <w:tc>
          <w:tcPr>
            <w:tcW w:w="4520" w:type="dxa"/>
            <w:vAlign w:val="bottom"/>
          </w:tcPr>
          <w:p>
            <w:pPr>
              <w:spacing w:after="0"/>
              <w:rPr>
                <w:sz w:val="7"/>
                <w:szCs w:val="7"/>
                <w:color w:val="auto"/>
              </w:rPr>
            </w:pPr>
          </w:p>
        </w:tc>
        <w:tc>
          <w:tcPr>
            <w:tcW w:w="120" w:type="dxa"/>
            <w:vAlign w:val="bottom"/>
          </w:tcPr>
          <w:p>
            <w:pPr>
              <w:spacing w:after="0"/>
              <w:rPr>
                <w:sz w:val="7"/>
                <w:szCs w:val="7"/>
                <w:color w:val="auto"/>
              </w:rPr>
            </w:pPr>
          </w:p>
        </w:tc>
        <w:tc>
          <w:tcPr>
            <w:tcW w:w="860" w:type="dxa"/>
            <w:vAlign w:val="bottom"/>
          </w:tcPr>
          <w:p>
            <w:pPr>
              <w:spacing w:after="0"/>
              <w:rPr>
                <w:sz w:val="7"/>
                <w:szCs w:val="7"/>
                <w:color w:val="auto"/>
              </w:rPr>
            </w:pPr>
          </w:p>
        </w:tc>
        <w:tc>
          <w:tcPr>
            <w:tcW w:w="200" w:type="dxa"/>
            <w:vAlign w:val="bottom"/>
          </w:tcPr>
          <w:p>
            <w:pPr>
              <w:spacing w:after="0"/>
              <w:rPr>
                <w:sz w:val="7"/>
                <w:szCs w:val="7"/>
                <w:color w:val="auto"/>
              </w:rPr>
            </w:pPr>
          </w:p>
        </w:tc>
        <w:tc>
          <w:tcPr>
            <w:tcW w:w="120" w:type="dxa"/>
            <w:vAlign w:val="bottom"/>
          </w:tcPr>
          <w:p>
            <w:pPr>
              <w:spacing w:after="0"/>
              <w:rPr>
                <w:sz w:val="7"/>
                <w:szCs w:val="7"/>
                <w:color w:val="auto"/>
              </w:rPr>
            </w:pPr>
          </w:p>
        </w:tc>
        <w:tc>
          <w:tcPr>
            <w:tcW w:w="86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76" w:lineRule="exact"/>
        <w:rPr>
          <w:sz w:val="20"/>
          <w:szCs w:val="20"/>
          <w:color w:val="auto"/>
        </w:rPr>
      </w:pPr>
    </w:p>
    <w:p>
      <w:pPr>
        <w:ind w:left="380" w:hanging="330"/>
        <w:spacing w:after="0"/>
        <w:tabs>
          <w:tab w:leader="none" w:pos="3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accelerated amortization was recorded in the three months ended March 31, 2026 or 2025.</w:t>
      </w:r>
    </w:p>
    <w:p>
      <w:pPr>
        <w:spacing w:after="0" w:line="225" w:lineRule="exact"/>
        <w:rPr>
          <w:sz w:val="20"/>
          <w:szCs w:val="20"/>
          <w:color w:val="auto"/>
        </w:rPr>
      </w:pPr>
    </w:p>
    <w:p>
      <w:pPr>
        <w:ind w:left="380" w:right="99" w:hanging="330"/>
        <w:spacing w:after="0" w:line="282" w:lineRule="auto"/>
        <w:tabs>
          <w:tab w:leader="none" w:pos="3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variable lease costs were expensed in the three months ended March 31, 2026 or 2025 for future estimated variable expenses related to certain assets partially or fully vacated with no intent or ability to sublease.</w:t>
      </w:r>
    </w:p>
    <w:p>
      <w:pPr>
        <w:spacing w:after="0" w:line="162" w:lineRule="exact"/>
        <w:rPr>
          <w:sz w:val="20"/>
          <w:szCs w:val="20"/>
          <w:color w:val="auto"/>
        </w:rPr>
      </w:pPr>
    </w:p>
    <w:p>
      <w:pPr>
        <w:ind w:left="60" w:right="239" w:firstLine="324"/>
        <w:spacing w:after="0" w:line="266" w:lineRule="auto"/>
        <w:rPr>
          <w:sz w:val="20"/>
          <w:szCs w:val="20"/>
          <w:color w:val="auto"/>
        </w:rPr>
      </w:pPr>
      <w:r>
        <w:rPr>
          <w:rFonts w:ascii="Times New Roman" w:cs="Times New Roman" w:eastAsia="Times New Roman" w:hAnsi="Times New Roman"/>
          <w:sz w:val="18"/>
          <w:szCs w:val="18"/>
          <w:color w:val="auto"/>
        </w:rPr>
        <w:t>Cash flows related to the Company’s leases included in the measurement of operating lease liabilities were classified as operating cash flows and totaled $4.4 million and $3.5 million in the three months ended March 31, 2026 and 2025, respectively.</w:t>
      </w:r>
    </w:p>
    <w:p>
      <w:pPr>
        <w:spacing w:after="0" w:line="176" w:lineRule="exact"/>
        <w:rPr>
          <w:sz w:val="20"/>
          <w:szCs w:val="20"/>
          <w:color w:val="auto"/>
        </w:rPr>
      </w:pPr>
    </w:p>
    <w:p>
      <w:pPr>
        <w:jc w:val="both"/>
        <w:ind w:left="60" w:right="279" w:firstLine="324"/>
        <w:spacing w:after="0" w:line="220" w:lineRule="exact"/>
        <w:rPr>
          <w:sz w:val="20"/>
          <w:szCs w:val="20"/>
          <w:color w:val="auto"/>
        </w:rPr>
      </w:pPr>
      <w:r>
        <w:rPr>
          <w:rFonts w:ascii="Times New Roman" w:cs="Times New Roman" w:eastAsia="Times New Roman" w:hAnsi="Times New Roman"/>
          <w:sz w:val="18"/>
          <w:szCs w:val="18"/>
          <w:color w:val="auto"/>
        </w:rPr>
        <w:t>The Company’s non-cash investing and financing activities in the three months ended March 31, 2025 related to the addition of operating leases resulted in right-of-use assets (“ROUs”) obtained in exchange for lease obligations of $16.6 million and operating lease liabilities recorded of $27.3 million. There were no non</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cash investing or financing activities related to operating leases in the three months ended March 31, 2026.</w:t>
      </w:r>
    </w:p>
    <w:p>
      <w:pPr>
        <w:spacing w:after="0" w:line="200" w:lineRule="exact"/>
        <w:rPr>
          <w:sz w:val="20"/>
          <w:szCs w:val="20"/>
          <w:color w:val="auto"/>
        </w:rPr>
      </w:pPr>
    </w:p>
    <w:p>
      <w:pPr>
        <w:ind w:left="60" w:right="319" w:firstLine="324"/>
        <w:spacing w:after="0" w:line="282" w:lineRule="auto"/>
        <w:rPr>
          <w:sz w:val="20"/>
          <w:szCs w:val="20"/>
          <w:color w:val="auto"/>
        </w:rPr>
      </w:pPr>
      <w:r>
        <w:rPr>
          <w:rFonts w:ascii="Times New Roman" w:cs="Times New Roman" w:eastAsia="Times New Roman" w:hAnsi="Times New Roman"/>
          <w:sz w:val="18"/>
          <w:szCs w:val="18"/>
          <w:color w:val="auto"/>
        </w:rPr>
        <w:t>Other information related to the Company’s leases as of March 31, 2026 and December 31, 2025 was as follows (in thousands):</w:t>
      </w:r>
    </w:p>
    <w:p>
      <w:pPr>
        <w:spacing w:after="0" w:line="156"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6840" w:type="dxa"/>
            <w:vAlign w:val="bottom"/>
            <w:gridSpan w:val="2"/>
            <w:vMerge w:val="restart"/>
          </w:tcPr>
          <w:p>
            <w:pPr>
              <w:ind w:left="6720"/>
              <w:spacing w:after="0"/>
              <w:rPr>
                <w:sz w:val="20"/>
                <w:szCs w:val="20"/>
                <w:color w:val="auto"/>
              </w:rPr>
            </w:pPr>
            <w:r>
              <w:rPr>
                <w:rFonts w:ascii="Times New Roman" w:cs="Times New Roman" w:eastAsia="Times New Roman" w:hAnsi="Times New Roman"/>
                <w:sz w:val="14"/>
                <w:szCs w:val="14"/>
                <w:b w:val="1"/>
                <w:bCs w:val="1"/>
                <w:color w:val="auto"/>
              </w:rPr>
              <w:t>​​​</w:t>
            </w:r>
          </w:p>
        </w:tc>
        <w:tc>
          <w:tcPr>
            <w:tcW w:w="7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40" w:type="dxa"/>
            <w:vAlign w:val="bottom"/>
          </w:tcPr>
          <w:p>
            <w:pPr>
              <w:spacing w:after="0"/>
              <w:rPr>
                <w:sz w:val="13"/>
                <w:szCs w:val="13"/>
                <w:color w:val="auto"/>
              </w:rPr>
            </w:pPr>
          </w:p>
        </w:tc>
        <w:tc>
          <w:tcPr>
            <w:tcW w:w="240" w:type="dxa"/>
            <w:vAlign w:val="bottom"/>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w:t>
            </w:r>
          </w:p>
        </w:tc>
        <w:tc>
          <w:tcPr>
            <w:tcW w:w="1060" w:type="dxa"/>
            <w:vAlign w:val="bottom"/>
            <w:gridSpan w:val="2"/>
          </w:tcPr>
          <w:p>
            <w:pPr>
              <w:jc w:val="center"/>
              <w:ind w:right="13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6840" w:type="dxa"/>
            <w:vAlign w:val="bottom"/>
            <w:gridSpan w:val="2"/>
            <w:vMerge w:val="continue"/>
          </w:tcPr>
          <w:p>
            <w:pPr>
              <w:spacing w:after="0"/>
              <w:rPr>
                <w:sz w:val="15"/>
                <w:szCs w:val="15"/>
                <w:color w:val="auto"/>
              </w:rPr>
            </w:pPr>
          </w:p>
        </w:tc>
        <w:tc>
          <w:tcPr>
            <w:tcW w:w="720" w:type="dxa"/>
            <w:vAlign w:val="bottom"/>
          </w:tcPr>
          <w:p>
            <w:pPr>
              <w:jc w:val="right"/>
              <w:ind w:right="139"/>
              <w:spacing w:after="0"/>
              <w:rPr>
                <w:sz w:val="20"/>
                <w:szCs w:val="20"/>
                <w:color w:val="auto"/>
              </w:rPr>
            </w:pPr>
            <w:r>
              <w:rPr>
                <w:rFonts w:ascii="Times New Roman" w:cs="Times New Roman" w:eastAsia="Times New Roman" w:hAnsi="Times New Roman"/>
                <w:sz w:val="14"/>
                <w:szCs w:val="14"/>
                <w:b w:val="1"/>
                <w:bCs w:val="1"/>
                <w:color w:val="auto"/>
              </w:rPr>
              <w:t>2026</w:t>
            </w:r>
          </w:p>
        </w:tc>
        <w:tc>
          <w:tcPr>
            <w:tcW w:w="40" w:type="dxa"/>
            <w:vAlign w:val="bottom"/>
          </w:tcPr>
          <w:p>
            <w:pPr>
              <w:spacing w:after="0"/>
              <w:rPr>
                <w:sz w:val="15"/>
                <w:szCs w:val="15"/>
                <w:color w:val="auto"/>
              </w:rPr>
            </w:pPr>
          </w:p>
        </w:tc>
        <w:tc>
          <w:tcPr>
            <w:tcW w:w="240" w:type="dxa"/>
            <w:vAlign w:val="bottom"/>
            <w:vMerge w:val="continue"/>
          </w:tcPr>
          <w:p>
            <w:pPr>
              <w:spacing w:after="0"/>
              <w:rPr>
                <w:sz w:val="15"/>
                <w:szCs w:val="15"/>
                <w:color w:val="auto"/>
              </w:rPr>
            </w:pPr>
          </w:p>
        </w:tc>
        <w:tc>
          <w:tcPr>
            <w:tcW w:w="900" w:type="dxa"/>
            <w:vAlign w:val="bottom"/>
          </w:tcPr>
          <w:p>
            <w:pPr>
              <w:jc w:val="right"/>
              <w:ind w:right="237"/>
              <w:spacing w:after="0"/>
              <w:rPr>
                <w:sz w:val="20"/>
                <w:szCs w:val="20"/>
                <w:color w:val="auto"/>
              </w:rPr>
            </w:pPr>
            <w:r>
              <w:rPr>
                <w:rFonts w:ascii="Times New Roman" w:cs="Times New Roman" w:eastAsia="Times New Roman" w:hAnsi="Times New Roman"/>
                <w:sz w:val="14"/>
                <w:szCs w:val="14"/>
                <w:b w:val="1"/>
                <w:bCs w:val="1"/>
                <w:color w:val="auto"/>
              </w:rPr>
              <w:t>2025</w:t>
            </w: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8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Weighted average remaining lease term (years):</w:t>
            </w:r>
          </w:p>
        </w:tc>
        <w:tc>
          <w:tcPr>
            <w:tcW w:w="4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4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4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Operating leases</w:t>
            </w:r>
          </w:p>
        </w:tc>
        <w:tc>
          <w:tcPr>
            <w:tcW w:w="72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6.82</w:t>
            </w: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6.91</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Weighted average discount rate:</w:t>
            </w:r>
          </w:p>
        </w:tc>
        <w:tc>
          <w:tcPr>
            <w:tcW w:w="720" w:type="dxa"/>
            <w:vAlign w:val="bottom"/>
            <w:shd w:val="clear" w:color="auto" w:fill="CCEEFF"/>
          </w:tcPr>
          <w:p>
            <w:pPr>
              <w:spacing w:after="0"/>
              <w:rPr>
                <w:sz w:val="18"/>
                <w:szCs w:val="18"/>
                <w:color w:val="auto"/>
              </w:rPr>
            </w:pPr>
          </w:p>
        </w:tc>
        <w:tc>
          <w:tcPr>
            <w:tcW w:w="28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684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Operating leases</w:t>
            </w:r>
          </w:p>
        </w:tc>
        <w:tc>
          <w:tcPr>
            <w:tcW w:w="1000" w:type="dxa"/>
            <w:vAlign w:val="bottom"/>
            <w:gridSpan w:val="3"/>
          </w:tcPr>
          <w:p>
            <w:pPr>
              <w:ind w:left="380"/>
              <w:spacing w:after="0"/>
              <w:rPr>
                <w:sz w:val="20"/>
                <w:szCs w:val="20"/>
                <w:color w:val="auto"/>
              </w:rPr>
            </w:pPr>
            <w:r>
              <w:rPr>
                <w:rFonts w:ascii="Times New Roman" w:cs="Times New Roman" w:eastAsia="Times New Roman" w:hAnsi="Times New Roman"/>
                <w:sz w:val="18"/>
                <w:szCs w:val="18"/>
                <w:color w:val="auto"/>
              </w:rPr>
              <w:t>9.51 %</w:t>
            </w:r>
          </w:p>
        </w:tc>
        <w:tc>
          <w:tcPr>
            <w:tcW w:w="1060" w:type="dxa"/>
            <w:vAlign w:val="bottom"/>
            <w:gridSpan w:val="2"/>
          </w:tcPr>
          <w:p>
            <w:pPr>
              <w:ind w:left="520"/>
              <w:spacing w:after="0"/>
              <w:rPr>
                <w:sz w:val="20"/>
                <w:szCs w:val="20"/>
                <w:color w:val="auto"/>
              </w:rPr>
            </w:pPr>
            <w:r>
              <w:rPr>
                <w:rFonts w:ascii="Times New Roman" w:cs="Times New Roman" w:eastAsia="Times New Roman" w:hAnsi="Times New Roman"/>
                <w:sz w:val="18"/>
                <w:szCs w:val="18"/>
                <w:color w:val="auto"/>
              </w:rPr>
              <w:t>9.50 %</w:t>
            </w:r>
          </w:p>
        </w:tc>
        <w:tc>
          <w:tcPr>
            <w:tcW w:w="0" w:type="dxa"/>
            <w:vAlign w:val="bottom"/>
          </w:tcPr>
          <w:p>
            <w:pPr>
              <w:spacing w:after="0"/>
              <w:rPr>
                <w:sz w:val="1"/>
                <w:szCs w:val="1"/>
                <w:color w:val="auto"/>
              </w:rPr>
            </w:pPr>
          </w:p>
        </w:tc>
      </w:tr>
      <w:tr>
        <w:trPr>
          <w:trHeight w:val="846"/>
        </w:trPr>
        <w:tc>
          <w:tcPr>
            <w:tcW w:w="6820" w:type="dxa"/>
            <w:vAlign w:val="bottom"/>
            <w:gridSpan w:val="2"/>
          </w:tcPr>
          <w:p>
            <w:pPr>
              <w:jc w:val="right"/>
              <w:ind w:right="2174"/>
              <w:spacing w:after="0"/>
              <w:rPr>
                <w:sz w:val="20"/>
                <w:szCs w:val="20"/>
                <w:color w:val="auto"/>
              </w:rPr>
            </w:pPr>
            <w:r>
              <w:rPr>
                <w:rFonts w:ascii="Times New Roman" w:cs="Times New Roman" w:eastAsia="Times New Roman" w:hAnsi="Times New Roman"/>
                <w:sz w:val="18"/>
                <w:szCs w:val="18"/>
                <w:color w:val="auto"/>
              </w:rPr>
              <w:t>32</w:t>
            </w:r>
          </w:p>
        </w:tc>
        <w:tc>
          <w:tcPr>
            <w:tcW w:w="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47"/>
        </w:trPr>
        <w:tc>
          <w:tcPr>
            <w:tcW w:w="20" w:type="dxa"/>
            <w:vAlign w:val="bottom"/>
            <w:tcBorders>
              <w:bottom w:val="single" w:sz="8" w:color="auto"/>
            </w:tcBorders>
          </w:tcPr>
          <w:p>
            <w:pPr>
              <w:spacing w:after="0"/>
              <w:rPr>
                <w:sz w:val="24"/>
                <w:szCs w:val="24"/>
                <w:color w:val="auto"/>
              </w:rPr>
            </w:pPr>
          </w:p>
        </w:tc>
        <w:tc>
          <w:tcPr>
            <w:tcW w:w="680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513" w:right="1440" w:bottom="1440" w:gutter="0" w:footer="0" w:header="0"/>
        </w:sectPr>
      </w:pPr>
    </w:p>
    <w:bookmarkStart w:id="32" w:name="page33"/>
    <w:bookmarkEnd w:id="32"/>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ind w:left="1500" w:right="1840"/>
        <w:spacing w:after="0" w:line="278" w:lineRule="auto"/>
        <w:rPr>
          <w:sz w:val="20"/>
          <w:szCs w:val="20"/>
          <w:color w:val="auto"/>
        </w:rPr>
      </w:pPr>
      <w:r>
        <w:rPr>
          <w:rFonts w:ascii="Times New Roman" w:cs="Times New Roman" w:eastAsia="Times New Roman" w:hAnsi="Times New Roman"/>
          <w:sz w:val="18"/>
          <w:szCs w:val="18"/>
          <w:b w:val="1"/>
          <w:bCs w:val="1"/>
          <w:color w:val="auto"/>
        </w:rPr>
        <w:t>RIBBON COMMUNICATIONS INC. Notes to Condensed Consolidated Financial Statements (Continued) (unaudited)</w:t>
      </w:r>
    </w:p>
    <w:p>
      <w:pPr>
        <w:spacing w:after="0" w:line="38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Future minimum fixed lease payments under noncancelable leases at March 31, 2026 were as follows (in thousands):</w:t>
      </w:r>
    </w:p>
    <w:p>
      <w:pPr>
        <w:spacing w:after="0" w:line="220"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7820" w:type="dxa"/>
            <w:vAlign w:val="bottom"/>
          </w:tcPr>
          <w:p>
            <w:pPr>
              <w:ind w:left="7720"/>
              <w:spacing w:after="0"/>
              <w:rPr>
                <w:sz w:val="20"/>
                <w:szCs w:val="20"/>
                <w:color w:val="auto"/>
              </w:rPr>
            </w:pPr>
            <w:r>
              <w:rPr>
                <w:rFonts w:ascii="Times New Roman" w:cs="Times New Roman" w:eastAsia="Times New Roman" w:hAnsi="Times New Roman"/>
                <w:sz w:val="14"/>
                <w:szCs w:val="14"/>
                <w:b w:val="1"/>
                <w:bCs w:val="1"/>
                <w:color w:val="auto"/>
              </w:rPr>
              <w:t>​​​</w:t>
            </w:r>
          </w:p>
        </w:tc>
        <w:tc>
          <w:tcPr>
            <w:tcW w:w="160" w:type="dxa"/>
            <w:vAlign w:val="bottom"/>
          </w:tcPr>
          <w:p>
            <w:pPr>
              <w:spacing w:after="0"/>
              <w:rPr>
                <w:sz w:val="13"/>
                <w:szCs w:val="13"/>
                <w:color w:val="auto"/>
              </w:rPr>
            </w:pPr>
          </w:p>
        </w:tc>
        <w:tc>
          <w:tcPr>
            <w:tcW w:w="920" w:type="dxa"/>
            <w:vAlign w:val="bottom"/>
          </w:tcPr>
          <w:p>
            <w:pPr>
              <w:jc w:val="right"/>
              <w:ind w:right="133"/>
              <w:spacing w:after="0"/>
              <w:rPr>
                <w:sz w:val="20"/>
                <w:szCs w:val="20"/>
                <w:color w:val="auto"/>
              </w:rPr>
            </w:pPr>
            <w:r>
              <w:rPr>
                <w:rFonts w:ascii="Times New Roman" w:cs="Times New Roman" w:eastAsia="Times New Roman" w:hAnsi="Times New Roman"/>
                <w:sz w:val="14"/>
                <w:szCs w:val="14"/>
                <w:b w:val="1"/>
                <w:bCs w:val="1"/>
                <w:color w:val="auto"/>
              </w:rPr>
              <w:t>Operating</w:t>
            </w:r>
          </w:p>
        </w:tc>
      </w:tr>
      <w:tr>
        <w:trPr>
          <w:trHeight w:val="173"/>
        </w:trPr>
        <w:tc>
          <w:tcPr>
            <w:tcW w:w="782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ind w:right="273"/>
              <w:spacing w:after="0"/>
              <w:rPr>
                <w:sz w:val="20"/>
                <w:szCs w:val="20"/>
                <w:color w:val="auto"/>
              </w:rPr>
            </w:pPr>
            <w:r>
              <w:rPr>
                <w:rFonts w:ascii="Times New Roman" w:cs="Times New Roman" w:eastAsia="Times New Roman" w:hAnsi="Times New Roman"/>
                <w:sz w:val="14"/>
                <w:szCs w:val="14"/>
                <w:b w:val="1"/>
                <w:bCs w:val="1"/>
                <w:color w:val="auto"/>
              </w:rPr>
              <w:t>leases</w:t>
            </w:r>
          </w:p>
        </w:tc>
      </w:tr>
      <w:tr>
        <w:trPr>
          <w:trHeight w:val="209"/>
        </w:trPr>
        <w:tc>
          <w:tcPr>
            <w:tcW w:w="7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Remainder of 2026</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13,222</w:t>
            </w:r>
          </w:p>
        </w:tc>
      </w:tr>
      <w:tr>
        <w:trPr>
          <w:trHeight w:val="216"/>
        </w:trPr>
        <w:tc>
          <w:tcPr>
            <w:tcW w:w="7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2027</w:t>
            </w:r>
          </w:p>
        </w:tc>
        <w:tc>
          <w:tcPr>
            <w:tcW w:w="1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16,561</w:t>
            </w:r>
          </w:p>
        </w:tc>
      </w:tr>
      <w:tr>
        <w:trPr>
          <w:trHeight w:val="216"/>
        </w:trPr>
        <w:tc>
          <w:tcPr>
            <w:tcW w:w="7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2028</w:t>
            </w: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13,903</w:t>
            </w:r>
          </w:p>
        </w:tc>
      </w:tr>
      <w:tr>
        <w:trPr>
          <w:trHeight w:val="216"/>
        </w:trPr>
        <w:tc>
          <w:tcPr>
            <w:tcW w:w="7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2029</w:t>
            </w:r>
          </w:p>
        </w:tc>
        <w:tc>
          <w:tcPr>
            <w:tcW w:w="1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11,547</w:t>
            </w:r>
          </w:p>
        </w:tc>
      </w:tr>
      <w:tr>
        <w:trPr>
          <w:trHeight w:val="216"/>
        </w:trPr>
        <w:tc>
          <w:tcPr>
            <w:tcW w:w="7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2030</w:t>
            </w: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8,450</w:t>
            </w:r>
          </w:p>
        </w:tc>
      </w:tr>
      <w:tr>
        <w:trPr>
          <w:trHeight w:val="216"/>
        </w:trPr>
        <w:tc>
          <w:tcPr>
            <w:tcW w:w="78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2031 and beyond</w:t>
            </w:r>
          </w:p>
        </w:tc>
        <w:tc>
          <w:tcPr>
            <w:tcW w:w="16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31,716</w:t>
            </w:r>
          </w:p>
        </w:tc>
      </w:tr>
      <w:tr>
        <w:trPr>
          <w:trHeight w:val="209"/>
        </w:trPr>
        <w:tc>
          <w:tcPr>
            <w:tcW w:w="78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Total lease payments</w:t>
            </w: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95,399</w:t>
            </w:r>
          </w:p>
        </w:tc>
      </w:tr>
      <w:tr>
        <w:trPr>
          <w:trHeight w:val="216"/>
        </w:trPr>
        <w:tc>
          <w:tcPr>
            <w:tcW w:w="782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8"/>
                <w:szCs w:val="18"/>
                <w:color w:val="auto"/>
              </w:rPr>
              <w:t>Less: interest</w:t>
            </w:r>
          </w:p>
        </w:tc>
        <w:tc>
          <w:tcPr>
            <w:tcW w:w="16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(26,756)</w:t>
            </w:r>
          </w:p>
        </w:tc>
      </w:tr>
      <w:tr>
        <w:trPr>
          <w:trHeight w:val="210"/>
        </w:trPr>
        <w:tc>
          <w:tcPr>
            <w:tcW w:w="782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Present value of lease liabilities</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68,643</w:t>
            </w:r>
          </w:p>
        </w:tc>
      </w:tr>
      <w:tr>
        <w:trPr>
          <w:trHeight w:val="20"/>
        </w:trPr>
        <w:tc>
          <w:tcPr>
            <w:tcW w:w="78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bl>
    <w:p>
      <w:pPr>
        <w:spacing w:after="0" w:line="20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(18) INCOME TAXES</w:t>
      </w:r>
    </w:p>
    <w:p>
      <w:pPr>
        <w:spacing w:after="0" w:line="22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The Company recorded an income tax benefit of $6.4 million and $0.8 million in the three months ended</w:t>
      </w:r>
    </w:p>
    <w:p>
      <w:pPr>
        <w:spacing w:after="0" w:line="27" w:lineRule="exact"/>
        <w:rPr>
          <w:sz w:val="20"/>
          <w:szCs w:val="20"/>
          <w:color w:val="auto"/>
        </w:rPr>
      </w:pPr>
    </w:p>
    <w:p>
      <w:pPr>
        <w:ind w:left="60" w:right="139"/>
        <w:spacing w:after="0" w:line="252" w:lineRule="auto"/>
        <w:rPr>
          <w:sz w:val="20"/>
          <w:szCs w:val="20"/>
          <w:color w:val="auto"/>
        </w:rPr>
      </w:pPr>
      <w:r>
        <w:rPr>
          <w:rFonts w:ascii="Times New Roman" w:cs="Times New Roman" w:eastAsia="Times New Roman" w:hAnsi="Times New Roman"/>
          <w:sz w:val="18"/>
          <w:szCs w:val="18"/>
          <w:color w:val="auto"/>
        </w:rPr>
        <w:t>March 31, 2026 and 2025, respectively. These amounts reflect the Company’s estimates of the effective rates expected to be applicable for the respective full years, adjusted for any discrete events, which are recorded in the period in which they occur. These estimates are reevaluated each quarter based on the Company’s estimated tax expense for the full fiscal year. The estimated effective tax rate includes the impact of valuation allowances in various jurisdictions. The Company intends to continue to maintain a valuation allowance on its deferred tax assets until there is sufficient evidence to support the reversal of all or some portion of the respective allowances.</w:t>
      </w:r>
    </w:p>
    <w:p>
      <w:pPr>
        <w:spacing w:after="0" w:line="19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(19) RELATED PARTIES</w:t>
      </w:r>
    </w:p>
    <w:p>
      <w:pPr>
        <w:spacing w:after="0" w:line="229" w:lineRule="exact"/>
        <w:rPr>
          <w:sz w:val="20"/>
          <w:szCs w:val="20"/>
          <w:color w:val="auto"/>
        </w:rPr>
      </w:pPr>
    </w:p>
    <w:p>
      <w:pPr>
        <w:ind w:left="60" w:right="79" w:firstLine="324"/>
        <w:spacing w:after="0" w:line="266" w:lineRule="auto"/>
        <w:rPr>
          <w:sz w:val="20"/>
          <w:szCs w:val="20"/>
          <w:color w:val="auto"/>
        </w:rPr>
      </w:pPr>
      <w:r>
        <w:rPr>
          <w:rFonts w:ascii="Times New Roman" w:cs="Times New Roman" w:eastAsia="Times New Roman" w:hAnsi="Times New Roman"/>
          <w:sz w:val="18"/>
          <w:szCs w:val="18"/>
          <w:color w:val="auto"/>
        </w:rPr>
        <w:t>The Company recognized revenue from its largest stockholder of $0.9 million and $1.7 million in the three months ended March 31, 2026 and 2025, respectively. As of March 31, 2026, the Company had accounts receivable of $7.1 million outstanding from its largest stockholder, compared to $8.5 million as of December 31, 2025.</w:t>
      </w:r>
    </w:p>
    <w:p>
      <w:pPr>
        <w:spacing w:after="0" w:line="172" w:lineRule="exact"/>
        <w:rPr>
          <w:sz w:val="20"/>
          <w:szCs w:val="20"/>
          <w:color w:val="auto"/>
        </w:rPr>
      </w:pPr>
    </w:p>
    <w:p>
      <w:pPr>
        <w:ind w:left="60" w:right="5179" w:hanging="10"/>
        <w:spacing w:after="0" w:line="502" w:lineRule="auto"/>
        <w:tabs>
          <w:tab w:leader="none" w:pos="405" w:val="left"/>
        </w:tabs>
        <w:numPr>
          <w:ilvl w:val="0"/>
          <w:numId w:val="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COMMITMENTS AND CONTINGENCIES Contingencies</w:t>
      </w:r>
    </w:p>
    <w:p>
      <w:pPr>
        <w:ind w:left="60"/>
        <w:spacing w:after="0"/>
        <w:rPr>
          <w:sz w:val="20"/>
          <w:szCs w:val="20"/>
          <w:color w:val="auto"/>
        </w:rPr>
      </w:pPr>
      <w:r>
        <w:rPr>
          <w:rFonts w:ascii="Times New Roman" w:cs="Times New Roman" w:eastAsia="Times New Roman" w:hAnsi="Times New Roman"/>
          <w:sz w:val="18"/>
          <w:szCs w:val="18"/>
          <w:i w:val="1"/>
          <w:iCs w:val="1"/>
          <w:color w:val="auto"/>
        </w:rPr>
        <w:t>Liabilities for Royalty Payments to the IIA</w:t>
      </w:r>
    </w:p>
    <w:p>
      <w:pPr>
        <w:spacing w:after="0" w:line="227" w:lineRule="exact"/>
        <w:rPr>
          <w:sz w:val="20"/>
          <w:szCs w:val="20"/>
          <w:color w:val="auto"/>
        </w:rPr>
      </w:pPr>
    </w:p>
    <w:p>
      <w:pPr>
        <w:ind w:left="60" w:right="99" w:firstLine="324"/>
        <w:spacing w:after="0" w:line="281" w:lineRule="auto"/>
        <w:rPr>
          <w:sz w:val="20"/>
          <w:szCs w:val="20"/>
          <w:color w:val="auto"/>
        </w:rPr>
      </w:pPr>
      <w:r>
        <w:rPr>
          <w:rFonts w:ascii="Times New Roman" w:cs="Times New Roman" w:eastAsia="Times New Roman" w:hAnsi="Times New Roman"/>
          <w:sz w:val="17"/>
          <w:szCs w:val="17"/>
          <w:color w:val="auto"/>
        </w:rPr>
        <w:t>In connection with the Company’s acquisition of ECI Telecom Group Ltd. ("ECI") in 2020, ECI had previously received research and development grants from the Office of the Innovation Authority of the Israeli Ministry of Economics (the "IIA"). The Company assumed ECI’s contract with the IIA, which requires the Company to pay royalties to the IIA on proceeds from the sale of products that the Israeli government has supported by way of research and development grants.</w:t>
      </w:r>
    </w:p>
    <w:p>
      <w:pPr>
        <w:spacing w:after="0" w:line="164" w:lineRule="exact"/>
        <w:rPr>
          <w:sz w:val="20"/>
          <w:szCs w:val="20"/>
          <w:color w:val="auto"/>
        </w:rPr>
      </w:pPr>
    </w:p>
    <w:p>
      <w:pPr>
        <w:ind w:left="60" w:right="119" w:firstLine="324"/>
        <w:spacing w:after="0" w:line="277" w:lineRule="auto"/>
        <w:rPr>
          <w:sz w:val="20"/>
          <w:szCs w:val="20"/>
          <w:color w:val="auto"/>
        </w:rPr>
      </w:pPr>
      <w:r>
        <w:rPr>
          <w:rFonts w:ascii="Times New Roman" w:cs="Times New Roman" w:eastAsia="Times New Roman" w:hAnsi="Times New Roman"/>
          <w:sz w:val="17"/>
          <w:szCs w:val="17"/>
          <w:color w:val="auto"/>
        </w:rPr>
        <w:t>The royalties for grants prior to 2017 were calculated at the rates of 1.3% to 5.0% of the aggregated proceeds from the sale of such products developed at certain of the Company’s research and development (“R&amp;D”) centers, up to an amount not exceeding 100% of such grants plus interest at the London Inter-Bank Offered Rate (“LIBOR”). Effective for grants approved in 2017 and effective through 2023, interest was calculated at the higher of LIBOR plus 1.5% to 2.75%. For grants approved in 2024 and thereafter, interest is calculated based on the Secured Overnight Financing Rate (“SOFR”).</w:t>
      </w:r>
    </w:p>
    <w:p>
      <w:pPr>
        <w:spacing w:after="0" w:line="38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33" w:name="page34"/>
    <w:bookmarkEnd w:id="33"/>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ind w:left="1520" w:right="1820"/>
        <w:spacing w:after="0" w:line="278" w:lineRule="auto"/>
        <w:rPr>
          <w:sz w:val="20"/>
          <w:szCs w:val="20"/>
          <w:color w:val="auto"/>
        </w:rPr>
      </w:pPr>
      <w:r>
        <w:rPr>
          <w:rFonts w:ascii="Times New Roman" w:cs="Times New Roman" w:eastAsia="Times New Roman" w:hAnsi="Times New Roman"/>
          <w:sz w:val="18"/>
          <w:szCs w:val="18"/>
          <w:b w:val="1"/>
          <w:bCs w:val="1"/>
          <w:color w:val="auto"/>
        </w:rPr>
        <w:t>RIBBON COMMUNICATIONS INC. Notes to Condensed Consolidated Financial Statements (Continued) (unaudited)</w:t>
      </w:r>
    </w:p>
    <w:p>
      <w:pPr>
        <w:spacing w:after="0" w:line="388" w:lineRule="exact"/>
        <w:rPr>
          <w:sz w:val="20"/>
          <w:szCs w:val="20"/>
          <w:color w:val="auto"/>
        </w:rPr>
      </w:pPr>
    </w:p>
    <w:p>
      <w:pPr>
        <w:ind w:left="60" w:right="359" w:firstLine="324"/>
        <w:spacing w:after="0" w:line="266" w:lineRule="auto"/>
        <w:rPr>
          <w:sz w:val="20"/>
          <w:szCs w:val="20"/>
          <w:color w:val="auto"/>
        </w:rPr>
      </w:pPr>
      <w:r>
        <w:rPr>
          <w:rFonts w:ascii="Times New Roman" w:cs="Times New Roman" w:eastAsia="Times New Roman" w:hAnsi="Times New Roman"/>
          <w:sz w:val="18"/>
          <w:szCs w:val="18"/>
          <w:color w:val="auto"/>
        </w:rPr>
        <w:t>At March 31, 2026, the Company had $2.1 million of unpaid royalties accrued. The Company’s maximum possible future royalties commitment at March 31, 2026 of $11.5 million, including interest of $0.8 million, was based upon estimates of future sales of product and services and the grants received from the IIA not yet repaid.</w:t>
      </w:r>
    </w:p>
    <w:p>
      <w:pPr>
        <w:spacing w:after="0" w:line="17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Litigation</w:t>
      </w:r>
    </w:p>
    <w:p>
      <w:pPr>
        <w:spacing w:after="0" w:line="227" w:lineRule="exact"/>
        <w:rPr>
          <w:sz w:val="20"/>
          <w:szCs w:val="20"/>
          <w:color w:val="auto"/>
        </w:rPr>
      </w:pPr>
    </w:p>
    <w:p>
      <w:pPr>
        <w:ind w:left="60" w:right="179" w:firstLine="324"/>
        <w:spacing w:after="0" w:line="255" w:lineRule="auto"/>
        <w:rPr>
          <w:sz w:val="20"/>
          <w:szCs w:val="20"/>
          <w:color w:val="auto"/>
        </w:rPr>
      </w:pPr>
      <w:r>
        <w:rPr>
          <w:rFonts w:ascii="Times New Roman" w:cs="Times New Roman" w:eastAsia="Times New Roman" w:hAnsi="Times New Roman"/>
          <w:sz w:val="18"/>
          <w:szCs w:val="18"/>
          <w:color w:val="auto"/>
        </w:rPr>
        <w:t>The Company is often a party to disputes and legal proceedings that it considers routine and incidental to its business, including those described below. The Company believes that it has meritorious defenses to the allegations made in the pending cases and intends to vigorously defend these lawsuits; however, the Company is currently unable to forecast the ultimate outcome of these or similar matters. Since it is difficult to predict the outcome of legal proceedings, it is possible that the ultimate outcomes could materially and adversely affect the Company’s business, financial position, results of operations or cash flows. Accordingly, with respect to these proceedings, the Company is currently unable to reasonably estimate the possible loss or range of possible loss.</w:t>
      </w:r>
    </w:p>
    <w:p>
      <w:pPr>
        <w:spacing w:after="0" w:line="187" w:lineRule="exact"/>
        <w:rPr>
          <w:sz w:val="20"/>
          <w:szCs w:val="20"/>
          <w:color w:val="auto"/>
        </w:rPr>
      </w:pPr>
    </w:p>
    <w:p>
      <w:pPr>
        <w:ind w:left="60" w:right="99" w:firstLine="324"/>
        <w:spacing w:after="0" w:line="253" w:lineRule="auto"/>
        <w:rPr>
          <w:sz w:val="20"/>
          <w:szCs w:val="20"/>
          <w:color w:val="auto"/>
        </w:rPr>
      </w:pPr>
      <w:r>
        <w:rPr>
          <w:rFonts w:ascii="Times New Roman" w:cs="Times New Roman" w:eastAsia="Times New Roman" w:hAnsi="Times New Roman"/>
          <w:sz w:val="18"/>
          <w:szCs w:val="18"/>
          <w:i w:val="1"/>
          <w:iCs w:val="1"/>
          <w:color w:val="auto"/>
        </w:rPr>
        <w:t xml:space="preserve">Charter Complaint. </w:t>
      </w:r>
      <w:r>
        <w:rPr>
          <w:rFonts w:ascii="Times New Roman" w:cs="Times New Roman" w:eastAsia="Times New Roman" w:hAnsi="Times New Roman"/>
          <w:sz w:val="18"/>
          <w:szCs w:val="18"/>
          <w:color w:val="auto"/>
        </w:rPr>
        <w:t>On September 19, 2022, Charter Communications Operating, LLC (“Charter”) filed two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complaints against two of our subsidiaries (Sonus Networks, Inc. and Ribbon Communications Operating Company, Inc.) alleging breach of contract with respect to indemnification obligations purportedly owed to Charter in connection with Charter’s legal dispute with Sprint Communications Company L.P., which was settled by Charter in March 2022. One complaint was filed in the Supreme Court of the State of New York, in New York County; the second complaint was filed by Charter as well as co-plaintiffs Charter Communications Holding Company, LLC and Bright House Networks, LLC, in the Superior Court of the State of Delaware in and for New Castle County. In both complaints, Charter is seeking monetary damages. The Company filed its answer to the first complaint file in New York on December 7, 2022 and to the second complaint filed in Delaware on January 9, 2023. On May 14, 2025, the Delaware court granted our dispositive motion for summary judgment and denied Charter’s motion for partial summary judgment. Charter appealed the Delaware court’s decision, but on December 18, 2025, the Delaware Supreme Court affirmed the lower court’s judgment. This resolved the case in Delaware. No trial date has been set for the case in New York.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34" w:name="page35"/>
    <w:bookmarkEnd w:id="34"/>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Item 2.  Management’s Discussion and Analysis of Financial Condition and Results of Operations</w:t>
      </w:r>
    </w:p>
    <w:p>
      <w:pPr>
        <w:spacing w:after="0" w:line="227" w:lineRule="exact"/>
        <w:rPr>
          <w:sz w:val="20"/>
          <w:szCs w:val="20"/>
          <w:color w:val="auto"/>
        </w:rPr>
      </w:pPr>
    </w:p>
    <w:p>
      <w:pPr>
        <w:ind w:left="60" w:right="99" w:firstLine="324"/>
        <w:spacing w:after="0" w:line="257" w:lineRule="auto"/>
        <w:rPr>
          <w:sz w:val="20"/>
          <w:szCs w:val="20"/>
          <w:color w:val="auto"/>
        </w:rPr>
      </w:pPr>
      <w:r>
        <w:rPr>
          <w:rFonts w:ascii="Times New Roman" w:cs="Times New Roman" w:eastAsia="Times New Roman" w:hAnsi="Times New Roman"/>
          <w:sz w:val="18"/>
          <w:szCs w:val="18"/>
          <w:i w:val="1"/>
          <w:iCs w:val="1"/>
          <w:color w:val="auto"/>
        </w:rPr>
        <w:t>The following discussion of the financial condition and results of operations of Ribbon Communications Inc. should be read in conjunction with the condensed consolidated financial statements and the related notes thereto included elsewhere in this Quarterly Report on Form 10-Q and the audited financial statements and notes thereto and Management’s Discussion and Analysis of Financial Condition and Results of Operations included in our Annual Report on Form 10-K for the year ended December 31, 2025, which was filed with the U.S. Securities and Exchange Commission on February 26, 2026.</w:t>
      </w:r>
    </w:p>
    <w:p>
      <w:pPr>
        <w:spacing w:after="0" w:line="18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229" w:lineRule="exact"/>
        <w:rPr>
          <w:sz w:val="20"/>
          <w:szCs w:val="20"/>
          <w:color w:val="auto"/>
        </w:rPr>
      </w:pPr>
    </w:p>
    <w:p>
      <w:pPr>
        <w:ind w:left="60" w:right="59" w:firstLine="324"/>
        <w:spacing w:after="0" w:line="271" w:lineRule="auto"/>
        <w:rPr>
          <w:sz w:val="20"/>
          <w:szCs w:val="20"/>
          <w:color w:val="auto"/>
        </w:rPr>
      </w:pPr>
      <w:r>
        <w:rPr>
          <w:rFonts w:ascii="Times New Roman" w:cs="Times New Roman" w:eastAsia="Times New Roman" w:hAnsi="Times New Roman"/>
          <w:sz w:val="17"/>
          <w:szCs w:val="17"/>
          <w:color w:val="auto"/>
        </w:rPr>
        <w:t>We are a leading global provider of communications technology to service providers and enterprises. We provide a broad range of software and high-performance hardware products, network solutions, and services that enable the secure delivery of data and voice communications, and high-bandwidth networking and connectivity for residential consumers and for small, medium, and large enterprises and industry verticals such as finance, education, government, utilities, and transportation. Our mission is to create a recognized global technology leader providing cloud-centric solutions that enable the secure exchange of information, with unparalleled scale, performance and elasticity. We are at the intersection of the adoption of Artificial Intelligence (“AI”) by service providers and enterprises addressing the rapid growth in fiber connectivity and integration of voice capabilities into agentic AI platforms. We are headquartered in Plano, Texas, and have a global presence with research and development or sales and support locations in over thirty countries around the world.</w:t>
      </w:r>
    </w:p>
    <w:p>
      <w:pPr>
        <w:spacing w:after="0" w:line="16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Key Trends and Economic Factors Affecting Ribbon</w:t>
      </w:r>
    </w:p>
    <w:p>
      <w:pPr>
        <w:spacing w:after="0" w:line="227" w:lineRule="exact"/>
        <w:rPr>
          <w:sz w:val="20"/>
          <w:szCs w:val="20"/>
          <w:color w:val="auto"/>
        </w:rPr>
      </w:pPr>
    </w:p>
    <w:p>
      <w:pPr>
        <w:ind w:left="60" w:right="79" w:firstLine="324"/>
        <w:spacing w:after="0" w:line="252" w:lineRule="auto"/>
        <w:rPr>
          <w:sz w:val="20"/>
          <w:szCs w:val="20"/>
          <w:color w:val="auto"/>
        </w:rPr>
      </w:pPr>
      <w:r>
        <w:rPr>
          <w:rFonts w:ascii="Times New Roman" w:cs="Times New Roman" w:eastAsia="Times New Roman" w:hAnsi="Times New Roman"/>
          <w:sz w:val="18"/>
          <w:szCs w:val="18"/>
          <w:i w:val="1"/>
          <w:iCs w:val="1"/>
          <w:color w:val="auto"/>
        </w:rPr>
        <w:t xml:space="preserve">Tariffs. </w:t>
      </w:r>
      <w:r>
        <w:rPr>
          <w:rFonts w:ascii="Times New Roman" w:cs="Times New Roman" w:eastAsia="Times New Roman" w:hAnsi="Times New Roman"/>
          <w:sz w:val="18"/>
          <w:szCs w:val="18"/>
          <w:color w:val="auto"/>
        </w:rPr>
        <w:t>The global trade landscape continues to be highly volatile. In 2025, the U.S. government implemented a series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of trade tariffs on goods imported into the U.S. from various countries. In many cases, these tariffs resulted in reciprocal tariffs and other actions on goods being exported from the U.S. These associated tariffs are complex and continue to evolve as negotiations occur. In February 2026, the U.S. Supreme Court ruled that the International Emergency Economic Powers Act (“IEEPA”), which the U.S. government relied on to impose certain tariffs, does not authorize the administration to impose tariffs. On March 4, 2026, the U.S. Court of International Trade ordered the U.S. Customs and Border Protection (“CBP”) to process refunds of the IEEPA tariffs, although the Court immediately suspended the order while the CBP determines a refund process. The IEEPA tariffs remain subject to ongoing litigation between the administration and other parties. In response to the U.S. Supreme Court ruling mentioned above, the administration announced plans to implement new tariffs under alternative statutory authority. The full impact of the U.S. Supreme Court’s ruling and the administration’s response, including the timing and extent of any refunds and the impact of the new tariffs, remain uncertain. While the announced tariffs enacted in 2025 and in the first quarter of 2026 have not had a material impact on our business to date, new or proposed tariffs, including exemptions under existing trade agreements or otherwise, could result in additional expenses for products we import into the United States. In addition, the economic uncertainty caused by the tariffs may result in customers delaying planned purchases of products and services.</w:t>
      </w:r>
    </w:p>
    <w:p>
      <w:pPr>
        <w:spacing w:after="0" w:line="196" w:lineRule="exact"/>
        <w:rPr>
          <w:sz w:val="20"/>
          <w:szCs w:val="20"/>
          <w:color w:val="auto"/>
        </w:rPr>
      </w:pPr>
    </w:p>
    <w:p>
      <w:pPr>
        <w:ind w:left="60" w:right="119" w:firstLine="324"/>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Supplier Disruptions. </w:t>
      </w:r>
      <w:r>
        <w:rPr>
          <w:rFonts w:ascii="Times New Roman" w:cs="Times New Roman" w:eastAsia="Times New Roman" w:hAnsi="Times New Roman"/>
          <w:sz w:val="18"/>
          <w:szCs w:val="18"/>
          <w:color w:val="auto"/>
        </w:rPr>
        <w:t>Ongoing uncertainty in the global economy due to tariffs, inflation, global military conflicts,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including in the Middle East and Ukraine, rising fuel prices, national security concerns and other factors, continue to disrupt various manufacturing, commodity and financial markets, increase volatility, and impede global supply chains. Our ability to deliver our solutions as agreed upon with our customers depends in part on the ability of our global contract manufacturers, vendors, licensors and other business partners to deliver products or perform services we have procured from them.</w:t>
      </w:r>
    </w:p>
    <w:p>
      <w:pPr>
        <w:spacing w:after="0" w:line="184" w:lineRule="exact"/>
        <w:rPr>
          <w:sz w:val="20"/>
          <w:szCs w:val="20"/>
          <w:color w:val="auto"/>
        </w:rPr>
      </w:pPr>
    </w:p>
    <w:p>
      <w:pPr>
        <w:ind w:left="60" w:right="99" w:firstLine="324"/>
        <w:spacing w:after="0" w:line="258" w:lineRule="auto"/>
        <w:rPr>
          <w:sz w:val="20"/>
          <w:szCs w:val="20"/>
          <w:color w:val="auto"/>
        </w:rPr>
      </w:pPr>
      <w:r>
        <w:rPr>
          <w:rFonts w:ascii="Times New Roman" w:cs="Times New Roman" w:eastAsia="Times New Roman" w:hAnsi="Times New Roman"/>
          <w:sz w:val="18"/>
          <w:szCs w:val="18"/>
          <w:color w:val="auto"/>
        </w:rPr>
        <w:t>Continued uncertain global economic conditions may cause our customers to restrict spending or delay purchases for an indeterminate period of time and consequently cause our revenues to decline. Further, such factors may negatively impact our operating costs resulting in a reduction in net income. The degree to which the ongoing wars in the Middle East and Ukraine, and the high interest rate environment impacts our future business, financial position and results of operations will depend on developments beyond our control.</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35" w:name="page36"/>
    <w:bookmarkEnd w:id="35"/>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ind w:left="60" w:right="59" w:firstLine="324"/>
        <w:spacing w:after="0" w:line="254" w:lineRule="auto"/>
        <w:rPr>
          <w:sz w:val="20"/>
          <w:szCs w:val="20"/>
          <w:color w:val="auto"/>
        </w:rPr>
      </w:pPr>
      <w:r>
        <w:rPr>
          <w:rFonts w:ascii="Times New Roman" w:cs="Times New Roman" w:eastAsia="Times New Roman" w:hAnsi="Times New Roman"/>
          <w:sz w:val="18"/>
          <w:szCs w:val="18"/>
          <w:i w:val="1"/>
          <w:iCs w:val="1"/>
          <w:color w:val="auto"/>
        </w:rPr>
        <w:t>The Ongoing War in Ukraine and the Middle East</w:t>
      </w:r>
      <w:r>
        <w:rPr>
          <w:rFonts w:ascii="Times New Roman" w:cs="Times New Roman" w:eastAsia="Times New Roman" w:hAnsi="Times New Roman"/>
          <w:sz w:val="18"/>
          <w:szCs w:val="18"/>
          <w:color w:val="auto"/>
        </w:rPr>
        <w:t>. The uncertainty resulting from the recent war in the Middle East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and ongoing war in Ukraine, and the threat for expansion of one or both of these wars, could result in some of our customers delaying purchases from us. The conflict in the Middle East has significantly reduced the export of oil and natural gas from the Persian Gulf, creating upward pressure on oil and natural gas prices, and has also disrupted and increased the costs of certain other supplies. Further, a number of our employees in Israel are members of the military reserves and subject to immediate call-up in response to the war in the Middle East. Following the terrorist attacks in Israel in October 2023, a number of our employees have been activated for military duty and we expect that additional employees will also be activated if the war in Israel continues. While we have business continuity plans in place to address the military call-ups, it could affect the timing of projects in the short-term as the work is shifted to other team members both inside and outside of Israel.</w:t>
      </w:r>
    </w:p>
    <w:p>
      <w:pPr>
        <w:spacing w:after="0" w:line="187" w:lineRule="exact"/>
        <w:rPr>
          <w:sz w:val="20"/>
          <w:szCs w:val="20"/>
          <w:color w:val="auto"/>
        </w:rPr>
      </w:pPr>
    </w:p>
    <w:p>
      <w:pPr>
        <w:ind w:left="60" w:right="79" w:firstLine="324"/>
        <w:spacing w:after="0" w:line="255" w:lineRule="auto"/>
        <w:rPr>
          <w:sz w:val="20"/>
          <w:szCs w:val="20"/>
          <w:color w:val="auto"/>
        </w:rPr>
      </w:pPr>
      <w:r>
        <w:rPr>
          <w:rFonts w:ascii="Times New Roman" w:cs="Times New Roman" w:eastAsia="Times New Roman" w:hAnsi="Times New Roman"/>
          <w:sz w:val="18"/>
          <w:szCs w:val="18"/>
          <w:color w:val="auto"/>
        </w:rPr>
        <w:t>The U.S. and other European countries have imposed sanctions and trade restrictions against Russia in connection with the war in Ukraine. These sanctions and restrictions currently prohibit our ability to sell hardware products in Russia or provide any replacement parts in Russia. The sanctions continue to evolve and further changes in the current sanctions or trade restrictions could further limit our ability to sell products and services to customers in Russia, our ability to collect on outstanding accounts receivable from such customers, and our ability to repatriate funds. If we are further limited in our ability to sell products and services to Russia and other countries for an extended period, it could have a material impact on our financial results.</w:t>
      </w:r>
    </w:p>
    <w:p>
      <w:pPr>
        <w:spacing w:after="0" w:line="187" w:lineRule="exact"/>
        <w:rPr>
          <w:sz w:val="20"/>
          <w:szCs w:val="20"/>
          <w:color w:val="auto"/>
        </w:rPr>
      </w:pPr>
    </w:p>
    <w:p>
      <w:pPr>
        <w:ind w:left="60" w:right="59" w:firstLine="324"/>
        <w:spacing w:after="0" w:line="270" w:lineRule="auto"/>
        <w:rPr>
          <w:sz w:val="20"/>
          <w:szCs w:val="20"/>
          <w:color w:val="auto"/>
        </w:rPr>
      </w:pPr>
      <w:r>
        <w:rPr>
          <w:rFonts w:ascii="Times New Roman" w:cs="Times New Roman" w:eastAsia="Times New Roman" w:hAnsi="Times New Roman"/>
          <w:sz w:val="17"/>
          <w:szCs w:val="17"/>
          <w:i w:val="1"/>
          <w:iCs w:val="1"/>
          <w:color w:val="auto"/>
        </w:rPr>
        <w:t xml:space="preserve">Inflation and Interest Rates. </w:t>
      </w:r>
      <w:r>
        <w:rPr>
          <w:rFonts w:ascii="Times New Roman" w:cs="Times New Roman" w:eastAsia="Times New Roman" w:hAnsi="Times New Roman"/>
          <w:sz w:val="17"/>
          <w:szCs w:val="17"/>
          <w:color w:val="auto"/>
        </w:rPr>
        <w:t>We continue to see near-term impacts on our business due to inflation, including ongoing</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global price pressures resulting in higher energy prices, component costs, freight premiums, and other operating costs above normal rates. Although headline inflation in the United States and Europe appears to be easing, core inflation (excluding food and energy prices) remains elevated and is a source of continued cost pressure on businesses and households. Interest rates remain high as central banks in developed countries attempt to subdue inflation while government deficits and debt remain at high levels in many global markets. However, since its peak in 2024, the Federal Reserve lowered the federal funds rate to its current target range of 3.50% to 3.75% as a result of indicators that inflation had made progress toward the Federal Reserve’s objective and labor market conditions had generally eased. Yet, the economic outlook remains uncertain, and the implications of current and future tariffs, higher government deficits and debt, tighter monetary policy, and potentially higher long-term interest rates may drive a higher cost of capital for our business.</w:t>
      </w:r>
    </w:p>
    <w:p>
      <w:pPr>
        <w:spacing w:after="0" w:line="177" w:lineRule="exact"/>
        <w:rPr>
          <w:sz w:val="20"/>
          <w:szCs w:val="20"/>
          <w:color w:val="auto"/>
        </w:rPr>
      </w:pPr>
    </w:p>
    <w:p>
      <w:pPr>
        <w:ind w:left="60" w:right="79" w:firstLine="324"/>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Foreign currency. </w:t>
      </w:r>
      <w:r>
        <w:rPr>
          <w:rFonts w:ascii="Times New Roman" w:cs="Times New Roman" w:eastAsia="Times New Roman" w:hAnsi="Times New Roman"/>
          <w:sz w:val="18"/>
          <w:szCs w:val="18"/>
          <w:color w:val="auto"/>
        </w:rPr>
        <w:t>As a portion of our business is conducted outside the United States, we face exposure to adverse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movements in foreign currency exchange rates. A weakened U.S. dollar could increase the cost of local operating expenses and procurement of raw materials from sources outside the United States. Therefore, changes in the value of the U.S. dollar against other currencies would affect our revenue, income from operations, net income and the value of balance sheet items originally denominated in other currencies. There is no guarantee that our financial results will not be adversely affected by currency exchange rate fluctuations.</w:t>
      </w:r>
    </w:p>
    <w:p>
      <w:pPr>
        <w:spacing w:after="0" w:line="18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Presentation</w:t>
      </w:r>
    </w:p>
    <w:p>
      <w:pPr>
        <w:spacing w:after="0" w:line="229" w:lineRule="exact"/>
        <w:rPr>
          <w:sz w:val="20"/>
          <w:szCs w:val="20"/>
          <w:color w:val="auto"/>
        </w:rPr>
      </w:pPr>
    </w:p>
    <w:p>
      <w:pPr>
        <w:jc w:val="both"/>
        <w:ind w:left="60" w:right="319" w:firstLine="324"/>
        <w:spacing w:after="0" w:line="266" w:lineRule="auto"/>
        <w:rPr>
          <w:sz w:val="20"/>
          <w:szCs w:val="20"/>
          <w:color w:val="auto"/>
        </w:rPr>
      </w:pPr>
      <w:r>
        <w:rPr>
          <w:rFonts w:ascii="Times New Roman" w:cs="Times New Roman" w:eastAsia="Times New Roman" w:hAnsi="Times New Roman"/>
          <w:sz w:val="18"/>
          <w:szCs w:val="18"/>
          <w:color w:val="auto"/>
        </w:rPr>
        <w:t>Unless otherwise noted, all financial amounts, excluding tabular information, in this Management’s Discussion and Analysis of Financial Condition and Results of Operations ("MD&amp;A") are rounded to the nearest million dollar amount, and all percentages, excluding tabular information, are rounded to the nearest percentage point.</w:t>
      </w:r>
    </w:p>
    <w:p>
      <w:pPr>
        <w:spacing w:after="0" w:line="1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Operating Segments</w:t>
      </w:r>
    </w:p>
    <w:p>
      <w:pPr>
        <w:spacing w:after="0" w:line="229" w:lineRule="exact"/>
        <w:rPr>
          <w:sz w:val="20"/>
          <w:szCs w:val="20"/>
          <w:color w:val="auto"/>
        </w:rPr>
      </w:pPr>
    </w:p>
    <w:p>
      <w:pPr>
        <w:ind w:left="60" w:right="179" w:firstLine="324"/>
        <w:spacing w:after="0" w:line="261" w:lineRule="auto"/>
        <w:rPr>
          <w:sz w:val="20"/>
          <w:szCs w:val="20"/>
          <w:color w:val="auto"/>
        </w:rPr>
      </w:pPr>
      <w:r>
        <w:rPr>
          <w:rFonts w:ascii="Times New Roman" w:cs="Times New Roman" w:eastAsia="Times New Roman" w:hAnsi="Times New Roman"/>
          <w:sz w:val="18"/>
          <w:szCs w:val="18"/>
          <w:color w:val="auto"/>
        </w:rPr>
        <w:t>Our Chief Operating Decision Maker (“CODM”) assesses our performance based on the performance of two separate organizations within Ribbon: the Cloud and Edge operating segment ("Cloud and Edge") and the IP Optical Networks operating segment ("IP Optical Networks"). For additional details regarding our operating segments, see Note 13 - Operating Segment Information to our condensed consolidated financial statements.</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36" w:name="page37"/>
    <w:bookmarkEnd w:id="36"/>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Financial Overview</w:t>
      </w:r>
    </w:p>
    <w:p>
      <w:pPr>
        <w:spacing w:after="0" w:line="22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Financial Results</w:t>
      </w:r>
    </w:p>
    <w:p>
      <w:pPr>
        <w:spacing w:after="0" w:line="227" w:lineRule="exact"/>
        <w:rPr>
          <w:sz w:val="20"/>
          <w:szCs w:val="20"/>
          <w:color w:val="auto"/>
        </w:rPr>
      </w:pPr>
    </w:p>
    <w:p>
      <w:pPr>
        <w:ind w:left="60" w:right="139" w:firstLine="324"/>
        <w:spacing w:after="0" w:line="282" w:lineRule="auto"/>
        <w:rPr>
          <w:sz w:val="20"/>
          <w:szCs w:val="20"/>
          <w:color w:val="auto"/>
        </w:rPr>
      </w:pPr>
      <w:r>
        <w:rPr>
          <w:rFonts w:ascii="Times New Roman" w:cs="Times New Roman" w:eastAsia="Times New Roman" w:hAnsi="Times New Roman"/>
          <w:sz w:val="18"/>
          <w:szCs w:val="18"/>
          <w:color w:val="auto"/>
        </w:rPr>
        <w:t>We reported a loss from operations of $31.7 million and $19.6 million for the three months ended March 31, 2026 and 2025, respectively.</w:t>
      </w:r>
    </w:p>
    <w:p>
      <w:pPr>
        <w:spacing w:after="0" w:line="162" w:lineRule="exact"/>
        <w:rPr>
          <w:sz w:val="20"/>
          <w:szCs w:val="20"/>
          <w:color w:val="auto"/>
        </w:rPr>
      </w:pPr>
    </w:p>
    <w:p>
      <w:pPr>
        <w:ind w:left="60" w:right="119" w:firstLine="324"/>
        <w:spacing w:after="0" w:line="254" w:lineRule="auto"/>
        <w:rPr>
          <w:sz w:val="20"/>
          <w:szCs w:val="20"/>
          <w:color w:val="auto"/>
        </w:rPr>
      </w:pPr>
      <w:r>
        <w:rPr>
          <w:rFonts w:ascii="Times New Roman" w:cs="Times New Roman" w:eastAsia="Times New Roman" w:hAnsi="Times New Roman"/>
          <w:sz w:val="18"/>
          <w:szCs w:val="18"/>
          <w:color w:val="auto"/>
        </w:rPr>
        <w:t>Our revenue was $162.6 million and $181.3 million in the three months ended March 31, 2026 and 2025, respectively. Our gross profit and gross margin were $69.7 million and 42.9%, respectively, in the three months ended March 31, 2026, and $82.4 million and 45.4%, respectively, in the three months ended March 31, 2025. The lower revenue in the three months ended March 31, 2026 compared to 2025 is due to $10.6 million of lower IP Optical Networks sales plus $8.1 million of lower Cloud and Edge revenue. The IP Optical Networks revenue was lower primarily due to $8.3 million of lower product sales, and lower professional services sales and maintenance revenue of $2.3 million. The lower Cloud and Edge revenue was attributable to $5.6 million of lower product sales and $2.5 million of lower professional services sales and maintenance revenue.</w:t>
      </w:r>
    </w:p>
    <w:p>
      <w:pPr>
        <w:spacing w:after="0" w:line="192" w:lineRule="exact"/>
        <w:rPr>
          <w:sz w:val="20"/>
          <w:szCs w:val="20"/>
          <w:color w:val="auto"/>
        </w:rPr>
      </w:pPr>
    </w:p>
    <w:p>
      <w:pPr>
        <w:ind w:left="60" w:right="379" w:firstLine="324"/>
        <w:spacing w:after="0" w:line="261" w:lineRule="auto"/>
        <w:rPr>
          <w:sz w:val="20"/>
          <w:szCs w:val="20"/>
          <w:color w:val="auto"/>
        </w:rPr>
      </w:pPr>
      <w:r>
        <w:rPr>
          <w:rFonts w:ascii="Times New Roman" w:cs="Times New Roman" w:eastAsia="Times New Roman" w:hAnsi="Times New Roman"/>
          <w:sz w:val="18"/>
          <w:szCs w:val="18"/>
          <w:color w:val="auto"/>
        </w:rPr>
        <w:t>Revenue from our Cloud and Edge segment was $99.5 million and $107.6 million in the three months ended March 31, 2026 and 2025, respectively. Gross profit and gross margin for this segment were $56.1 million and 56.4%, respectively, in the three months ended March 31, 2026, and $66.1 million and 61.5%, respectively, in the three months ended March 31, 2025.</w:t>
      </w:r>
    </w:p>
    <w:p>
      <w:pPr>
        <w:spacing w:after="0" w:line="180" w:lineRule="exact"/>
        <w:rPr>
          <w:sz w:val="20"/>
          <w:szCs w:val="20"/>
          <w:color w:val="auto"/>
        </w:rPr>
      </w:pPr>
    </w:p>
    <w:p>
      <w:pPr>
        <w:ind w:left="60" w:right="379" w:firstLine="324"/>
        <w:spacing w:after="0" w:line="261" w:lineRule="auto"/>
        <w:rPr>
          <w:sz w:val="20"/>
          <w:szCs w:val="20"/>
          <w:color w:val="auto"/>
        </w:rPr>
      </w:pPr>
      <w:r>
        <w:rPr>
          <w:rFonts w:ascii="Times New Roman" w:cs="Times New Roman" w:eastAsia="Times New Roman" w:hAnsi="Times New Roman"/>
          <w:sz w:val="18"/>
          <w:szCs w:val="18"/>
          <w:color w:val="auto"/>
        </w:rPr>
        <w:t>Revenue from our IP Optical Networks segment was $63.1 million and $73.7 million in the three months ended March 31, 2026 and 2025, respectively. Gross profit and gross margin for this segment were $13.6 million and 21.5%, respectively, in the three months ended March 31, 2026, and $16.2 million and 22.0%, respectively, in the three months ended March 31, 2025.</w:t>
      </w:r>
    </w:p>
    <w:p>
      <w:pPr>
        <w:spacing w:after="0" w:line="180"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Our operating expenses were $101.4 million and $102.0 million in the three months ended March 31, 2026 and 2025,</w:t>
      </w:r>
    </w:p>
    <w:p>
      <w:pPr>
        <w:spacing w:after="0" w:line="2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respectively. The decreased operating expenses are primarily attributable to lower restructuring and related expense, offset</w:t>
      </w:r>
    </w:p>
    <w:p>
      <w:pPr>
        <w:spacing w:after="0" w:line="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by higher general and administrative expense. Operating expenses for the three months ended March 31, 2026 included</w:t>
      </w:r>
    </w:p>
    <w:p>
      <w:pPr>
        <w:spacing w:after="0" w:line="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$5.7 million of amortization of acquired intangible assets and $2.0 million of restructuring and related expense. Operating</w:t>
      </w:r>
    </w:p>
    <w:p>
      <w:pPr>
        <w:spacing w:after="0" w:line="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expenses for the three months ended March 31, 2025 included $6.2 million of amortization of acquired intangible assets</w:t>
      </w:r>
    </w:p>
    <w:p>
      <w:pPr>
        <w:spacing w:after="0" w:line="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and $5.3 million of restructuring and related expense.</w:t>
      </w:r>
    </w:p>
    <w:p>
      <w:pPr>
        <w:spacing w:after="0" w:line="207"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We recorded stock-based compensation expense of $6.0 million and $4.3 million in the three months ended</w:t>
      </w:r>
    </w:p>
    <w:p>
      <w:pPr>
        <w:spacing w:after="0" w:line="27" w:lineRule="exact"/>
        <w:rPr>
          <w:sz w:val="20"/>
          <w:szCs w:val="20"/>
          <w:color w:val="auto"/>
        </w:rPr>
      </w:pPr>
    </w:p>
    <w:p>
      <w:pPr>
        <w:ind w:left="60" w:right="139"/>
        <w:spacing w:after="0" w:line="260" w:lineRule="auto"/>
        <w:rPr>
          <w:sz w:val="20"/>
          <w:szCs w:val="20"/>
          <w:color w:val="auto"/>
        </w:rPr>
      </w:pPr>
      <w:r>
        <w:rPr>
          <w:rFonts w:ascii="Times New Roman" w:cs="Times New Roman" w:eastAsia="Times New Roman" w:hAnsi="Times New Roman"/>
          <w:sz w:val="18"/>
          <w:szCs w:val="18"/>
          <w:color w:val="auto"/>
        </w:rPr>
        <w:t>March 31, 2026 and 2025, respectively. These amounts are included as components of both Cost of revenue and Operating expenses in our condensed consolidated statements of operations.</w:t>
      </w:r>
    </w:p>
    <w:p>
      <w:pPr>
        <w:spacing w:after="0" w:line="181" w:lineRule="exact"/>
        <w:rPr>
          <w:sz w:val="20"/>
          <w:szCs w:val="20"/>
          <w:color w:val="auto"/>
        </w:rPr>
      </w:pPr>
    </w:p>
    <w:p>
      <w:pPr>
        <w:ind w:left="60" w:right="539" w:firstLine="324"/>
        <w:spacing w:after="0" w:line="282" w:lineRule="auto"/>
        <w:rPr>
          <w:sz w:val="20"/>
          <w:szCs w:val="20"/>
          <w:color w:val="auto"/>
        </w:rPr>
      </w:pPr>
      <w:r>
        <w:rPr>
          <w:rFonts w:ascii="Times New Roman" w:cs="Times New Roman" w:eastAsia="Times New Roman" w:hAnsi="Times New Roman"/>
          <w:sz w:val="18"/>
          <w:szCs w:val="18"/>
          <w:color w:val="auto"/>
        </w:rPr>
        <w:t>See "Results of Operations" in this MD&amp;A for a discussion of the changes in our revenue and expenses for three months ended March 31, 2026 compared to three months ended March 31, 2025.</w:t>
      </w:r>
    </w:p>
    <w:p>
      <w:pPr>
        <w:spacing w:after="0" w:line="16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Restructuring and Cost Reduction Initiatives</w:t>
      </w:r>
    </w:p>
    <w:p>
      <w:pPr>
        <w:spacing w:after="0" w:line="227" w:lineRule="exact"/>
        <w:rPr>
          <w:sz w:val="20"/>
          <w:szCs w:val="20"/>
          <w:color w:val="auto"/>
        </w:rPr>
      </w:pPr>
    </w:p>
    <w:p>
      <w:pPr>
        <w:ind w:left="60" w:right="99" w:firstLine="324"/>
        <w:spacing w:after="0" w:line="256" w:lineRule="auto"/>
        <w:rPr>
          <w:sz w:val="20"/>
          <w:szCs w:val="20"/>
          <w:color w:val="auto"/>
        </w:rPr>
      </w:pPr>
      <w:r>
        <w:rPr>
          <w:rFonts w:ascii="Times New Roman" w:cs="Times New Roman" w:eastAsia="Times New Roman" w:hAnsi="Times New Roman"/>
          <w:sz w:val="18"/>
          <w:szCs w:val="18"/>
          <w:color w:val="auto"/>
        </w:rPr>
        <w:t>During the fourth quarter of 2025, our President and CEO approved a strategic restructuring program (the "2026 Restructuring Plan") that consists of workforce reductions in certain of the Company’s operating locations to correspond with current sales levels in those areas. Any potential positions eliminated in countries outside the United States are subject to local law and consultation requirements. In connection with the 2026 Restructuring Plan, we recorded restructuring and related expense of $1.3 million in the three months ended March 31, 2026. We anticipate that we will record additional expense of approximately $4 million in 2026 related to the 2026 Restructuring Plan.</w:t>
      </w:r>
    </w:p>
    <w:p>
      <w:pPr>
        <w:spacing w:after="0" w:line="187" w:lineRule="exact"/>
        <w:rPr>
          <w:sz w:val="20"/>
          <w:szCs w:val="20"/>
          <w:color w:val="auto"/>
        </w:rPr>
      </w:pPr>
    </w:p>
    <w:p>
      <w:pPr>
        <w:ind w:left="60" w:right="199" w:firstLine="324"/>
        <w:spacing w:after="0" w:line="258" w:lineRule="auto"/>
        <w:rPr>
          <w:sz w:val="20"/>
          <w:szCs w:val="20"/>
          <w:color w:val="auto"/>
        </w:rPr>
      </w:pPr>
      <w:r>
        <w:rPr>
          <w:rFonts w:ascii="Times New Roman" w:cs="Times New Roman" w:eastAsia="Times New Roman" w:hAnsi="Times New Roman"/>
          <w:sz w:val="18"/>
          <w:szCs w:val="18"/>
          <w:color w:val="auto"/>
        </w:rPr>
        <w:t>During the first quarter of 2025, our President and CEO approved a strategic restructuring program (as subsequently amended, the "2025 Restructuring Plan") that consists of workforce reductions in certain of our operating locations to correspond with current sales levels in those areas. The 2025 Restructuring Plan was amended in the third quarter of 2025 to reflect an increase in the scope of the proposed reductions. Any potential positions eliminated in countries outside the United States are subject to local law and consultation requirements. In connection with the 2025</w:t>
      </w:r>
    </w:p>
    <w:p>
      <w:pPr>
        <w:sectPr>
          <w:pgSz w:w="11900" w:h="16838" w:orient="portrait"/>
          <w:cols w:equalWidth="0" w:num="1">
            <w:col w:w="9019"/>
          </w:cols>
          <w:pgMar w:left="1440" w:top="513" w:right="1440" w:bottom="1440" w:gutter="0" w:footer="0" w:header="0"/>
        </w:sectPr>
      </w:pP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37" w:name="page38"/>
    <w:bookmarkEnd w:id="37"/>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179"/>
        <w:spacing w:after="0" w:line="266" w:lineRule="auto"/>
        <w:rPr>
          <w:sz w:val="20"/>
          <w:szCs w:val="20"/>
          <w:color w:val="auto"/>
        </w:rPr>
      </w:pPr>
      <w:r>
        <w:rPr>
          <w:rFonts w:ascii="Times New Roman" w:cs="Times New Roman" w:eastAsia="Times New Roman" w:hAnsi="Times New Roman"/>
          <w:sz w:val="18"/>
          <w:szCs w:val="18"/>
          <w:color w:val="auto"/>
        </w:rPr>
        <w:t>Restructuring Plan, we recorded nominal restructuring and related expense in the three months ended March 31, 2026 and $2.4 million in the three months ended March 31, 2025, respectively. We anticipate that we will record nominal additional expense in 2025 for workforce reductions in connection with the 2025 Restructuring Plan.</w:t>
      </w:r>
    </w:p>
    <w:p>
      <w:pPr>
        <w:spacing w:after="0" w:line="176" w:lineRule="exact"/>
        <w:rPr>
          <w:sz w:val="20"/>
          <w:szCs w:val="20"/>
          <w:color w:val="auto"/>
        </w:rPr>
      </w:pPr>
    </w:p>
    <w:p>
      <w:pPr>
        <w:ind w:left="60" w:right="119" w:firstLine="324"/>
        <w:spacing w:after="0" w:line="255" w:lineRule="auto"/>
        <w:rPr>
          <w:sz w:val="20"/>
          <w:szCs w:val="20"/>
          <w:color w:val="auto"/>
        </w:rPr>
      </w:pPr>
      <w:r>
        <w:rPr>
          <w:rFonts w:ascii="Times New Roman" w:cs="Times New Roman" w:eastAsia="Times New Roman" w:hAnsi="Times New Roman"/>
          <w:sz w:val="18"/>
          <w:szCs w:val="18"/>
          <w:color w:val="auto"/>
        </w:rPr>
        <w:t>In February 2022, our Board of Directors approved a strategic restructuring program (the "2022 Restructuring Plan") to streamline our operations in order to support our investment in critical growth areas. The 2022 Restructuring Plan includes, among other things, charges related to a consolidation of facilities and a workforce reduction. Any positions eliminated in countries outside the United States are subject to local law and consultation requirements. In connection with the 2022 Restructuring Plan, we recorded restructuring and related expense of $0.7 million and $3.1 million in the three months ended March 31, 2026 and 2025, respectively, for variable and other facilities-related costs. We anticipate that we will record approximately $2 million of expense in the remainder of 2026 related to the 2022 Restructuring Plan.</w:t>
      </w:r>
    </w:p>
    <w:p>
      <w:pPr>
        <w:spacing w:after="0" w:line="189" w:lineRule="exact"/>
        <w:rPr>
          <w:sz w:val="20"/>
          <w:szCs w:val="20"/>
          <w:color w:val="auto"/>
        </w:rPr>
      </w:pPr>
    </w:p>
    <w:p>
      <w:pPr>
        <w:ind w:left="60" w:right="79" w:firstLine="324"/>
        <w:spacing w:after="0" w:line="257" w:lineRule="auto"/>
        <w:rPr>
          <w:sz w:val="20"/>
          <w:szCs w:val="20"/>
          <w:color w:val="auto"/>
        </w:rPr>
      </w:pPr>
      <w:r>
        <w:rPr>
          <w:rFonts w:ascii="Times New Roman" w:cs="Times New Roman" w:eastAsia="Times New Roman" w:hAnsi="Times New Roman"/>
          <w:sz w:val="18"/>
          <w:szCs w:val="18"/>
          <w:color w:val="auto"/>
        </w:rPr>
        <w:t>For facilities that are part of a restructuring plan, for which we have no intent or ability to enter into a sublease, we recognize accelerated rent amortization over the period from the date that we commence the plan to fully or partially vacate a facility through the final vacate date. We did not record accelerated rent amortization in the three months ended</w:t>
      </w:r>
    </w:p>
    <w:p>
      <w:pPr>
        <w:spacing w:after="0" w:line="1" w:lineRule="exact"/>
        <w:rPr>
          <w:sz w:val="20"/>
          <w:szCs w:val="20"/>
          <w:color w:val="auto"/>
        </w:rPr>
      </w:pPr>
    </w:p>
    <w:p>
      <w:pPr>
        <w:ind w:left="60" w:right="599"/>
        <w:spacing w:after="0" w:line="255" w:lineRule="auto"/>
        <w:rPr>
          <w:sz w:val="20"/>
          <w:szCs w:val="20"/>
          <w:color w:val="auto"/>
        </w:rPr>
      </w:pPr>
      <w:r>
        <w:rPr>
          <w:rFonts w:ascii="Times New Roman" w:cs="Times New Roman" w:eastAsia="Times New Roman" w:hAnsi="Times New Roman"/>
          <w:sz w:val="18"/>
          <w:szCs w:val="18"/>
          <w:color w:val="auto"/>
        </w:rPr>
        <w:t>March 31, 2026 or 2025. We continue to evaluate our properties included in our restructuring plans for accelerated amortization and/or right-of-use asset impairment. We may incur additional expense in the future if we are unable to sublease other locations included in these initiatives.</w:t>
      </w:r>
    </w:p>
    <w:p>
      <w:pPr>
        <w:spacing w:after="0" w:line="18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Critical Accounting Policies and Estimates</w:t>
      </w:r>
    </w:p>
    <w:p>
      <w:pPr>
        <w:spacing w:after="0" w:line="229" w:lineRule="exact"/>
        <w:rPr>
          <w:sz w:val="20"/>
          <w:szCs w:val="20"/>
          <w:color w:val="auto"/>
        </w:rPr>
      </w:pPr>
    </w:p>
    <w:p>
      <w:pPr>
        <w:ind w:left="60" w:right="159" w:firstLine="324"/>
        <w:spacing w:after="0" w:line="269" w:lineRule="auto"/>
        <w:rPr>
          <w:sz w:val="20"/>
          <w:szCs w:val="20"/>
          <w:color w:val="auto"/>
        </w:rPr>
      </w:pPr>
      <w:r>
        <w:rPr>
          <w:rFonts w:ascii="Times New Roman" w:cs="Times New Roman" w:eastAsia="Times New Roman" w:hAnsi="Times New Roman"/>
          <w:sz w:val="17"/>
          <w:szCs w:val="17"/>
          <w:color w:val="auto"/>
        </w:rPr>
        <w:t>This MD&amp;A is based upon our condensed consolidated financial statements, which have been prepared in accordance with accounting principles generally accepted in the United States of America. The preparation of these financial statements requires us to make estimates and judgments that affect the reported amounts of assets, liabilities, revenues and expenses, and related disclosure of contingent assets and liabilities. We base our estimates and judgments on historical experience, knowledge of current conditions and beliefs of what could occur in the future given available information. We consider certain accounting policies to be both those most important to the portrayal of our financial condition and those that require the most subjective judgment. The significant accounting policies that we believe are the most critical include revenue recognition, the valuation of inventory, warranty accruals, loss contingencies and reserves, stock-based compensation, the warrants, business combinations, goodwill and intangible assets, accounting for leases, and accounting for income taxes. If actual results differ significantly from management’s estimates and projections, there could be a material effect on our condensed consolidated financial statements. There were no significant changes to our critical accounting policies from January 1, 2026 through March 31, 2026. For a further discussion of our critical accounting policies and estimates, please refer to our Annual Report on Form 10-K for the year ended December 31, 2025.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38" w:name="page39"/>
    <w:bookmarkEnd w:id="38"/>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22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Three months ended March 31, 2026 and 2025</w:t>
      </w:r>
    </w:p>
    <w:p>
      <w:pPr>
        <w:spacing w:after="0" w:line="225" w:lineRule="exact"/>
        <w:rPr>
          <w:sz w:val="20"/>
          <w:szCs w:val="20"/>
          <w:color w:val="auto"/>
        </w:rPr>
      </w:pPr>
    </w:p>
    <w:p>
      <w:pPr>
        <w:ind w:left="60" w:right="1259" w:firstLine="324"/>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 xml:space="preserve">Revenue. </w:t>
      </w:r>
      <w:r>
        <w:rPr>
          <w:rFonts w:ascii="Times New Roman" w:cs="Times New Roman" w:eastAsia="Times New Roman" w:hAnsi="Times New Roman"/>
          <w:sz w:val="18"/>
          <w:szCs w:val="18"/>
          <w:color w:val="auto"/>
        </w:rPr>
        <w:t>Revenue for the three months ended March 31, 2026 and 2025 was as follows (in thousands,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except percentages):</w:t>
      </w:r>
    </w:p>
    <w:p>
      <w:pPr>
        <w:spacing w:after="0" w:line="153"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3200" w:type="dxa"/>
            <w:vAlign w:val="bottom"/>
          </w:tcPr>
          <w:p>
            <w:pPr>
              <w:spacing w:after="0"/>
              <w:rPr>
                <w:sz w:val="13"/>
                <w:szCs w:val="13"/>
                <w:color w:val="auto"/>
              </w:rPr>
            </w:pPr>
          </w:p>
        </w:tc>
        <w:tc>
          <w:tcPr>
            <w:tcW w:w="2280" w:type="dxa"/>
            <w:vAlign w:val="bottom"/>
            <w:gridSpan w:val="2"/>
          </w:tcPr>
          <w:p>
            <w:pPr>
              <w:jc w:val="right"/>
              <w:ind w:right="1"/>
              <w:spacing w:after="0"/>
              <w:rPr>
                <w:sz w:val="20"/>
                <w:szCs w:val="20"/>
                <w:color w:val="auto"/>
              </w:rPr>
            </w:pPr>
            <w:r>
              <w:rPr>
                <w:rFonts w:ascii="Times New Roman" w:cs="Times New Roman" w:eastAsia="Times New Roman" w:hAnsi="Times New Roman"/>
                <w:sz w:val="14"/>
                <w:szCs w:val="14"/>
                <w:b w:val="1"/>
                <w:bCs w:val="1"/>
                <w:color w:val="auto"/>
              </w:rPr>
              <w:t>​​​</w:t>
            </w:r>
          </w:p>
        </w:tc>
        <w:tc>
          <w:tcPr>
            <w:tcW w:w="660" w:type="dxa"/>
            <w:vAlign w:val="bottom"/>
          </w:tcPr>
          <w:p>
            <w:pPr>
              <w:spacing w:after="0"/>
              <w:rPr>
                <w:sz w:val="13"/>
                <w:szCs w:val="13"/>
                <w:color w:val="auto"/>
              </w:rPr>
            </w:pP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660" w:type="dxa"/>
            <w:vAlign w:val="bottom"/>
          </w:tcPr>
          <w:p>
            <w:pPr>
              <w:spacing w:after="0"/>
              <w:rPr>
                <w:sz w:val="13"/>
                <w:szCs w:val="13"/>
                <w:color w:val="auto"/>
              </w:rPr>
            </w:pPr>
          </w:p>
        </w:tc>
        <w:tc>
          <w:tcPr>
            <w:tcW w:w="300" w:type="dxa"/>
            <w:vAlign w:val="bottom"/>
            <w:gridSpan w:val="2"/>
          </w:tcPr>
          <w:p>
            <w:pPr>
              <w:ind w:left="80"/>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gridSpan w:val="3"/>
          </w:tcPr>
          <w:p>
            <w:pPr>
              <w:jc w:val="center"/>
              <w:ind w:left="224"/>
              <w:spacing w:after="0"/>
              <w:rPr>
                <w:sz w:val="20"/>
                <w:szCs w:val="20"/>
                <w:color w:val="auto"/>
              </w:rPr>
            </w:pPr>
            <w:r>
              <w:rPr>
                <w:rFonts w:ascii="Times New Roman" w:cs="Times New Roman" w:eastAsia="Times New Roman" w:hAnsi="Times New Roman"/>
                <w:sz w:val="14"/>
                <w:szCs w:val="14"/>
                <w:b w:val="1"/>
                <w:bCs w:val="1"/>
                <w:color w:val="auto"/>
              </w:rPr>
              <w:t>Decrease</w:t>
            </w:r>
          </w:p>
        </w:tc>
        <w:tc>
          <w:tcPr>
            <w:tcW w:w="4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3"/>
        </w:trPr>
        <w:tc>
          <w:tcPr>
            <w:tcW w:w="3200" w:type="dxa"/>
            <w:vAlign w:val="bottom"/>
          </w:tcPr>
          <w:p>
            <w:pPr>
              <w:spacing w:after="0"/>
              <w:rPr>
                <w:sz w:val="15"/>
                <w:szCs w:val="15"/>
                <w:color w:val="auto"/>
              </w:rPr>
            </w:pPr>
          </w:p>
        </w:tc>
        <w:tc>
          <w:tcPr>
            <w:tcW w:w="216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580" w:type="dxa"/>
            <w:vAlign w:val="bottom"/>
            <w:tcBorders>
              <w:bottom w:val="single" w:sz="8" w:color="auto"/>
            </w:tcBorders>
            <w:gridSpan w:val="4"/>
          </w:tcPr>
          <w:p>
            <w:pPr>
              <w:jc w:val="right"/>
              <w:ind w:right="135"/>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6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360" w:type="dxa"/>
            <w:vAlign w:val="bottom"/>
            <w:tcBorders>
              <w:bottom w:val="single" w:sz="8" w:color="auto"/>
            </w:tcBorders>
            <w:gridSpan w:val="4"/>
          </w:tcPr>
          <w:p>
            <w:pPr>
              <w:jc w:val="center"/>
              <w:spacing w:after="0"/>
              <w:rPr>
                <w:sz w:val="20"/>
                <w:szCs w:val="20"/>
                <w:color w:val="auto"/>
              </w:rPr>
            </w:pPr>
            <w:r>
              <w:rPr>
                <w:rFonts w:ascii="Times New Roman" w:cs="Times New Roman" w:eastAsia="Times New Roman" w:hAnsi="Times New Roman"/>
                <w:sz w:val="14"/>
                <w:szCs w:val="14"/>
                <w:b w:val="1"/>
                <w:bCs w:val="1"/>
                <w:color w:val="auto"/>
              </w:rPr>
              <w:t>from prior year</w:t>
            </w:r>
          </w:p>
        </w:tc>
        <w:tc>
          <w:tcPr>
            <w:tcW w:w="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3200" w:type="dxa"/>
            <w:vAlign w:val="bottom"/>
          </w:tcPr>
          <w:p>
            <w:pPr>
              <w:spacing w:after="0"/>
              <w:rPr>
                <w:sz w:val="10"/>
                <w:szCs w:val="10"/>
                <w:color w:val="auto"/>
              </w:rPr>
            </w:pPr>
          </w:p>
        </w:tc>
        <w:tc>
          <w:tcPr>
            <w:tcW w:w="2160" w:type="dxa"/>
            <w:vAlign w:val="bottom"/>
          </w:tcPr>
          <w:p>
            <w:pPr>
              <w:spacing w:after="0"/>
              <w:rPr>
                <w:sz w:val="10"/>
                <w:szCs w:val="10"/>
                <w:color w:val="auto"/>
              </w:rPr>
            </w:pPr>
          </w:p>
        </w:tc>
        <w:tc>
          <w:tcPr>
            <w:tcW w:w="780" w:type="dxa"/>
            <w:vAlign w:val="bottom"/>
            <w:gridSpan w:val="2"/>
          </w:tcPr>
          <w:p>
            <w:pPr>
              <w:jc w:val="right"/>
              <w:ind w:right="17"/>
              <w:spacing w:after="0" w:line="118" w:lineRule="exact"/>
              <w:rPr>
                <w:sz w:val="20"/>
                <w:szCs w:val="20"/>
                <w:color w:val="auto"/>
              </w:rPr>
            </w:pPr>
            <w:r>
              <w:rPr>
                <w:rFonts w:ascii="Times New Roman" w:cs="Times New Roman" w:eastAsia="Times New Roman" w:hAnsi="Times New Roman"/>
                <w:sz w:val="13"/>
                <w:szCs w:val="13"/>
                <w:b w:val="1"/>
                <w:bCs w:val="1"/>
                <w:color w:val="auto"/>
              </w:rPr>
              <w:t>March 31,</w:t>
            </w:r>
          </w:p>
        </w:tc>
        <w:tc>
          <w:tcPr>
            <w:tcW w:w="140" w:type="dxa"/>
            <w:vAlign w:val="bottom"/>
          </w:tcPr>
          <w:p>
            <w:pPr>
              <w:spacing w:after="0"/>
              <w:rPr>
                <w:sz w:val="10"/>
                <w:szCs w:val="10"/>
                <w:color w:val="auto"/>
              </w:rPr>
            </w:pPr>
          </w:p>
        </w:tc>
        <w:tc>
          <w:tcPr>
            <w:tcW w:w="780" w:type="dxa"/>
            <w:vAlign w:val="bottom"/>
            <w:gridSpan w:val="2"/>
          </w:tcPr>
          <w:p>
            <w:pPr>
              <w:jc w:val="right"/>
              <w:spacing w:after="0" w:line="118" w:lineRule="exact"/>
              <w:rPr>
                <w:sz w:val="20"/>
                <w:szCs w:val="20"/>
                <w:color w:val="auto"/>
              </w:rPr>
            </w:pPr>
            <w:r>
              <w:rPr>
                <w:rFonts w:ascii="Times New Roman" w:cs="Times New Roman" w:eastAsia="Times New Roman" w:hAnsi="Times New Roman"/>
                <w:sz w:val="13"/>
                <w:szCs w:val="13"/>
                <w:b w:val="1"/>
                <w:bCs w:val="1"/>
                <w:color w:val="auto"/>
              </w:rPr>
              <w:t>March 31,</w:t>
            </w:r>
          </w:p>
        </w:tc>
        <w:tc>
          <w:tcPr>
            <w:tcW w:w="300" w:type="dxa"/>
            <w:vAlign w:val="bottom"/>
            <w:gridSpan w:val="2"/>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w:t>
            </w:r>
          </w:p>
        </w:tc>
        <w:tc>
          <w:tcPr>
            <w:tcW w:w="660" w:type="dxa"/>
            <w:vAlign w:val="bottom"/>
            <w:vMerge w:val="restart"/>
          </w:tcPr>
          <w:p>
            <w:pPr>
              <w:jc w:val="right"/>
              <w:ind w:right="304"/>
              <w:spacing w:after="0"/>
              <w:rPr>
                <w:sz w:val="20"/>
                <w:szCs w:val="20"/>
                <w:color w:val="auto"/>
              </w:rPr>
            </w:pPr>
            <w:r>
              <w:rPr>
                <w:rFonts w:ascii="Times New Roman" w:cs="Times New Roman" w:eastAsia="Times New Roman" w:hAnsi="Times New Roman"/>
                <w:sz w:val="14"/>
                <w:szCs w:val="14"/>
                <w:b w:val="1"/>
                <w:bCs w:val="1"/>
                <w:color w:val="auto"/>
              </w:rPr>
              <w:t>$</w:t>
            </w:r>
          </w:p>
        </w:tc>
        <w:tc>
          <w:tcPr>
            <w:tcW w:w="26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w:t>
            </w:r>
          </w:p>
        </w:tc>
        <w:tc>
          <w:tcPr>
            <w:tcW w:w="440" w:type="dxa"/>
            <w:vAlign w:val="bottom"/>
            <w:vMerge w:val="restart"/>
          </w:tcPr>
          <w:p>
            <w:pPr>
              <w:jc w:val="right"/>
              <w:ind w:right="175"/>
              <w:spacing w:after="0"/>
              <w:rPr>
                <w:sz w:val="20"/>
                <w:szCs w:val="20"/>
                <w:color w:val="auto"/>
              </w:rPr>
            </w:pPr>
            <w:r>
              <w:rPr>
                <w:rFonts w:ascii="Times New Roman" w:cs="Times New Roman" w:eastAsia="Times New Roman" w:hAnsi="Times New Roman"/>
                <w:sz w:val="14"/>
                <w:szCs w:val="14"/>
                <w:b w:val="1"/>
                <w:bCs w:val="1"/>
                <w:color w:val="auto"/>
              </w:rPr>
              <w:t>%</w:t>
            </w:r>
          </w:p>
        </w:tc>
        <w:tc>
          <w:tcPr>
            <w:tcW w:w="1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3"/>
        </w:trPr>
        <w:tc>
          <w:tcPr>
            <w:tcW w:w="3200" w:type="dxa"/>
            <w:vAlign w:val="bottom"/>
          </w:tcPr>
          <w:p>
            <w:pPr>
              <w:spacing w:after="0"/>
              <w:rPr>
                <w:sz w:val="15"/>
                <w:szCs w:val="15"/>
                <w:color w:val="auto"/>
              </w:rPr>
            </w:pPr>
          </w:p>
        </w:tc>
        <w:tc>
          <w:tcPr>
            <w:tcW w:w="2280" w:type="dxa"/>
            <w:vAlign w:val="bottom"/>
            <w:gridSpan w:val="2"/>
          </w:tcPr>
          <w:p>
            <w:pPr>
              <w:jc w:val="right"/>
              <w:ind w:right="1"/>
              <w:spacing w:after="0"/>
              <w:rPr>
                <w:sz w:val="20"/>
                <w:szCs w:val="20"/>
                <w:color w:val="auto"/>
              </w:rPr>
            </w:pPr>
            <w:r>
              <w:rPr>
                <w:rFonts w:ascii="Times New Roman" w:cs="Times New Roman" w:eastAsia="Times New Roman" w:hAnsi="Times New Roman"/>
                <w:sz w:val="14"/>
                <w:szCs w:val="14"/>
                <w:b w:val="1"/>
                <w:bCs w:val="1"/>
                <w:color w:val="auto"/>
              </w:rPr>
              <w:t>​​​</w:t>
            </w:r>
          </w:p>
        </w:tc>
        <w:tc>
          <w:tcPr>
            <w:tcW w:w="660" w:type="dxa"/>
            <w:vAlign w:val="bottom"/>
          </w:tcPr>
          <w:p>
            <w:pPr>
              <w:jc w:val="right"/>
              <w:ind w:right="157"/>
              <w:spacing w:after="0"/>
              <w:rPr>
                <w:sz w:val="20"/>
                <w:szCs w:val="20"/>
                <w:color w:val="auto"/>
              </w:rPr>
            </w:pPr>
            <w:r>
              <w:rPr>
                <w:rFonts w:ascii="Times New Roman" w:cs="Times New Roman" w:eastAsia="Times New Roman" w:hAnsi="Times New Roman"/>
                <w:sz w:val="14"/>
                <w:szCs w:val="14"/>
                <w:b w:val="1"/>
                <w:bCs w:val="1"/>
                <w:color w:val="auto"/>
              </w:rPr>
              <w:t>2026</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660" w:type="dxa"/>
            <w:vAlign w:val="bottom"/>
          </w:tcPr>
          <w:p>
            <w:pPr>
              <w:jc w:val="right"/>
              <w:ind w:right="155"/>
              <w:spacing w:after="0"/>
              <w:rPr>
                <w:sz w:val="20"/>
                <w:szCs w:val="20"/>
                <w:color w:val="auto"/>
              </w:rPr>
            </w:pPr>
            <w:r>
              <w:rPr>
                <w:rFonts w:ascii="Times New Roman" w:cs="Times New Roman" w:eastAsia="Times New Roman" w:hAnsi="Times New Roman"/>
                <w:sz w:val="14"/>
                <w:szCs w:val="14"/>
                <w:b w:val="1"/>
                <w:bCs w:val="1"/>
                <w:color w:val="auto"/>
              </w:rPr>
              <w:t>2025</w:t>
            </w:r>
          </w:p>
        </w:tc>
        <w:tc>
          <w:tcPr>
            <w:tcW w:w="300" w:type="dxa"/>
            <w:vAlign w:val="bottom"/>
            <w:gridSpan w:val="2"/>
            <w:vMerge w:val="continue"/>
          </w:tcPr>
          <w:p>
            <w:pPr>
              <w:spacing w:after="0"/>
              <w:rPr>
                <w:sz w:val="15"/>
                <w:szCs w:val="15"/>
                <w:color w:val="auto"/>
              </w:rPr>
            </w:pPr>
          </w:p>
        </w:tc>
        <w:tc>
          <w:tcPr>
            <w:tcW w:w="660" w:type="dxa"/>
            <w:vAlign w:val="bottom"/>
            <w:vMerge w:val="continue"/>
          </w:tcPr>
          <w:p>
            <w:pPr>
              <w:spacing w:after="0"/>
              <w:rPr>
                <w:sz w:val="15"/>
                <w:szCs w:val="15"/>
                <w:color w:val="auto"/>
              </w:rPr>
            </w:pPr>
          </w:p>
        </w:tc>
        <w:tc>
          <w:tcPr>
            <w:tcW w:w="260" w:type="dxa"/>
            <w:vAlign w:val="bottom"/>
            <w:gridSpan w:val="2"/>
            <w:vMerge w:val="continue"/>
          </w:tcPr>
          <w:p>
            <w:pPr>
              <w:spacing w:after="0"/>
              <w:rPr>
                <w:sz w:val="15"/>
                <w:szCs w:val="15"/>
                <w:color w:val="auto"/>
              </w:rPr>
            </w:pPr>
          </w:p>
        </w:tc>
        <w:tc>
          <w:tcPr>
            <w:tcW w:w="440" w:type="dxa"/>
            <w:vAlign w:val="bottom"/>
            <w:vMerge w:val="continue"/>
          </w:tcPr>
          <w:p>
            <w:pPr>
              <w:spacing w:after="0"/>
              <w:rPr>
                <w:sz w:val="15"/>
                <w:szCs w:val="15"/>
                <w:color w:val="auto"/>
              </w:rPr>
            </w:pPr>
          </w:p>
        </w:tc>
        <w:tc>
          <w:tcPr>
            <w:tcW w:w="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3200" w:type="dxa"/>
            <w:vAlign w:val="bottom"/>
            <w:vMerge w:val="restart"/>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Product</w:t>
            </w:r>
          </w:p>
        </w:tc>
        <w:tc>
          <w:tcPr>
            <w:tcW w:w="2160" w:type="dxa"/>
            <w:vAlign w:val="bottom"/>
            <w:vMerge w:val="restart"/>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40" w:type="dxa"/>
            <w:vAlign w:val="bottom"/>
            <w:vMerge w:val="restart"/>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60" w:type="dxa"/>
            <w:vAlign w:val="bottom"/>
            <w:vMerge w:val="restart"/>
            <w:shd w:val="clear" w:color="auto" w:fill="CCEEFF"/>
          </w:tcPr>
          <w:p>
            <w:pPr>
              <w:spacing w:after="0" w:line="20" w:lineRule="exact"/>
              <w:rPr>
                <w:sz w:val="1"/>
                <w:szCs w:val="1"/>
                <w:color w:val="auto"/>
              </w:rPr>
            </w:pPr>
          </w:p>
        </w:tc>
        <w:tc>
          <w:tcPr>
            <w:tcW w:w="800" w:type="dxa"/>
            <w:vAlign w:val="bottom"/>
            <w:tcBorders>
              <w:right w:val="single" w:sz="8" w:color="CCEEFF"/>
            </w:tcBorders>
            <w:gridSpan w:val="2"/>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200" w:type="dxa"/>
            <w:vAlign w:val="bottom"/>
            <w:vMerge w:val="continue"/>
            <w:shd w:val="clear" w:color="auto" w:fill="CCEEFF"/>
          </w:tcPr>
          <w:p>
            <w:pPr>
              <w:spacing w:after="0"/>
              <w:rPr>
                <w:sz w:val="18"/>
                <w:szCs w:val="18"/>
                <w:color w:val="auto"/>
              </w:rPr>
            </w:pPr>
          </w:p>
        </w:tc>
        <w:tc>
          <w:tcPr>
            <w:tcW w:w="216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68,114</w:t>
            </w:r>
          </w:p>
        </w:tc>
        <w:tc>
          <w:tcPr>
            <w:tcW w:w="14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81,991</w:t>
            </w:r>
          </w:p>
        </w:tc>
        <w:tc>
          <w:tcPr>
            <w:tcW w:w="160" w:type="dxa"/>
            <w:vAlign w:val="bottom"/>
            <w:vMerge w:val="continue"/>
            <w:shd w:val="clear" w:color="auto" w:fill="CCEEFF"/>
          </w:tcPr>
          <w:p>
            <w:pPr>
              <w:spacing w:after="0"/>
              <w:rPr>
                <w:sz w:val="18"/>
                <w:szCs w:val="18"/>
                <w:color w:val="auto"/>
              </w:rPr>
            </w:pPr>
          </w:p>
        </w:tc>
        <w:tc>
          <w:tcPr>
            <w:tcW w:w="800" w:type="dxa"/>
            <w:vAlign w:val="bottom"/>
            <w:tcBorders>
              <w:right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 (13,877)</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w w:val="99"/>
              </w:rPr>
              <w:t>(16.9)%</w:t>
            </w:r>
          </w:p>
        </w:tc>
        <w:tc>
          <w:tcPr>
            <w:tcW w:w="0" w:type="dxa"/>
            <w:vAlign w:val="bottom"/>
          </w:tcPr>
          <w:p>
            <w:pPr>
              <w:spacing w:after="0"/>
              <w:rPr>
                <w:sz w:val="1"/>
                <w:szCs w:val="1"/>
                <w:color w:val="auto"/>
              </w:rPr>
            </w:pPr>
          </w:p>
        </w:tc>
      </w:tr>
      <w:tr>
        <w:trPr>
          <w:trHeight w:val="216"/>
        </w:trPr>
        <w:tc>
          <w:tcPr>
            <w:tcW w:w="3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Service</w:t>
            </w:r>
          </w:p>
        </w:tc>
        <w:tc>
          <w:tcPr>
            <w:tcW w:w="2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94,492</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99,288</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(4,796)</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(4.8)%</w:t>
            </w:r>
          </w:p>
        </w:tc>
        <w:tc>
          <w:tcPr>
            <w:tcW w:w="0" w:type="dxa"/>
            <w:vAlign w:val="bottom"/>
          </w:tcPr>
          <w:p>
            <w:pPr>
              <w:spacing w:after="0"/>
              <w:rPr>
                <w:sz w:val="1"/>
                <w:szCs w:val="1"/>
                <w:color w:val="auto"/>
              </w:rPr>
            </w:pPr>
          </w:p>
        </w:tc>
      </w:tr>
      <w:tr>
        <w:trPr>
          <w:trHeight w:val="209"/>
        </w:trPr>
        <w:tc>
          <w:tcPr>
            <w:tcW w:w="3200" w:type="dxa"/>
            <w:vAlign w:val="bottom"/>
            <w:tcBorders>
              <w:top w:val="single" w:sz="8" w:color="CCEEFF"/>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Total revenue</w:t>
            </w:r>
          </w:p>
        </w:tc>
        <w:tc>
          <w:tcPr>
            <w:tcW w:w="216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162,606</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181,279</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800" w:type="dxa"/>
            <w:vAlign w:val="bottom"/>
            <w:tcBorders>
              <w:top w:val="single" w:sz="8" w:color="auto"/>
              <w:bottom w:val="single" w:sz="8" w:color="auto"/>
              <w:right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 (18,673)</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620" w:type="dxa"/>
            <w:vAlign w:val="bottom"/>
            <w:tcBorders>
              <w:top w:val="single" w:sz="8" w:color="CCEEFF"/>
              <w:bottom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w w:val="99"/>
              </w:rPr>
              <w:t>(10.3)%</w:t>
            </w:r>
          </w:p>
        </w:tc>
        <w:tc>
          <w:tcPr>
            <w:tcW w:w="0" w:type="dxa"/>
            <w:vAlign w:val="bottom"/>
          </w:tcPr>
          <w:p>
            <w:pPr>
              <w:spacing w:after="0"/>
              <w:rPr>
                <w:sz w:val="1"/>
                <w:szCs w:val="1"/>
                <w:color w:val="auto"/>
              </w:rPr>
            </w:pPr>
          </w:p>
        </w:tc>
      </w:tr>
      <w:tr>
        <w:trPr>
          <w:trHeight w:val="20"/>
        </w:trPr>
        <w:tc>
          <w:tcPr>
            <w:tcW w:w="320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Segment revenue for the three months ended March 31, 2026 and 2025 was as follows (in thousands):</w:t>
      </w:r>
    </w:p>
    <w:p>
      <w:pPr>
        <w:spacing w:after="0" w:line="232"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2120" w:type="dxa"/>
            <w:vAlign w:val="bottom"/>
          </w:tcPr>
          <w:p>
            <w:pPr>
              <w:spacing w:after="0"/>
              <w:rPr>
                <w:sz w:val="15"/>
                <w:szCs w:val="15"/>
                <w:color w:val="auto"/>
              </w:rPr>
            </w:pPr>
          </w:p>
        </w:tc>
        <w:tc>
          <w:tcPr>
            <w:tcW w:w="3820" w:type="dxa"/>
            <w:vAlign w:val="bottom"/>
            <w:gridSpan w:val="9"/>
          </w:tcPr>
          <w:p>
            <w:pPr>
              <w:jc w:val="right"/>
              <w:ind w:right="155"/>
              <w:spacing w:after="0"/>
              <w:rPr>
                <w:sz w:val="20"/>
                <w:szCs w:val="20"/>
                <w:color w:val="auto"/>
              </w:rPr>
            </w:pPr>
            <w:r>
              <w:rPr>
                <w:rFonts w:ascii="Times New Roman" w:cs="Times New Roman" w:eastAsia="Times New Roman" w:hAnsi="Times New Roman"/>
                <w:sz w:val="14"/>
                <w:szCs w:val="14"/>
                <w:b w:val="1"/>
                <w:bCs w:val="1"/>
                <w:color w:val="auto"/>
              </w:rPr>
              <w:t>​​​   Three months ended March 31, 2026</w:t>
            </w:r>
          </w:p>
        </w:tc>
        <w:tc>
          <w:tcPr>
            <w:tcW w:w="2960" w:type="dxa"/>
            <w:vAlign w:val="bottom"/>
            <w:gridSpan w:val="9"/>
          </w:tcPr>
          <w:p>
            <w:pPr>
              <w:ind w:left="100"/>
              <w:spacing w:after="0"/>
              <w:rPr>
                <w:sz w:val="20"/>
                <w:szCs w:val="20"/>
                <w:color w:val="auto"/>
              </w:rPr>
            </w:pP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b w:val="1"/>
                <w:bCs w:val="1"/>
                <w:color w:val="auto"/>
              </w:rPr>
              <w:t>Three months ended March 31, 2025</w:t>
            </w:r>
          </w:p>
        </w:tc>
        <w:tc>
          <w:tcPr>
            <w:tcW w:w="0" w:type="dxa"/>
            <w:vAlign w:val="bottom"/>
          </w:tcPr>
          <w:p>
            <w:pPr>
              <w:spacing w:after="0"/>
              <w:rPr>
                <w:sz w:val="1"/>
                <w:szCs w:val="1"/>
                <w:color w:val="auto"/>
              </w:rPr>
            </w:pPr>
          </w:p>
        </w:tc>
      </w:tr>
      <w:tr>
        <w:trPr>
          <w:trHeight w:val="117"/>
        </w:trPr>
        <w:tc>
          <w:tcPr>
            <w:tcW w:w="212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800" w:type="dxa"/>
            <w:vAlign w:val="bottom"/>
            <w:tcBorders>
              <w:top w:val="single" w:sz="8" w:color="auto"/>
            </w:tcBorders>
            <w:gridSpan w:val="2"/>
          </w:tcPr>
          <w:p>
            <w:pPr>
              <w:ind w:left="80"/>
              <w:spacing w:after="0" w:line="118" w:lineRule="exact"/>
              <w:rPr>
                <w:sz w:val="20"/>
                <w:szCs w:val="20"/>
                <w:color w:val="auto"/>
              </w:rPr>
            </w:pPr>
            <w:r>
              <w:rPr>
                <w:rFonts w:ascii="Times New Roman" w:cs="Times New Roman" w:eastAsia="Times New Roman" w:hAnsi="Times New Roman"/>
                <w:sz w:val="13"/>
                <w:szCs w:val="13"/>
                <w:b w:val="1"/>
                <w:bCs w:val="1"/>
                <w:color w:val="auto"/>
              </w:rPr>
              <w:t>Cloud and</w:t>
            </w:r>
          </w:p>
        </w:tc>
        <w:tc>
          <w:tcPr>
            <w:tcW w:w="160" w:type="dxa"/>
            <w:vAlign w:val="bottom"/>
            <w:tcBorders>
              <w:top w:val="single" w:sz="8" w:color="auto"/>
            </w:tcBorders>
          </w:tcPr>
          <w:p>
            <w:pPr>
              <w:spacing w:after="0"/>
              <w:rPr>
                <w:sz w:val="10"/>
                <w:szCs w:val="10"/>
                <w:color w:val="auto"/>
              </w:rPr>
            </w:pPr>
          </w:p>
        </w:tc>
        <w:tc>
          <w:tcPr>
            <w:tcW w:w="820" w:type="dxa"/>
            <w:vAlign w:val="bottom"/>
            <w:tcBorders>
              <w:top w:val="single" w:sz="8" w:color="auto"/>
            </w:tcBorders>
            <w:gridSpan w:val="2"/>
          </w:tcPr>
          <w:p>
            <w:pPr>
              <w:jc w:val="right"/>
              <w:spacing w:after="0" w:line="118" w:lineRule="exact"/>
              <w:rPr>
                <w:sz w:val="20"/>
                <w:szCs w:val="20"/>
                <w:color w:val="auto"/>
              </w:rPr>
            </w:pPr>
            <w:r>
              <w:rPr>
                <w:rFonts w:ascii="Times New Roman" w:cs="Times New Roman" w:eastAsia="Times New Roman" w:hAnsi="Times New Roman"/>
                <w:sz w:val="13"/>
                <w:szCs w:val="13"/>
                <w:b w:val="1"/>
                <w:bCs w:val="1"/>
                <w:color w:val="auto"/>
              </w:rPr>
              <w:t>IP Optical</w:t>
            </w:r>
          </w:p>
        </w:tc>
        <w:tc>
          <w:tcPr>
            <w:tcW w:w="300" w:type="dxa"/>
            <w:vAlign w:val="bottom"/>
            <w:tcBorders>
              <w:top w:val="single" w:sz="8" w:color="auto"/>
            </w:tcBorders>
            <w:gridSpan w:val="2"/>
            <w:vMerge w:val="restart"/>
          </w:tcPr>
          <w:p>
            <w:pPr>
              <w:jc w:val="right"/>
              <w:ind w:right="30"/>
              <w:spacing w:after="0"/>
              <w:rPr>
                <w:sz w:val="20"/>
                <w:szCs w:val="20"/>
                <w:color w:val="auto"/>
              </w:rPr>
            </w:pPr>
            <w:r>
              <w:rPr>
                <w:rFonts w:ascii="Times New Roman" w:cs="Times New Roman" w:eastAsia="Times New Roman" w:hAnsi="Times New Roman"/>
                <w:sz w:val="14"/>
                <w:szCs w:val="14"/>
                <w:b w:val="1"/>
                <w:bCs w:val="1"/>
                <w:color w:val="auto"/>
              </w:rPr>
              <w:t>​​​</w:t>
            </w:r>
          </w:p>
        </w:tc>
        <w:tc>
          <w:tcPr>
            <w:tcW w:w="660" w:type="dxa"/>
            <w:vAlign w:val="bottom"/>
            <w:tcBorders>
              <w:top w:val="single" w:sz="8" w:color="auto"/>
            </w:tcBorders>
            <w:vMerge w:val="restart"/>
          </w:tcPr>
          <w:p>
            <w:pPr>
              <w:jc w:val="right"/>
              <w:ind w:right="155"/>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80" w:type="dxa"/>
            <w:vAlign w:val="bottom"/>
          </w:tcPr>
          <w:p>
            <w:pPr>
              <w:spacing w:after="0"/>
              <w:rPr>
                <w:sz w:val="10"/>
                <w:szCs w:val="10"/>
                <w:color w:val="auto"/>
              </w:rPr>
            </w:pPr>
          </w:p>
        </w:tc>
        <w:tc>
          <w:tcPr>
            <w:tcW w:w="800" w:type="dxa"/>
            <w:vAlign w:val="bottom"/>
            <w:tcBorders>
              <w:top w:val="single" w:sz="8" w:color="auto"/>
            </w:tcBorders>
            <w:gridSpan w:val="2"/>
          </w:tcPr>
          <w:p>
            <w:pPr>
              <w:jc w:val="right"/>
              <w:spacing w:after="0" w:line="118" w:lineRule="exact"/>
              <w:rPr>
                <w:sz w:val="20"/>
                <w:szCs w:val="20"/>
                <w:color w:val="auto"/>
              </w:rPr>
            </w:pPr>
            <w:r>
              <w:rPr>
                <w:rFonts w:ascii="Times New Roman" w:cs="Times New Roman" w:eastAsia="Times New Roman" w:hAnsi="Times New Roman"/>
                <w:sz w:val="13"/>
                <w:szCs w:val="13"/>
                <w:b w:val="1"/>
                <w:bCs w:val="1"/>
                <w:color w:val="auto"/>
              </w:rPr>
              <w:t>Cloud and</w:t>
            </w:r>
          </w:p>
        </w:tc>
        <w:tc>
          <w:tcPr>
            <w:tcW w:w="260" w:type="dxa"/>
            <w:vAlign w:val="bottom"/>
            <w:tcBorders>
              <w:top w:val="single" w:sz="8" w:color="auto"/>
            </w:tcBorders>
            <w:gridSpan w:val="2"/>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720" w:type="dxa"/>
            <w:vAlign w:val="bottom"/>
            <w:tcBorders>
              <w:top w:val="single" w:sz="8" w:color="auto"/>
            </w:tcBorders>
          </w:tcPr>
          <w:p>
            <w:pPr>
              <w:jc w:val="right"/>
              <w:spacing w:after="0" w:line="118" w:lineRule="exact"/>
              <w:rPr>
                <w:sz w:val="20"/>
                <w:szCs w:val="20"/>
                <w:color w:val="auto"/>
              </w:rPr>
            </w:pPr>
            <w:r>
              <w:rPr>
                <w:rFonts w:ascii="Times New Roman" w:cs="Times New Roman" w:eastAsia="Times New Roman" w:hAnsi="Times New Roman"/>
                <w:sz w:val="13"/>
                <w:szCs w:val="13"/>
                <w:b w:val="1"/>
                <w:bCs w:val="1"/>
                <w:color w:val="auto"/>
              </w:rPr>
              <w:t>IP Optical</w:t>
            </w:r>
          </w:p>
        </w:tc>
        <w:tc>
          <w:tcPr>
            <w:tcW w:w="320" w:type="dxa"/>
            <w:vAlign w:val="bottom"/>
            <w:tcBorders>
              <w:top w:val="single" w:sz="8" w:color="auto"/>
            </w:tcBorders>
            <w:gridSpan w:val="2"/>
            <w:vMerge w:val="restart"/>
          </w:tcPr>
          <w:p>
            <w:pPr>
              <w:jc w:val="right"/>
              <w:ind w:right="30"/>
              <w:spacing w:after="0"/>
              <w:rPr>
                <w:sz w:val="20"/>
                <w:szCs w:val="20"/>
                <w:color w:val="auto"/>
              </w:rPr>
            </w:pPr>
            <w:r>
              <w:rPr>
                <w:rFonts w:ascii="Times New Roman" w:cs="Times New Roman" w:eastAsia="Times New Roman" w:hAnsi="Times New Roman"/>
                <w:sz w:val="14"/>
                <w:szCs w:val="14"/>
                <w:b w:val="1"/>
                <w:bCs w:val="1"/>
                <w:color w:val="auto"/>
              </w:rPr>
              <w:t>​​​</w:t>
            </w:r>
          </w:p>
        </w:tc>
        <w:tc>
          <w:tcPr>
            <w:tcW w:w="680" w:type="dxa"/>
            <w:vAlign w:val="bottom"/>
            <w:tcBorders>
              <w:top w:val="single" w:sz="8" w:color="auto"/>
            </w:tcBorders>
            <w:vMerge w:val="restart"/>
          </w:tcPr>
          <w:p>
            <w:pPr>
              <w:jc w:val="right"/>
              <w:ind w:right="175"/>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73"/>
        </w:trPr>
        <w:tc>
          <w:tcPr>
            <w:tcW w:w="2120" w:type="dxa"/>
            <w:vAlign w:val="bottom"/>
          </w:tcPr>
          <w:p>
            <w:pPr>
              <w:spacing w:after="0"/>
              <w:rPr>
                <w:sz w:val="15"/>
                <w:szCs w:val="15"/>
                <w:color w:val="auto"/>
              </w:rPr>
            </w:pPr>
          </w:p>
        </w:tc>
        <w:tc>
          <w:tcPr>
            <w:tcW w:w="1260" w:type="dxa"/>
            <w:vAlign w:val="bottom"/>
            <w:gridSpan w:val="2"/>
          </w:tcPr>
          <w:p>
            <w:pPr>
              <w:jc w:val="right"/>
              <w:ind w:right="58"/>
              <w:spacing w:after="0"/>
              <w:rPr>
                <w:sz w:val="20"/>
                <w:szCs w:val="20"/>
                <w:color w:val="auto"/>
              </w:rPr>
            </w:pPr>
            <w:r>
              <w:rPr>
                <w:rFonts w:ascii="Times New Roman" w:cs="Times New Roman" w:eastAsia="Times New Roman" w:hAnsi="Times New Roman"/>
                <w:sz w:val="14"/>
                <w:szCs w:val="14"/>
                <w:b w:val="1"/>
                <w:bCs w:val="1"/>
                <w:color w:val="auto"/>
              </w:rPr>
              <w:t>​​​</w:t>
            </w:r>
          </w:p>
        </w:tc>
        <w:tc>
          <w:tcPr>
            <w:tcW w:w="620" w:type="dxa"/>
            <w:vAlign w:val="bottom"/>
          </w:tcPr>
          <w:p>
            <w:pPr>
              <w:ind w:left="100"/>
              <w:spacing w:after="0"/>
              <w:rPr>
                <w:sz w:val="20"/>
                <w:szCs w:val="20"/>
                <w:color w:val="auto"/>
              </w:rPr>
            </w:pPr>
            <w:r>
              <w:rPr>
                <w:rFonts w:ascii="Times New Roman" w:cs="Times New Roman" w:eastAsia="Times New Roman" w:hAnsi="Times New Roman"/>
                <w:sz w:val="14"/>
                <w:szCs w:val="14"/>
                <w:b w:val="1"/>
                <w:bCs w:val="1"/>
                <w:color w:val="auto"/>
              </w:rPr>
              <w:t>Edge</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700" w:type="dxa"/>
            <w:vAlign w:val="bottom"/>
          </w:tcPr>
          <w:p>
            <w:pPr>
              <w:jc w:val="right"/>
              <w:ind w:right="15"/>
              <w:spacing w:after="0"/>
              <w:rPr>
                <w:sz w:val="20"/>
                <w:szCs w:val="20"/>
                <w:color w:val="auto"/>
              </w:rPr>
            </w:pPr>
            <w:r>
              <w:rPr>
                <w:rFonts w:ascii="Times New Roman" w:cs="Times New Roman" w:eastAsia="Times New Roman" w:hAnsi="Times New Roman"/>
                <w:sz w:val="14"/>
                <w:szCs w:val="14"/>
                <w:b w:val="1"/>
                <w:bCs w:val="1"/>
                <w:color w:val="auto"/>
              </w:rPr>
              <w:t>Networks</w:t>
            </w:r>
          </w:p>
        </w:tc>
        <w:tc>
          <w:tcPr>
            <w:tcW w:w="300" w:type="dxa"/>
            <w:vAlign w:val="bottom"/>
            <w:gridSpan w:val="2"/>
            <w:vMerge w:val="continue"/>
          </w:tcPr>
          <w:p>
            <w:pPr>
              <w:spacing w:after="0"/>
              <w:rPr>
                <w:sz w:val="15"/>
                <w:szCs w:val="15"/>
                <w:color w:val="auto"/>
              </w:rPr>
            </w:pPr>
          </w:p>
        </w:tc>
        <w:tc>
          <w:tcPr>
            <w:tcW w:w="660" w:type="dxa"/>
            <w:vAlign w:val="bottom"/>
            <w:vMerge w:val="continue"/>
          </w:tcPr>
          <w:p>
            <w:pPr>
              <w:spacing w:after="0"/>
              <w:rPr>
                <w:sz w:val="15"/>
                <w:szCs w:val="15"/>
                <w:color w:val="auto"/>
              </w:rPr>
            </w:pPr>
          </w:p>
        </w:tc>
        <w:tc>
          <w:tcPr>
            <w:tcW w:w="30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w:t>
            </w:r>
          </w:p>
        </w:tc>
        <w:tc>
          <w:tcPr>
            <w:tcW w:w="680" w:type="dxa"/>
            <w:vAlign w:val="bottom"/>
          </w:tcPr>
          <w:p>
            <w:pPr>
              <w:jc w:val="right"/>
              <w:ind w:right="135"/>
              <w:spacing w:after="0"/>
              <w:rPr>
                <w:sz w:val="20"/>
                <w:szCs w:val="20"/>
                <w:color w:val="auto"/>
              </w:rPr>
            </w:pPr>
            <w:r>
              <w:rPr>
                <w:rFonts w:ascii="Times New Roman" w:cs="Times New Roman" w:eastAsia="Times New Roman" w:hAnsi="Times New Roman"/>
                <w:sz w:val="14"/>
                <w:szCs w:val="14"/>
                <w:b w:val="1"/>
                <w:bCs w:val="1"/>
                <w:color w:val="auto"/>
              </w:rPr>
              <w:t>Edge</w:t>
            </w:r>
          </w:p>
        </w:tc>
        <w:tc>
          <w:tcPr>
            <w:tcW w:w="260" w:type="dxa"/>
            <w:vAlign w:val="bottom"/>
            <w:gridSpan w:val="2"/>
            <w:vMerge w:val="continue"/>
          </w:tcPr>
          <w:p>
            <w:pPr>
              <w:spacing w:after="0"/>
              <w:rPr>
                <w:sz w:val="15"/>
                <w:szCs w:val="15"/>
                <w:color w:val="auto"/>
              </w:rPr>
            </w:pPr>
          </w:p>
        </w:tc>
        <w:tc>
          <w:tcPr>
            <w:tcW w:w="720" w:type="dxa"/>
            <w:vAlign w:val="bottom"/>
          </w:tcPr>
          <w:p>
            <w:pPr>
              <w:jc w:val="right"/>
              <w:ind w:right="18"/>
              <w:spacing w:after="0"/>
              <w:rPr>
                <w:sz w:val="20"/>
                <w:szCs w:val="20"/>
                <w:color w:val="auto"/>
              </w:rPr>
            </w:pPr>
            <w:r>
              <w:rPr>
                <w:rFonts w:ascii="Times New Roman" w:cs="Times New Roman" w:eastAsia="Times New Roman" w:hAnsi="Times New Roman"/>
                <w:sz w:val="14"/>
                <w:szCs w:val="14"/>
                <w:b w:val="1"/>
                <w:bCs w:val="1"/>
                <w:color w:val="auto"/>
              </w:rPr>
              <w:t>Networks</w:t>
            </w:r>
          </w:p>
        </w:tc>
        <w:tc>
          <w:tcPr>
            <w:tcW w:w="320" w:type="dxa"/>
            <w:vAlign w:val="bottom"/>
            <w:gridSpan w:val="2"/>
            <w:vMerge w:val="continue"/>
          </w:tcPr>
          <w:p>
            <w:pPr>
              <w:spacing w:after="0"/>
              <w:rPr>
                <w:sz w:val="15"/>
                <w:szCs w:val="15"/>
                <w:color w:val="auto"/>
              </w:rPr>
            </w:pPr>
          </w:p>
        </w:tc>
        <w:tc>
          <w:tcPr>
            <w:tcW w:w="6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21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Product</w:t>
            </w:r>
          </w:p>
        </w:tc>
        <w:tc>
          <w:tcPr>
            <w:tcW w:w="10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tcBorders>
              <w:top w:val="single" w:sz="8" w:color="auto"/>
            </w:tcBorders>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26,259</w:t>
            </w:r>
          </w:p>
        </w:tc>
        <w:tc>
          <w:tcPr>
            <w:tcW w:w="1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41,855</w:t>
            </w:r>
          </w:p>
        </w:tc>
        <w:tc>
          <w:tcPr>
            <w:tcW w:w="1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68,114</w:t>
            </w:r>
          </w:p>
        </w:tc>
        <w:tc>
          <w:tcPr>
            <w:tcW w:w="1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31,861</w:t>
            </w:r>
          </w:p>
        </w:tc>
        <w:tc>
          <w:tcPr>
            <w:tcW w:w="1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50,130</w:t>
            </w:r>
          </w:p>
        </w:tc>
        <w:tc>
          <w:tcPr>
            <w:tcW w:w="1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81,991</w:t>
            </w:r>
          </w:p>
        </w:tc>
        <w:tc>
          <w:tcPr>
            <w:tcW w:w="0" w:type="dxa"/>
            <w:vAlign w:val="bottom"/>
          </w:tcPr>
          <w:p>
            <w:pPr>
              <w:spacing w:after="0"/>
              <w:rPr>
                <w:sz w:val="1"/>
                <w:szCs w:val="1"/>
                <w:color w:val="auto"/>
              </w:rPr>
            </w:pPr>
          </w:p>
        </w:tc>
      </w:tr>
      <w:tr>
        <w:trPr>
          <w:trHeight w:val="216"/>
        </w:trPr>
        <w:tc>
          <w:tcPr>
            <w:tcW w:w="21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Service</w:t>
            </w:r>
          </w:p>
        </w:tc>
        <w:tc>
          <w:tcPr>
            <w:tcW w:w="108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73,253</w:t>
            </w:r>
          </w:p>
        </w:tc>
        <w:tc>
          <w:tcPr>
            <w:tcW w:w="16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21,239</w:t>
            </w:r>
          </w:p>
        </w:tc>
        <w:tc>
          <w:tcPr>
            <w:tcW w:w="16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94,492</w:t>
            </w:r>
          </w:p>
        </w:tc>
        <w:tc>
          <w:tcPr>
            <w:tcW w:w="18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75,730</w:t>
            </w:r>
          </w:p>
        </w:tc>
        <w:tc>
          <w:tcPr>
            <w:tcW w:w="16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23,558</w:t>
            </w:r>
          </w:p>
        </w:tc>
        <w:tc>
          <w:tcPr>
            <w:tcW w:w="16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99,288</w:t>
            </w:r>
          </w:p>
        </w:tc>
        <w:tc>
          <w:tcPr>
            <w:tcW w:w="0" w:type="dxa"/>
            <w:vAlign w:val="bottom"/>
          </w:tcPr>
          <w:p>
            <w:pPr>
              <w:spacing w:after="0"/>
              <w:rPr>
                <w:sz w:val="1"/>
                <w:szCs w:val="1"/>
                <w:color w:val="auto"/>
              </w:rPr>
            </w:pPr>
          </w:p>
        </w:tc>
      </w:tr>
      <w:tr>
        <w:trPr>
          <w:trHeight w:val="209"/>
        </w:trPr>
        <w:tc>
          <w:tcPr>
            <w:tcW w:w="212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Total revenue</w:t>
            </w:r>
          </w:p>
        </w:tc>
        <w:tc>
          <w:tcPr>
            <w:tcW w:w="108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tcBorders>
              <w:bottom w:val="single" w:sz="8" w:color="auto"/>
            </w:tcBorders>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99,512</w:t>
            </w:r>
          </w:p>
        </w:tc>
        <w:tc>
          <w:tcPr>
            <w:tcW w:w="16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63,094</w:t>
            </w:r>
          </w:p>
        </w:tc>
        <w:tc>
          <w:tcPr>
            <w:tcW w:w="16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162,606</w:t>
            </w:r>
          </w:p>
        </w:tc>
        <w:tc>
          <w:tcPr>
            <w:tcW w:w="18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107,591</w:t>
            </w:r>
          </w:p>
        </w:tc>
        <w:tc>
          <w:tcPr>
            <w:tcW w:w="16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73,688</w:t>
            </w:r>
          </w:p>
        </w:tc>
        <w:tc>
          <w:tcPr>
            <w:tcW w:w="16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181,279</w:t>
            </w:r>
          </w:p>
        </w:tc>
        <w:tc>
          <w:tcPr>
            <w:tcW w:w="0" w:type="dxa"/>
            <w:vAlign w:val="bottom"/>
          </w:tcPr>
          <w:p>
            <w:pPr>
              <w:spacing w:after="0"/>
              <w:rPr>
                <w:sz w:val="1"/>
                <w:szCs w:val="1"/>
                <w:color w:val="auto"/>
              </w:rPr>
            </w:pPr>
          </w:p>
        </w:tc>
      </w:tr>
      <w:tr>
        <w:trPr>
          <w:trHeight w:val="20"/>
        </w:trPr>
        <w:tc>
          <w:tcPr>
            <w:tcW w:w="21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left="60" w:right="279" w:firstLine="324"/>
        <w:spacing w:after="0" w:line="256" w:lineRule="auto"/>
        <w:rPr>
          <w:sz w:val="20"/>
          <w:szCs w:val="20"/>
          <w:color w:val="auto"/>
        </w:rPr>
      </w:pPr>
      <w:r>
        <w:rPr>
          <w:rFonts w:ascii="Times New Roman" w:cs="Times New Roman" w:eastAsia="Times New Roman" w:hAnsi="Times New Roman"/>
          <w:sz w:val="18"/>
          <w:szCs w:val="18"/>
          <w:color w:val="auto"/>
        </w:rPr>
        <w:t>The decrease in our product revenue in the three months ended March 31, 2026 compared to the three months ended March 31, 2025 was the result of $5.6 million of lower sales of our Cloud and Edge products and $8.3 million of lower sales of IP Optical Networks products. The decrease in revenue from the sale of Cloud and Edge products was primarily attributable to sales to Tier 1 and other service providers, U.S. Federal agencies and global enterprise customers due to lower customer demand and delayed purchasing. The decrease in revenue from the sale of IP Optical products was primarily attributable to lower sales in Asia, Europe and the Americas.</w:t>
      </w:r>
    </w:p>
    <w:p>
      <w:pPr>
        <w:spacing w:after="0" w:line="187" w:lineRule="exact"/>
        <w:rPr>
          <w:sz w:val="20"/>
          <w:szCs w:val="20"/>
          <w:color w:val="auto"/>
        </w:rPr>
      </w:pPr>
    </w:p>
    <w:p>
      <w:pPr>
        <w:ind w:left="60" w:right="159" w:firstLine="324"/>
        <w:spacing w:after="0" w:line="261" w:lineRule="auto"/>
        <w:rPr>
          <w:sz w:val="20"/>
          <w:szCs w:val="20"/>
          <w:color w:val="auto"/>
        </w:rPr>
      </w:pPr>
      <w:r>
        <w:rPr>
          <w:rFonts w:ascii="Times New Roman" w:cs="Times New Roman" w:eastAsia="Times New Roman" w:hAnsi="Times New Roman"/>
          <w:sz w:val="18"/>
          <w:szCs w:val="18"/>
          <w:color w:val="auto"/>
        </w:rPr>
        <w:t>Revenue from sales to enterprise customers was 32% and 28% of our product revenue in the three months ended March 31, 2026 and 2025, respectively. These sales were made through both our direct sales team and indirect sales channel partners. The increase in enterprise sales in the three months ended March 31, 2026 primarily reflects higher sales of our products to IP Optical Networks enterprise customers.</w:t>
      </w:r>
    </w:p>
    <w:p>
      <w:pPr>
        <w:spacing w:after="0" w:line="180" w:lineRule="exact"/>
        <w:rPr>
          <w:sz w:val="20"/>
          <w:szCs w:val="20"/>
          <w:color w:val="auto"/>
        </w:rPr>
      </w:pPr>
    </w:p>
    <w:p>
      <w:pPr>
        <w:ind w:left="60" w:right="119" w:firstLine="324"/>
        <w:spacing w:after="0" w:line="266" w:lineRule="auto"/>
        <w:rPr>
          <w:sz w:val="20"/>
          <w:szCs w:val="20"/>
          <w:color w:val="auto"/>
        </w:rPr>
      </w:pPr>
      <w:r>
        <w:rPr>
          <w:rFonts w:ascii="Times New Roman" w:cs="Times New Roman" w:eastAsia="Times New Roman" w:hAnsi="Times New Roman"/>
          <w:sz w:val="18"/>
          <w:szCs w:val="18"/>
          <w:color w:val="auto"/>
        </w:rPr>
        <w:t>Revenue from indirect sales through our channel partner program was 28% of our product revenue in the three months ended March 31, 2026 and 2025, respectively. Channel sales remained unchanged in the three months ended March 31, 2026 reflecting constant sales of products to enterprise customers.</w:t>
      </w:r>
    </w:p>
    <w:p>
      <w:pPr>
        <w:spacing w:after="0" w:line="176" w:lineRule="exact"/>
        <w:rPr>
          <w:sz w:val="20"/>
          <w:szCs w:val="20"/>
          <w:color w:val="auto"/>
        </w:rPr>
      </w:pPr>
    </w:p>
    <w:p>
      <w:pPr>
        <w:ind w:left="60" w:right="139" w:firstLine="324"/>
        <w:spacing w:after="0" w:line="282" w:lineRule="auto"/>
        <w:rPr>
          <w:sz w:val="20"/>
          <w:szCs w:val="20"/>
          <w:color w:val="auto"/>
        </w:rPr>
      </w:pPr>
      <w:r>
        <w:rPr>
          <w:rFonts w:ascii="Times New Roman" w:cs="Times New Roman" w:eastAsia="Times New Roman" w:hAnsi="Times New Roman"/>
          <w:sz w:val="18"/>
          <w:szCs w:val="18"/>
          <w:color w:val="auto"/>
        </w:rPr>
        <w:t>The timing of the completion of customer projects and revenue recognition criteria satisfaction may cause our product revenue to fluctuate from one period to the next.</w:t>
      </w:r>
    </w:p>
    <w:p>
      <w:pPr>
        <w:spacing w:after="0" w:line="162" w:lineRule="exact"/>
        <w:rPr>
          <w:sz w:val="20"/>
          <w:szCs w:val="20"/>
          <w:color w:val="auto"/>
        </w:rPr>
      </w:pPr>
    </w:p>
    <w:p>
      <w:pPr>
        <w:ind w:left="60" w:right="239" w:firstLine="324"/>
        <w:spacing w:after="0" w:line="282" w:lineRule="auto"/>
        <w:rPr>
          <w:sz w:val="20"/>
          <w:szCs w:val="20"/>
          <w:color w:val="auto"/>
        </w:rPr>
      </w:pPr>
      <w:r>
        <w:rPr>
          <w:rFonts w:ascii="Times New Roman" w:cs="Times New Roman" w:eastAsia="Times New Roman" w:hAnsi="Times New Roman"/>
          <w:sz w:val="18"/>
          <w:szCs w:val="18"/>
          <w:color w:val="auto"/>
        </w:rPr>
        <w:t>Service revenue is primarily comprised of software and hardware maintenance and support (“maintenance revenue”) and network design, installation and other professional services (“professional services revenue”).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39" w:name="page40"/>
    <w:bookmarkEnd w:id="39"/>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239" w:firstLine="324"/>
        <w:spacing w:after="0" w:line="282" w:lineRule="auto"/>
        <w:rPr>
          <w:sz w:val="20"/>
          <w:szCs w:val="20"/>
          <w:color w:val="auto"/>
        </w:rPr>
      </w:pPr>
      <w:r>
        <w:rPr>
          <w:rFonts w:ascii="Times New Roman" w:cs="Times New Roman" w:eastAsia="Times New Roman" w:hAnsi="Times New Roman"/>
          <w:sz w:val="18"/>
          <w:szCs w:val="18"/>
          <w:color w:val="auto"/>
        </w:rPr>
        <w:t>Service revenue for the three months ended March 31, 2026 and 2025 was comprised of the following (in thousands, except percentages):</w:t>
      </w:r>
    </w:p>
    <w:p>
      <w:pPr>
        <w:spacing w:after="0" w:line="156"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3460" w:type="dxa"/>
            <w:vAlign w:val="bottom"/>
          </w:tcPr>
          <w:p>
            <w:pPr>
              <w:spacing w:after="0"/>
              <w:rPr>
                <w:sz w:val="13"/>
                <w:szCs w:val="13"/>
                <w:color w:val="auto"/>
              </w:rPr>
            </w:pPr>
          </w:p>
        </w:tc>
        <w:tc>
          <w:tcPr>
            <w:tcW w:w="2640" w:type="dxa"/>
            <w:vAlign w:val="bottom"/>
            <w:gridSpan w:val="2"/>
          </w:tcPr>
          <w:p>
            <w:pPr>
              <w:jc w:val="right"/>
              <w:ind w:right="601"/>
              <w:spacing w:after="0"/>
              <w:rPr>
                <w:sz w:val="20"/>
                <w:szCs w:val="20"/>
                <w:color w:val="auto"/>
              </w:rPr>
            </w:pPr>
            <w:r>
              <w:rPr>
                <w:rFonts w:ascii="Times New Roman" w:cs="Times New Roman" w:eastAsia="Times New Roman" w:hAnsi="Times New Roman"/>
                <w:sz w:val="14"/>
                <w:szCs w:val="14"/>
                <w:b w:val="1"/>
                <w:bCs w:val="1"/>
                <w:color w:val="auto"/>
              </w:rPr>
              <w:t>​​​​</w:t>
            </w:r>
          </w:p>
        </w:tc>
        <w:tc>
          <w:tcPr>
            <w:tcW w:w="1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340" w:type="dxa"/>
            <w:vAlign w:val="bottom"/>
            <w:gridSpan w:val="2"/>
          </w:tcPr>
          <w:p>
            <w:pPr>
              <w:jc w:val="right"/>
              <w:ind w:right="36"/>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gridSpan w:val="3"/>
          </w:tcPr>
          <w:p>
            <w:pPr>
              <w:jc w:val="center"/>
              <w:ind w:left="219"/>
              <w:spacing w:after="0"/>
              <w:rPr>
                <w:sz w:val="20"/>
                <w:szCs w:val="20"/>
                <w:color w:val="auto"/>
              </w:rPr>
            </w:pPr>
            <w:r>
              <w:rPr>
                <w:rFonts w:ascii="Times New Roman" w:cs="Times New Roman" w:eastAsia="Times New Roman" w:hAnsi="Times New Roman"/>
                <w:sz w:val="14"/>
                <w:szCs w:val="14"/>
                <w:b w:val="1"/>
                <w:bCs w:val="1"/>
                <w:color w:val="auto"/>
              </w:rPr>
              <w:t>Decrease</w:t>
            </w:r>
          </w:p>
        </w:tc>
        <w:tc>
          <w:tcPr>
            <w:tcW w:w="4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3"/>
        </w:trPr>
        <w:tc>
          <w:tcPr>
            <w:tcW w:w="3460" w:type="dxa"/>
            <w:vAlign w:val="bottom"/>
          </w:tcPr>
          <w:p>
            <w:pPr>
              <w:spacing w:after="0"/>
              <w:rPr>
                <w:sz w:val="15"/>
                <w:szCs w:val="15"/>
                <w:color w:val="auto"/>
              </w:rPr>
            </w:pPr>
          </w:p>
        </w:tc>
        <w:tc>
          <w:tcPr>
            <w:tcW w:w="1920" w:type="dxa"/>
            <w:vAlign w:val="bottom"/>
          </w:tcPr>
          <w:p>
            <w:pPr>
              <w:spacing w:after="0"/>
              <w:rPr>
                <w:sz w:val="15"/>
                <w:szCs w:val="15"/>
                <w:color w:val="auto"/>
              </w:rPr>
            </w:pPr>
          </w:p>
        </w:tc>
        <w:tc>
          <w:tcPr>
            <w:tcW w:w="1620" w:type="dxa"/>
            <w:vAlign w:val="bottom"/>
            <w:tcBorders>
              <w:bottom w:val="single" w:sz="8" w:color="auto"/>
            </w:tcBorders>
            <w:gridSpan w:val="3"/>
          </w:tcPr>
          <w:p>
            <w:pPr>
              <w:jc w:val="right"/>
              <w:ind w:right="96"/>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20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380" w:type="dxa"/>
            <w:vAlign w:val="bottom"/>
            <w:tcBorders>
              <w:bottom w:val="single" w:sz="8" w:color="auto"/>
            </w:tcBorders>
            <w:gridSpan w:val="4"/>
          </w:tcPr>
          <w:p>
            <w:pPr>
              <w:jc w:val="center"/>
              <w:ind w:right="55"/>
              <w:spacing w:after="0"/>
              <w:rPr>
                <w:sz w:val="20"/>
                <w:szCs w:val="20"/>
                <w:color w:val="auto"/>
              </w:rPr>
            </w:pPr>
            <w:r>
              <w:rPr>
                <w:rFonts w:ascii="Times New Roman" w:cs="Times New Roman" w:eastAsia="Times New Roman" w:hAnsi="Times New Roman"/>
                <w:sz w:val="14"/>
                <w:szCs w:val="14"/>
                <w:b w:val="1"/>
                <w:bCs w:val="1"/>
                <w:color w:val="auto"/>
              </w:rPr>
              <w:t>from prior year</w:t>
            </w:r>
          </w:p>
        </w:tc>
        <w:tc>
          <w:tcPr>
            <w:tcW w:w="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1"/>
        </w:trPr>
        <w:tc>
          <w:tcPr>
            <w:tcW w:w="3460" w:type="dxa"/>
            <w:vAlign w:val="bottom"/>
          </w:tcPr>
          <w:p>
            <w:pPr>
              <w:spacing w:after="0"/>
              <w:rPr>
                <w:sz w:val="11"/>
                <w:szCs w:val="11"/>
                <w:color w:val="auto"/>
              </w:rPr>
            </w:pPr>
          </w:p>
        </w:tc>
        <w:tc>
          <w:tcPr>
            <w:tcW w:w="1920" w:type="dxa"/>
            <w:vAlign w:val="bottom"/>
          </w:tcPr>
          <w:p>
            <w:pPr>
              <w:spacing w:after="0"/>
              <w:rPr>
                <w:sz w:val="11"/>
                <w:szCs w:val="11"/>
                <w:color w:val="auto"/>
              </w:rPr>
            </w:pPr>
          </w:p>
        </w:tc>
        <w:tc>
          <w:tcPr>
            <w:tcW w:w="720" w:type="dxa"/>
            <w:vAlign w:val="bottom"/>
          </w:tcPr>
          <w:p>
            <w:pPr>
              <w:jc w:val="right"/>
              <w:spacing w:after="0" w:line="131" w:lineRule="exact"/>
              <w:rPr>
                <w:sz w:val="20"/>
                <w:szCs w:val="20"/>
                <w:color w:val="auto"/>
              </w:rPr>
            </w:pPr>
            <w:r>
              <w:rPr>
                <w:rFonts w:ascii="Times New Roman" w:cs="Times New Roman" w:eastAsia="Times New Roman" w:hAnsi="Times New Roman"/>
                <w:sz w:val="14"/>
                <w:szCs w:val="14"/>
                <w:b w:val="1"/>
                <w:bCs w:val="1"/>
                <w:color w:val="auto"/>
              </w:rPr>
              <w:t>March 31,</w:t>
            </w:r>
          </w:p>
        </w:tc>
        <w:tc>
          <w:tcPr>
            <w:tcW w:w="180" w:type="dxa"/>
            <w:vAlign w:val="bottom"/>
          </w:tcPr>
          <w:p>
            <w:pPr>
              <w:spacing w:after="0"/>
              <w:rPr>
                <w:sz w:val="11"/>
                <w:szCs w:val="11"/>
                <w:color w:val="auto"/>
              </w:rPr>
            </w:pPr>
          </w:p>
        </w:tc>
        <w:tc>
          <w:tcPr>
            <w:tcW w:w="720" w:type="dxa"/>
            <w:vAlign w:val="bottom"/>
          </w:tcPr>
          <w:p>
            <w:pPr>
              <w:jc w:val="right"/>
              <w:spacing w:after="0" w:line="131" w:lineRule="exact"/>
              <w:rPr>
                <w:sz w:val="20"/>
                <w:szCs w:val="20"/>
                <w:color w:val="auto"/>
              </w:rPr>
            </w:pPr>
            <w:r>
              <w:rPr>
                <w:rFonts w:ascii="Times New Roman" w:cs="Times New Roman" w:eastAsia="Times New Roman" w:hAnsi="Times New Roman"/>
                <w:sz w:val="14"/>
                <w:szCs w:val="14"/>
                <w:b w:val="1"/>
                <w:bCs w:val="1"/>
                <w:color w:val="auto"/>
              </w:rPr>
              <w:t>March 31,</w:t>
            </w:r>
          </w:p>
        </w:tc>
        <w:tc>
          <w:tcPr>
            <w:tcW w:w="340" w:type="dxa"/>
            <w:vAlign w:val="bottom"/>
            <w:gridSpan w:val="2"/>
            <w:vMerge w:val="restart"/>
          </w:tcPr>
          <w:p>
            <w:pPr>
              <w:jc w:val="right"/>
              <w:ind w:right="36"/>
              <w:spacing w:after="0"/>
              <w:rPr>
                <w:sz w:val="20"/>
                <w:szCs w:val="20"/>
                <w:color w:val="auto"/>
              </w:rPr>
            </w:pPr>
            <w:r>
              <w:rPr>
                <w:rFonts w:ascii="Times New Roman" w:cs="Times New Roman" w:eastAsia="Times New Roman" w:hAnsi="Times New Roman"/>
                <w:sz w:val="14"/>
                <w:szCs w:val="14"/>
                <w:b w:val="1"/>
                <w:bCs w:val="1"/>
                <w:color w:val="auto"/>
              </w:rPr>
              <w:t>​​​​</w:t>
            </w:r>
          </w:p>
        </w:tc>
        <w:tc>
          <w:tcPr>
            <w:tcW w:w="600" w:type="dxa"/>
            <w:vAlign w:val="bottom"/>
            <w:vMerge w:val="restart"/>
          </w:tcPr>
          <w:p>
            <w:pPr>
              <w:jc w:val="right"/>
              <w:ind w:right="279"/>
              <w:spacing w:after="0"/>
              <w:rPr>
                <w:sz w:val="20"/>
                <w:szCs w:val="20"/>
                <w:color w:val="auto"/>
              </w:rPr>
            </w:pPr>
            <w:r>
              <w:rPr>
                <w:rFonts w:ascii="Times New Roman" w:cs="Times New Roman" w:eastAsia="Times New Roman" w:hAnsi="Times New Roman"/>
                <w:sz w:val="14"/>
                <w:szCs w:val="14"/>
                <w:b w:val="1"/>
                <w:bCs w:val="1"/>
                <w:color w:val="auto"/>
              </w:rPr>
              <w:t>$</w:t>
            </w:r>
          </w:p>
        </w:tc>
        <w:tc>
          <w:tcPr>
            <w:tcW w:w="34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w:t>
            </w:r>
          </w:p>
        </w:tc>
        <w:tc>
          <w:tcPr>
            <w:tcW w:w="440" w:type="dxa"/>
            <w:vAlign w:val="bottom"/>
            <w:vMerge w:val="restart"/>
          </w:tcPr>
          <w:p>
            <w:pPr>
              <w:jc w:val="right"/>
              <w:ind w:right="155"/>
              <w:spacing w:after="0"/>
              <w:rPr>
                <w:sz w:val="20"/>
                <w:szCs w:val="20"/>
                <w:color w:val="auto"/>
              </w:rPr>
            </w:pPr>
            <w:r>
              <w:rPr>
                <w:rFonts w:ascii="Times New Roman" w:cs="Times New Roman" w:eastAsia="Times New Roman" w:hAnsi="Times New Roman"/>
                <w:sz w:val="14"/>
                <w:szCs w:val="14"/>
                <w:b w:val="1"/>
                <w:bCs w:val="1"/>
                <w:color w:val="auto"/>
              </w:rPr>
              <w:t>%</w:t>
            </w:r>
          </w:p>
        </w:tc>
        <w:tc>
          <w:tcPr>
            <w:tcW w:w="1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3"/>
        </w:trPr>
        <w:tc>
          <w:tcPr>
            <w:tcW w:w="3460" w:type="dxa"/>
            <w:vAlign w:val="bottom"/>
          </w:tcPr>
          <w:p>
            <w:pPr>
              <w:spacing w:after="0"/>
              <w:rPr>
                <w:sz w:val="15"/>
                <w:szCs w:val="15"/>
                <w:color w:val="auto"/>
              </w:rPr>
            </w:pPr>
          </w:p>
        </w:tc>
        <w:tc>
          <w:tcPr>
            <w:tcW w:w="1920" w:type="dxa"/>
            <w:vAlign w:val="bottom"/>
          </w:tcPr>
          <w:p>
            <w:pPr>
              <w:spacing w:after="0"/>
              <w:rPr>
                <w:sz w:val="15"/>
                <w:szCs w:val="15"/>
                <w:color w:val="auto"/>
              </w:rPr>
            </w:pPr>
          </w:p>
        </w:tc>
        <w:tc>
          <w:tcPr>
            <w:tcW w:w="720" w:type="dxa"/>
            <w:vAlign w:val="bottom"/>
          </w:tcPr>
          <w:p>
            <w:pPr>
              <w:jc w:val="right"/>
              <w:ind w:right="141"/>
              <w:spacing w:after="0"/>
              <w:rPr>
                <w:sz w:val="20"/>
                <w:szCs w:val="20"/>
                <w:color w:val="auto"/>
              </w:rPr>
            </w:pPr>
            <w:r>
              <w:rPr>
                <w:rFonts w:ascii="Times New Roman" w:cs="Times New Roman" w:eastAsia="Times New Roman" w:hAnsi="Times New Roman"/>
                <w:sz w:val="14"/>
                <w:szCs w:val="14"/>
                <w:b w:val="1"/>
                <w:bCs w:val="1"/>
                <w:color w:val="auto"/>
              </w:rPr>
              <w:t>2026</w:t>
            </w:r>
          </w:p>
        </w:tc>
        <w:tc>
          <w:tcPr>
            <w:tcW w:w="900" w:type="dxa"/>
            <w:vAlign w:val="bottom"/>
            <w:gridSpan w:val="2"/>
          </w:tcPr>
          <w:p>
            <w:pPr>
              <w:jc w:val="right"/>
              <w:ind w:right="136"/>
              <w:spacing w:after="0"/>
              <w:rPr>
                <w:sz w:val="20"/>
                <w:szCs w:val="20"/>
                <w:color w:val="auto"/>
              </w:rPr>
            </w:pPr>
            <w:r>
              <w:rPr>
                <w:rFonts w:ascii="Times New Roman" w:cs="Times New Roman" w:eastAsia="Times New Roman" w:hAnsi="Times New Roman"/>
                <w:sz w:val="14"/>
                <w:szCs w:val="14"/>
                <w:b w:val="1"/>
                <w:bCs w:val="1"/>
                <w:color w:val="auto"/>
              </w:rPr>
              <w:t>​​​​   2025</w:t>
            </w:r>
          </w:p>
        </w:tc>
        <w:tc>
          <w:tcPr>
            <w:tcW w:w="340" w:type="dxa"/>
            <w:vAlign w:val="bottom"/>
            <w:gridSpan w:val="2"/>
            <w:vMerge w:val="continue"/>
          </w:tcPr>
          <w:p>
            <w:pPr>
              <w:spacing w:after="0"/>
              <w:rPr>
                <w:sz w:val="15"/>
                <w:szCs w:val="15"/>
                <w:color w:val="auto"/>
              </w:rPr>
            </w:pPr>
          </w:p>
        </w:tc>
        <w:tc>
          <w:tcPr>
            <w:tcW w:w="600" w:type="dxa"/>
            <w:vAlign w:val="bottom"/>
            <w:vMerge w:val="continue"/>
          </w:tcPr>
          <w:p>
            <w:pPr>
              <w:spacing w:after="0"/>
              <w:rPr>
                <w:sz w:val="15"/>
                <w:szCs w:val="15"/>
                <w:color w:val="auto"/>
              </w:rPr>
            </w:pPr>
          </w:p>
        </w:tc>
        <w:tc>
          <w:tcPr>
            <w:tcW w:w="340" w:type="dxa"/>
            <w:vAlign w:val="bottom"/>
            <w:gridSpan w:val="2"/>
            <w:vMerge w:val="continue"/>
          </w:tcPr>
          <w:p>
            <w:pPr>
              <w:spacing w:after="0"/>
              <w:rPr>
                <w:sz w:val="15"/>
                <w:szCs w:val="15"/>
                <w:color w:val="auto"/>
              </w:rPr>
            </w:pPr>
          </w:p>
        </w:tc>
        <w:tc>
          <w:tcPr>
            <w:tcW w:w="440" w:type="dxa"/>
            <w:vAlign w:val="bottom"/>
            <w:vMerge w:val="continue"/>
          </w:tcPr>
          <w:p>
            <w:pPr>
              <w:spacing w:after="0"/>
              <w:rPr>
                <w:sz w:val="15"/>
                <w:szCs w:val="15"/>
                <w:color w:val="auto"/>
              </w:rPr>
            </w:pPr>
          </w:p>
        </w:tc>
        <w:tc>
          <w:tcPr>
            <w:tcW w:w="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3460" w:type="dxa"/>
            <w:vAlign w:val="bottom"/>
            <w:vMerge w:val="restart"/>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Maintenance</w:t>
            </w:r>
          </w:p>
        </w:tc>
        <w:tc>
          <w:tcPr>
            <w:tcW w:w="1920" w:type="dxa"/>
            <w:vAlign w:val="bottom"/>
            <w:vMerge w:val="restart"/>
            <w:shd w:val="clear" w:color="auto" w:fill="CCEEFF"/>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80" w:type="dxa"/>
            <w:vAlign w:val="bottom"/>
            <w:vMerge w:val="restart"/>
            <w:shd w:val="clear" w:color="auto" w:fill="CCEEFF"/>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00" w:type="dxa"/>
            <w:vAlign w:val="bottom"/>
            <w:vMerge w:val="restart"/>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00" w:type="dxa"/>
            <w:vAlign w:val="bottom"/>
            <w:tcBorders>
              <w:right w:val="single" w:sz="8" w:color="CCEEFF"/>
            </w:tcBorders>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3460" w:type="dxa"/>
            <w:vAlign w:val="bottom"/>
            <w:vMerge w:val="continue"/>
            <w:shd w:val="clear" w:color="auto" w:fill="CCEEFF"/>
          </w:tcPr>
          <w:p>
            <w:pPr>
              <w:spacing w:after="0"/>
              <w:rPr>
                <w:sz w:val="18"/>
                <w:szCs w:val="18"/>
                <w:color w:val="auto"/>
              </w:rPr>
            </w:pPr>
          </w:p>
        </w:tc>
        <w:tc>
          <w:tcPr>
            <w:tcW w:w="1920" w:type="dxa"/>
            <w:vAlign w:val="bottom"/>
            <w:vMerge w:val="continue"/>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$ 63,667</w:t>
            </w:r>
          </w:p>
        </w:tc>
        <w:tc>
          <w:tcPr>
            <w:tcW w:w="180" w:type="dxa"/>
            <w:vAlign w:val="bottom"/>
            <w:vMerge w:val="continue"/>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$ 66,422</w:t>
            </w:r>
          </w:p>
        </w:tc>
        <w:tc>
          <w:tcPr>
            <w:tcW w:w="200" w:type="dxa"/>
            <w:vAlign w:val="bottom"/>
            <w:vMerge w:val="continue"/>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00" w:type="dxa"/>
            <w:vAlign w:val="bottom"/>
            <w:tcBorders>
              <w:right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w w:val="98"/>
              </w:rPr>
              <w:t>(2,755)</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(4.1)%</w:t>
            </w:r>
          </w:p>
        </w:tc>
        <w:tc>
          <w:tcPr>
            <w:tcW w:w="0" w:type="dxa"/>
            <w:vAlign w:val="bottom"/>
          </w:tcPr>
          <w:p>
            <w:pPr>
              <w:spacing w:after="0"/>
              <w:rPr>
                <w:sz w:val="1"/>
                <w:szCs w:val="1"/>
                <w:color w:val="auto"/>
              </w:rPr>
            </w:pPr>
          </w:p>
        </w:tc>
      </w:tr>
      <w:tr>
        <w:trPr>
          <w:trHeight w:val="216"/>
        </w:trPr>
        <w:tc>
          <w:tcPr>
            <w:tcW w:w="3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Professional services</w:t>
            </w:r>
          </w:p>
        </w:tc>
        <w:tc>
          <w:tcPr>
            <w:tcW w:w="26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30,825</w:t>
            </w: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32,866</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ind w:left="40"/>
              <w:spacing w:after="0"/>
              <w:rPr>
                <w:sz w:val="20"/>
                <w:szCs w:val="20"/>
                <w:color w:val="auto"/>
              </w:rPr>
            </w:pPr>
            <w:r>
              <w:rPr>
                <w:rFonts w:ascii="Times New Roman" w:cs="Times New Roman" w:eastAsia="Times New Roman" w:hAnsi="Times New Roman"/>
                <w:sz w:val="18"/>
                <w:szCs w:val="18"/>
                <w:color w:val="auto"/>
                <w:w w:val="98"/>
              </w:rPr>
              <w:t>(2,041)</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(6.2)%</w:t>
            </w:r>
          </w:p>
        </w:tc>
        <w:tc>
          <w:tcPr>
            <w:tcW w:w="0" w:type="dxa"/>
            <w:vAlign w:val="bottom"/>
          </w:tcPr>
          <w:p>
            <w:pPr>
              <w:spacing w:after="0"/>
              <w:rPr>
                <w:sz w:val="1"/>
                <w:szCs w:val="1"/>
                <w:color w:val="auto"/>
              </w:rPr>
            </w:pPr>
          </w:p>
        </w:tc>
      </w:tr>
      <w:tr>
        <w:trPr>
          <w:trHeight w:val="210"/>
        </w:trPr>
        <w:tc>
          <w:tcPr>
            <w:tcW w:w="3460" w:type="dxa"/>
            <w:vAlign w:val="bottom"/>
            <w:tcBorders>
              <w:top w:val="single" w:sz="8" w:color="CCEEFF"/>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Total service revenue</w:t>
            </w:r>
          </w:p>
        </w:tc>
        <w:tc>
          <w:tcPr>
            <w:tcW w:w="1920" w:type="dxa"/>
            <w:vAlign w:val="bottom"/>
            <w:tcBorders>
              <w:top w:val="single" w:sz="8" w:color="CCEEFF"/>
              <w:bottom w:val="single" w:sz="8" w:color="CCEEFF"/>
            </w:tcBorders>
            <w:shd w:val="clear" w:color="auto" w:fill="CCEEFF"/>
          </w:tcPr>
          <w:p>
            <w:pPr>
              <w:spacing w:after="0"/>
              <w:rPr>
                <w:sz w:val="18"/>
                <w:szCs w:val="18"/>
                <w:color w:val="auto"/>
              </w:rPr>
            </w:pP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$ 94,492</w:t>
            </w: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$ 99,288</w:t>
            </w:r>
          </w:p>
        </w:tc>
        <w:tc>
          <w:tcPr>
            <w:tcW w:w="20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00" w:type="dxa"/>
            <w:vAlign w:val="bottom"/>
            <w:tcBorders>
              <w:top w:val="single" w:sz="8" w:color="auto"/>
              <w:bottom w:val="single" w:sz="8" w:color="auto"/>
              <w:right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w w:val="98"/>
              </w:rPr>
              <w:t>(4,796)</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620" w:type="dxa"/>
            <w:vAlign w:val="bottom"/>
            <w:tcBorders>
              <w:top w:val="single" w:sz="8" w:color="CCEEFF"/>
              <w:bottom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(4.8)%</w:t>
            </w:r>
          </w:p>
        </w:tc>
        <w:tc>
          <w:tcPr>
            <w:tcW w:w="0" w:type="dxa"/>
            <w:vAlign w:val="bottom"/>
          </w:tcPr>
          <w:p>
            <w:pPr>
              <w:spacing w:after="0"/>
              <w:rPr>
                <w:sz w:val="1"/>
                <w:szCs w:val="1"/>
                <w:color w:val="auto"/>
              </w:rPr>
            </w:pPr>
          </w:p>
        </w:tc>
      </w:tr>
      <w:tr>
        <w:trPr>
          <w:trHeight w:val="20"/>
        </w:trPr>
        <w:tc>
          <w:tcPr>
            <w:tcW w:w="346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p>
      <w:pPr>
        <w:ind w:left="60" w:right="399" w:firstLine="324"/>
        <w:spacing w:after="0" w:line="282" w:lineRule="auto"/>
        <w:rPr>
          <w:sz w:val="20"/>
          <w:szCs w:val="20"/>
          <w:color w:val="auto"/>
        </w:rPr>
      </w:pPr>
      <w:r>
        <w:rPr>
          <w:rFonts w:ascii="Times New Roman" w:cs="Times New Roman" w:eastAsia="Times New Roman" w:hAnsi="Times New Roman"/>
          <w:sz w:val="18"/>
          <w:szCs w:val="18"/>
          <w:color w:val="auto"/>
        </w:rPr>
        <w:t>Segment service revenue for the three months ended March 31, 2026 and 2025 was comprised of the following (in thousands):</w:t>
      </w:r>
    </w:p>
    <w:p>
      <w:pPr>
        <w:spacing w:after="0" w:line="169"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2500" w:type="dxa"/>
            <w:vAlign w:val="bottom"/>
          </w:tcPr>
          <w:p>
            <w:pPr>
              <w:spacing w:after="0"/>
              <w:rPr>
                <w:sz w:val="15"/>
                <w:szCs w:val="15"/>
                <w:color w:val="auto"/>
              </w:rPr>
            </w:pPr>
          </w:p>
        </w:tc>
        <w:tc>
          <w:tcPr>
            <w:tcW w:w="3580" w:type="dxa"/>
            <w:vAlign w:val="bottom"/>
            <w:gridSpan w:val="9"/>
          </w:tcPr>
          <w:p>
            <w:pPr>
              <w:ind w:left="860"/>
              <w:spacing w:after="0"/>
              <w:rPr>
                <w:sz w:val="20"/>
                <w:szCs w:val="20"/>
                <w:color w:val="auto"/>
              </w:rPr>
            </w:pPr>
            <w:r>
              <w:rPr>
                <w:rFonts w:ascii="Times New Roman" w:cs="Times New Roman" w:eastAsia="Times New Roman" w:hAnsi="Times New Roman"/>
                <w:sz w:val="14"/>
                <w:szCs w:val="14"/>
                <w:b w:val="1"/>
                <w:bCs w:val="1"/>
                <w:color w:val="auto"/>
              </w:rPr>
              <w:t>​​​  Three months ended March 31, 2026</w:t>
            </w:r>
          </w:p>
        </w:tc>
        <w:tc>
          <w:tcPr>
            <w:tcW w:w="2820" w:type="dxa"/>
            <w:vAlign w:val="bottom"/>
            <w:gridSpan w:val="9"/>
          </w:tcPr>
          <w:p>
            <w:pPr>
              <w:ind w:left="80"/>
              <w:spacing w:after="0"/>
              <w:rPr>
                <w:sz w:val="20"/>
                <w:szCs w:val="20"/>
                <w:color w:val="auto"/>
              </w:rPr>
            </w:pP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b w:val="1"/>
                <w:bCs w:val="1"/>
                <w:color w:val="auto"/>
              </w:rPr>
              <w:t>Three months ended March 31, 2025</w:t>
            </w:r>
          </w:p>
        </w:tc>
        <w:tc>
          <w:tcPr>
            <w:tcW w:w="0" w:type="dxa"/>
            <w:vAlign w:val="bottom"/>
          </w:tcPr>
          <w:p>
            <w:pPr>
              <w:spacing w:after="0"/>
              <w:rPr>
                <w:sz w:val="1"/>
                <w:szCs w:val="1"/>
                <w:color w:val="auto"/>
              </w:rPr>
            </w:pPr>
          </w:p>
        </w:tc>
      </w:tr>
      <w:tr>
        <w:trPr>
          <w:trHeight w:val="117"/>
        </w:trPr>
        <w:tc>
          <w:tcPr>
            <w:tcW w:w="250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780" w:type="dxa"/>
            <w:vAlign w:val="bottom"/>
            <w:tcBorders>
              <w:top w:val="single" w:sz="8" w:color="auto"/>
            </w:tcBorders>
            <w:gridSpan w:val="2"/>
          </w:tcPr>
          <w:p>
            <w:pPr>
              <w:ind w:left="60"/>
              <w:spacing w:after="0" w:line="118" w:lineRule="exact"/>
              <w:rPr>
                <w:sz w:val="20"/>
                <w:szCs w:val="20"/>
                <w:color w:val="auto"/>
              </w:rPr>
            </w:pPr>
            <w:r>
              <w:rPr>
                <w:rFonts w:ascii="Times New Roman" w:cs="Times New Roman" w:eastAsia="Times New Roman" w:hAnsi="Times New Roman"/>
                <w:sz w:val="13"/>
                <w:szCs w:val="13"/>
                <w:b w:val="1"/>
                <w:bCs w:val="1"/>
                <w:color w:val="auto"/>
              </w:rPr>
              <w:t>Cloud and</w:t>
            </w:r>
          </w:p>
        </w:tc>
        <w:tc>
          <w:tcPr>
            <w:tcW w:w="160" w:type="dxa"/>
            <w:vAlign w:val="bottom"/>
            <w:tcBorders>
              <w:top w:val="single" w:sz="8" w:color="auto"/>
            </w:tcBorders>
          </w:tcPr>
          <w:p>
            <w:pPr>
              <w:spacing w:after="0"/>
              <w:rPr>
                <w:sz w:val="10"/>
                <w:szCs w:val="10"/>
                <w:color w:val="auto"/>
              </w:rPr>
            </w:pPr>
          </w:p>
        </w:tc>
        <w:tc>
          <w:tcPr>
            <w:tcW w:w="780" w:type="dxa"/>
            <w:vAlign w:val="bottom"/>
            <w:tcBorders>
              <w:top w:val="single" w:sz="8" w:color="auto"/>
            </w:tcBorders>
            <w:gridSpan w:val="2"/>
          </w:tcPr>
          <w:p>
            <w:pPr>
              <w:jc w:val="right"/>
              <w:spacing w:after="0" w:line="118" w:lineRule="exact"/>
              <w:rPr>
                <w:sz w:val="20"/>
                <w:szCs w:val="20"/>
                <w:color w:val="auto"/>
              </w:rPr>
            </w:pPr>
            <w:r>
              <w:rPr>
                <w:rFonts w:ascii="Times New Roman" w:cs="Times New Roman" w:eastAsia="Times New Roman" w:hAnsi="Times New Roman"/>
                <w:sz w:val="13"/>
                <w:szCs w:val="13"/>
                <w:b w:val="1"/>
                <w:bCs w:val="1"/>
                <w:color w:val="auto"/>
              </w:rPr>
              <w:t>IP Optical</w:t>
            </w:r>
          </w:p>
        </w:tc>
        <w:tc>
          <w:tcPr>
            <w:tcW w:w="320" w:type="dxa"/>
            <w:vAlign w:val="bottom"/>
            <w:tcBorders>
              <w:top w:val="single" w:sz="8" w:color="auto"/>
            </w:tcBorders>
            <w:gridSpan w:val="2"/>
            <w:vMerge w:val="restart"/>
          </w:tcPr>
          <w:p>
            <w:pPr>
              <w:jc w:val="right"/>
              <w:ind w:right="56"/>
              <w:spacing w:after="0"/>
              <w:rPr>
                <w:sz w:val="20"/>
                <w:szCs w:val="20"/>
                <w:color w:val="auto"/>
              </w:rPr>
            </w:pPr>
            <w:r>
              <w:rPr>
                <w:rFonts w:ascii="Times New Roman" w:cs="Times New Roman" w:eastAsia="Times New Roman" w:hAnsi="Times New Roman"/>
                <w:sz w:val="14"/>
                <w:szCs w:val="14"/>
                <w:b w:val="1"/>
                <w:bCs w:val="1"/>
                <w:color w:val="auto"/>
              </w:rPr>
              <w:t>​​​</w:t>
            </w:r>
          </w:p>
        </w:tc>
        <w:tc>
          <w:tcPr>
            <w:tcW w:w="600" w:type="dxa"/>
            <w:vAlign w:val="bottom"/>
            <w:tcBorders>
              <w:top w:val="single" w:sz="8" w:color="auto"/>
            </w:tcBorders>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60" w:type="dxa"/>
            <w:vAlign w:val="bottom"/>
          </w:tcPr>
          <w:p>
            <w:pPr>
              <w:spacing w:after="0"/>
              <w:rPr>
                <w:sz w:val="10"/>
                <w:szCs w:val="10"/>
                <w:color w:val="auto"/>
              </w:rPr>
            </w:pPr>
          </w:p>
        </w:tc>
        <w:tc>
          <w:tcPr>
            <w:tcW w:w="780" w:type="dxa"/>
            <w:vAlign w:val="bottom"/>
            <w:tcBorders>
              <w:top w:val="single" w:sz="8" w:color="auto"/>
            </w:tcBorders>
            <w:gridSpan w:val="2"/>
          </w:tcPr>
          <w:p>
            <w:pPr>
              <w:ind w:left="80"/>
              <w:spacing w:after="0" w:line="118" w:lineRule="exact"/>
              <w:rPr>
                <w:sz w:val="20"/>
                <w:szCs w:val="20"/>
                <w:color w:val="auto"/>
              </w:rPr>
            </w:pPr>
            <w:r>
              <w:rPr>
                <w:rFonts w:ascii="Times New Roman" w:cs="Times New Roman" w:eastAsia="Times New Roman" w:hAnsi="Times New Roman"/>
                <w:sz w:val="13"/>
                <w:szCs w:val="13"/>
                <w:b w:val="1"/>
                <w:bCs w:val="1"/>
                <w:color w:val="auto"/>
              </w:rPr>
              <w:t>Cloud and</w:t>
            </w:r>
          </w:p>
        </w:tc>
        <w:tc>
          <w:tcPr>
            <w:tcW w:w="160" w:type="dxa"/>
            <w:vAlign w:val="bottom"/>
            <w:tcBorders>
              <w:top w:val="single" w:sz="8" w:color="auto"/>
            </w:tcBorders>
          </w:tcPr>
          <w:p>
            <w:pPr>
              <w:spacing w:after="0"/>
              <w:rPr>
                <w:sz w:val="10"/>
                <w:szCs w:val="10"/>
                <w:color w:val="auto"/>
              </w:rPr>
            </w:pPr>
          </w:p>
        </w:tc>
        <w:tc>
          <w:tcPr>
            <w:tcW w:w="780" w:type="dxa"/>
            <w:vAlign w:val="bottom"/>
            <w:tcBorders>
              <w:top w:val="single" w:sz="8" w:color="auto"/>
            </w:tcBorders>
            <w:gridSpan w:val="2"/>
          </w:tcPr>
          <w:p>
            <w:pPr>
              <w:jc w:val="right"/>
              <w:spacing w:after="0" w:line="118" w:lineRule="exact"/>
              <w:rPr>
                <w:sz w:val="20"/>
                <w:szCs w:val="20"/>
                <w:color w:val="auto"/>
              </w:rPr>
            </w:pPr>
            <w:r>
              <w:rPr>
                <w:rFonts w:ascii="Times New Roman" w:cs="Times New Roman" w:eastAsia="Times New Roman" w:hAnsi="Times New Roman"/>
                <w:sz w:val="13"/>
                <w:szCs w:val="13"/>
                <w:b w:val="1"/>
                <w:bCs w:val="1"/>
                <w:color w:val="auto"/>
              </w:rPr>
              <w:t>IP Optical</w:t>
            </w:r>
          </w:p>
        </w:tc>
        <w:tc>
          <w:tcPr>
            <w:tcW w:w="320" w:type="dxa"/>
            <w:vAlign w:val="bottom"/>
            <w:tcBorders>
              <w:top w:val="single" w:sz="8" w:color="auto"/>
            </w:tcBorders>
            <w:gridSpan w:val="2"/>
            <w:vMerge w:val="restart"/>
          </w:tcPr>
          <w:p>
            <w:pPr>
              <w:jc w:val="right"/>
              <w:ind w:right="30"/>
              <w:spacing w:after="0"/>
              <w:rPr>
                <w:sz w:val="20"/>
                <w:szCs w:val="20"/>
                <w:color w:val="auto"/>
              </w:rPr>
            </w:pPr>
            <w:r>
              <w:rPr>
                <w:rFonts w:ascii="Times New Roman" w:cs="Times New Roman" w:eastAsia="Times New Roman" w:hAnsi="Times New Roman"/>
                <w:sz w:val="14"/>
                <w:szCs w:val="14"/>
                <w:b w:val="1"/>
                <w:bCs w:val="1"/>
                <w:color w:val="auto"/>
              </w:rPr>
              <w:t>​​​</w:t>
            </w:r>
          </w:p>
        </w:tc>
        <w:tc>
          <w:tcPr>
            <w:tcW w:w="620" w:type="dxa"/>
            <w:vAlign w:val="bottom"/>
            <w:tcBorders>
              <w:top w:val="single" w:sz="8" w:color="auto"/>
            </w:tcBorders>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73"/>
        </w:trPr>
        <w:tc>
          <w:tcPr>
            <w:tcW w:w="25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20" w:type="dxa"/>
            <w:vAlign w:val="bottom"/>
          </w:tcPr>
          <w:p>
            <w:pPr>
              <w:ind w:left="80"/>
              <w:spacing w:after="0"/>
              <w:rPr>
                <w:sz w:val="20"/>
                <w:szCs w:val="20"/>
                <w:color w:val="auto"/>
              </w:rPr>
            </w:pPr>
            <w:r>
              <w:rPr>
                <w:rFonts w:ascii="Times New Roman" w:cs="Times New Roman" w:eastAsia="Times New Roman" w:hAnsi="Times New Roman"/>
                <w:sz w:val="14"/>
                <w:szCs w:val="14"/>
                <w:b w:val="1"/>
                <w:bCs w:val="1"/>
                <w:color w:val="auto"/>
              </w:rPr>
              <w:t>Edge</w:t>
            </w:r>
          </w:p>
        </w:tc>
        <w:tc>
          <w:tcPr>
            <w:tcW w:w="940" w:type="dxa"/>
            <w:vAlign w:val="bottom"/>
            <w:gridSpan w:val="3"/>
          </w:tcPr>
          <w:p>
            <w:pPr>
              <w:jc w:val="right"/>
              <w:ind w:right="10"/>
              <w:spacing w:after="0"/>
              <w:rPr>
                <w:sz w:val="20"/>
                <w:szCs w:val="20"/>
                <w:color w:val="auto"/>
              </w:rPr>
            </w:pPr>
            <w:r>
              <w:rPr>
                <w:rFonts w:ascii="Times New Roman" w:cs="Times New Roman" w:eastAsia="Times New Roman" w:hAnsi="Times New Roman"/>
                <w:sz w:val="14"/>
                <w:szCs w:val="14"/>
                <w:b w:val="1"/>
                <w:bCs w:val="1"/>
                <w:color w:val="auto"/>
              </w:rPr>
              <w:t>​​​ Networks</w:t>
            </w:r>
          </w:p>
        </w:tc>
        <w:tc>
          <w:tcPr>
            <w:tcW w:w="320" w:type="dxa"/>
            <w:vAlign w:val="bottom"/>
            <w:gridSpan w:val="2"/>
            <w:vMerge w:val="continue"/>
          </w:tcPr>
          <w:p>
            <w:pPr>
              <w:spacing w:after="0"/>
              <w:rPr>
                <w:sz w:val="15"/>
                <w:szCs w:val="15"/>
                <w:color w:val="auto"/>
              </w:rPr>
            </w:pPr>
          </w:p>
        </w:tc>
        <w:tc>
          <w:tcPr>
            <w:tcW w:w="600" w:type="dxa"/>
            <w:vAlign w:val="bottom"/>
            <w:vMerge w:val="continue"/>
          </w:tcPr>
          <w:p>
            <w:pPr>
              <w:spacing w:after="0"/>
              <w:rPr>
                <w:sz w:val="15"/>
                <w:szCs w:val="15"/>
                <w:color w:val="auto"/>
              </w:rPr>
            </w:pPr>
          </w:p>
        </w:tc>
        <w:tc>
          <w:tcPr>
            <w:tcW w:w="32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w:t>
            </w:r>
          </w:p>
        </w:tc>
        <w:tc>
          <w:tcPr>
            <w:tcW w:w="620" w:type="dxa"/>
            <w:vAlign w:val="bottom"/>
          </w:tcPr>
          <w:p>
            <w:pPr>
              <w:ind w:left="80"/>
              <w:spacing w:after="0"/>
              <w:rPr>
                <w:sz w:val="20"/>
                <w:szCs w:val="20"/>
                <w:color w:val="auto"/>
              </w:rPr>
            </w:pPr>
            <w:r>
              <w:rPr>
                <w:rFonts w:ascii="Times New Roman" w:cs="Times New Roman" w:eastAsia="Times New Roman" w:hAnsi="Times New Roman"/>
                <w:sz w:val="14"/>
                <w:szCs w:val="14"/>
                <w:b w:val="1"/>
                <w:bCs w:val="1"/>
                <w:color w:val="auto"/>
              </w:rPr>
              <w:t>Edge</w:t>
            </w:r>
          </w:p>
        </w:tc>
        <w:tc>
          <w:tcPr>
            <w:tcW w:w="260" w:type="dxa"/>
            <w:vAlign w:val="bottom"/>
            <w:gridSpan w:val="2"/>
          </w:tcPr>
          <w:p>
            <w:pPr>
              <w:jc w:val="right"/>
              <w:ind w:right="1"/>
              <w:spacing w:after="0"/>
              <w:rPr>
                <w:sz w:val="20"/>
                <w:szCs w:val="20"/>
                <w:color w:val="auto"/>
              </w:rPr>
            </w:pPr>
            <w:r>
              <w:rPr>
                <w:rFonts w:ascii="Times New Roman" w:cs="Times New Roman" w:eastAsia="Times New Roman" w:hAnsi="Times New Roman"/>
                <w:sz w:val="14"/>
                <w:szCs w:val="14"/>
                <w:b w:val="1"/>
                <w:bCs w:val="1"/>
                <w:color w:val="auto"/>
              </w:rPr>
              <w:t>​​​</w:t>
            </w:r>
          </w:p>
        </w:tc>
        <w:tc>
          <w:tcPr>
            <w:tcW w:w="680" w:type="dxa"/>
            <w:vAlign w:val="bottom"/>
          </w:tcPr>
          <w:p>
            <w:pPr>
              <w:jc w:val="right"/>
              <w:ind w:right="15"/>
              <w:spacing w:after="0"/>
              <w:rPr>
                <w:sz w:val="20"/>
                <w:szCs w:val="20"/>
                <w:color w:val="auto"/>
              </w:rPr>
            </w:pPr>
            <w:r>
              <w:rPr>
                <w:rFonts w:ascii="Times New Roman" w:cs="Times New Roman" w:eastAsia="Times New Roman" w:hAnsi="Times New Roman"/>
                <w:sz w:val="14"/>
                <w:szCs w:val="14"/>
                <w:b w:val="1"/>
                <w:bCs w:val="1"/>
                <w:color w:val="auto"/>
                <w:w w:val="97"/>
              </w:rPr>
              <w:t>Networks</w:t>
            </w:r>
          </w:p>
        </w:tc>
        <w:tc>
          <w:tcPr>
            <w:tcW w:w="320" w:type="dxa"/>
            <w:vAlign w:val="bottom"/>
            <w:gridSpan w:val="2"/>
            <w:vMerge w:val="continue"/>
          </w:tcPr>
          <w:p>
            <w:pPr>
              <w:spacing w:after="0"/>
              <w:rPr>
                <w:sz w:val="15"/>
                <w:szCs w:val="15"/>
                <w:color w:val="auto"/>
              </w:rPr>
            </w:pPr>
          </w:p>
        </w:tc>
        <w:tc>
          <w:tcPr>
            <w:tcW w:w="6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25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Maintenance</w:t>
            </w:r>
          </w:p>
        </w:tc>
        <w:tc>
          <w:tcPr>
            <w:tcW w:w="9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7"/>
                <w:szCs w:val="17"/>
                <w:color w:val="auto"/>
                <w:w w:val="70"/>
              </w:rPr>
              <w:t>$</w:t>
            </w:r>
          </w:p>
        </w:tc>
        <w:tc>
          <w:tcPr>
            <w:tcW w:w="620" w:type="dxa"/>
            <w:vAlign w:val="bottom"/>
            <w:tcBorders>
              <w:top w:val="single" w:sz="8" w:color="auto"/>
            </w:tcBorders>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50,232</w:t>
            </w:r>
          </w:p>
        </w:tc>
        <w:tc>
          <w:tcPr>
            <w:tcW w:w="1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13,435</w:t>
            </w:r>
          </w:p>
        </w:tc>
        <w:tc>
          <w:tcPr>
            <w:tcW w:w="1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00" w:type="dxa"/>
            <w:vAlign w:val="bottom"/>
            <w:tcBorders>
              <w:top w:val="single" w:sz="8" w:color="auto"/>
            </w:tcBorders>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63,667</w:t>
            </w:r>
          </w:p>
        </w:tc>
        <w:tc>
          <w:tcPr>
            <w:tcW w:w="1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tcBorders>
              <w:top w:val="single" w:sz="8" w:color="auto"/>
            </w:tcBorders>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50,768</w:t>
            </w:r>
          </w:p>
        </w:tc>
        <w:tc>
          <w:tcPr>
            <w:tcW w:w="1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15,654</w:t>
            </w:r>
          </w:p>
        </w:tc>
        <w:tc>
          <w:tcPr>
            <w:tcW w:w="1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tcBorders>
              <w:top w:val="single" w:sz="8" w:color="auto"/>
            </w:tcBorders>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66,422</w:t>
            </w:r>
          </w:p>
        </w:tc>
        <w:tc>
          <w:tcPr>
            <w:tcW w:w="0" w:type="dxa"/>
            <w:vAlign w:val="bottom"/>
          </w:tcPr>
          <w:p>
            <w:pPr>
              <w:spacing w:after="0"/>
              <w:rPr>
                <w:sz w:val="1"/>
                <w:szCs w:val="1"/>
                <w:color w:val="auto"/>
              </w:rPr>
            </w:pPr>
          </w:p>
        </w:tc>
      </w:tr>
      <w:tr>
        <w:trPr>
          <w:trHeight w:val="216"/>
        </w:trPr>
        <w:tc>
          <w:tcPr>
            <w:tcW w:w="25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Professional services</w:t>
            </w:r>
          </w:p>
        </w:tc>
        <w:tc>
          <w:tcPr>
            <w:tcW w:w="94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23,021</w:t>
            </w:r>
          </w:p>
        </w:tc>
        <w:tc>
          <w:tcPr>
            <w:tcW w:w="16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7,804</w:t>
            </w:r>
          </w:p>
        </w:tc>
        <w:tc>
          <w:tcPr>
            <w:tcW w:w="16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30,825</w:t>
            </w:r>
          </w:p>
        </w:tc>
        <w:tc>
          <w:tcPr>
            <w:tcW w:w="16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24,962</w:t>
            </w:r>
          </w:p>
        </w:tc>
        <w:tc>
          <w:tcPr>
            <w:tcW w:w="16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7,904</w:t>
            </w:r>
          </w:p>
        </w:tc>
        <w:tc>
          <w:tcPr>
            <w:tcW w:w="16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32,866</w:t>
            </w:r>
          </w:p>
        </w:tc>
        <w:tc>
          <w:tcPr>
            <w:tcW w:w="0" w:type="dxa"/>
            <w:vAlign w:val="bottom"/>
          </w:tcPr>
          <w:p>
            <w:pPr>
              <w:spacing w:after="0"/>
              <w:rPr>
                <w:sz w:val="1"/>
                <w:szCs w:val="1"/>
                <w:color w:val="auto"/>
              </w:rPr>
            </w:pPr>
          </w:p>
        </w:tc>
      </w:tr>
      <w:tr>
        <w:trPr>
          <w:trHeight w:val="209"/>
        </w:trPr>
        <w:tc>
          <w:tcPr>
            <w:tcW w:w="250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Total service revenue</w:t>
            </w:r>
          </w:p>
        </w:tc>
        <w:tc>
          <w:tcPr>
            <w:tcW w:w="94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7"/>
                <w:szCs w:val="17"/>
                <w:color w:val="auto"/>
                <w:w w:val="70"/>
              </w:rPr>
              <w:t>$</w:t>
            </w:r>
          </w:p>
        </w:tc>
        <w:tc>
          <w:tcPr>
            <w:tcW w:w="620" w:type="dxa"/>
            <w:vAlign w:val="bottom"/>
            <w:tcBorders>
              <w:bottom w:val="single" w:sz="8" w:color="auto"/>
            </w:tcBorders>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73,253</w:t>
            </w:r>
          </w:p>
        </w:tc>
        <w:tc>
          <w:tcPr>
            <w:tcW w:w="16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21,239</w:t>
            </w:r>
          </w:p>
        </w:tc>
        <w:tc>
          <w:tcPr>
            <w:tcW w:w="16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00" w:type="dxa"/>
            <w:vAlign w:val="bottom"/>
            <w:tcBorders>
              <w:bottom w:val="single" w:sz="8" w:color="auto"/>
            </w:tcBorders>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94,492</w:t>
            </w:r>
          </w:p>
        </w:tc>
        <w:tc>
          <w:tcPr>
            <w:tcW w:w="16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tcBorders>
              <w:bottom w:val="single" w:sz="8" w:color="auto"/>
            </w:tcBorders>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75,730</w:t>
            </w:r>
          </w:p>
        </w:tc>
        <w:tc>
          <w:tcPr>
            <w:tcW w:w="16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23,558</w:t>
            </w:r>
          </w:p>
        </w:tc>
        <w:tc>
          <w:tcPr>
            <w:tcW w:w="16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tcBorders>
              <w:bottom w:val="single" w:sz="8" w:color="auto"/>
            </w:tcBorders>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99,288</w:t>
            </w:r>
          </w:p>
        </w:tc>
        <w:tc>
          <w:tcPr>
            <w:tcW w:w="0" w:type="dxa"/>
            <w:vAlign w:val="bottom"/>
          </w:tcPr>
          <w:p>
            <w:pPr>
              <w:spacing w:after="0"/>
              <w:rPr>
                <w:sz w:val="1"/>
                <w:szCs w:val="1"/>
                <w:color w:val="auto"/>
              </w:rPr>
            </w:pPr>
          </w:p>
        </w:tc>
      </w:tr>
      <w:tr>
        <w:trPr>
          <w:trHeight w:val="20"/>
        </w:trPr>
        <w:tc>
          <w:tcPr>
            <w:tcW w:w="25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p>
      <w:pPr>
        <w:ind w:left="60" w:right="479" w:firstLine="324"/>
        <w:spacing w:after="0" w:line="282" w:lineRule="auto"/>
        <w:rPr>
          <w:sz w:val="20"/>
          <w:szCs w:val="20"/>
          <w:color w:val="auto"/>
        </w:rPr>
      </w:pPr>
      <w:r>
        <w:rPr>
          <w:rFonts w:ascii="Times New Roman" w:cs="Times New Roman" w:eastAsia="Times New Roman" w:hAnsi="Times New Roman"/>
          <w:sz w:val="18"/>
          <w:szCs w:val="18"/>
          <w:color w:val="auto"/>
        </w:rPr>
        <w:t>Total service revenue was lower by $4.8 million in the three months ended March 31, 2026 compared to the three months ended March 31, 2025 due to lower maintenance revenue and lower professional services revenue.</w:t>
      </w:r>
    </w:p>
    <w:p>
      <w:pPr>
        <w:spacing w:after="0" w:line="162" w:lineRule="exact"/>
        <w:rPr>
          <w:sz w:val="20"/>
          <w:szCs w:val="20"/>
          <w:color w:val="auto"/>
        </w:rPr>
      </w:pPr>
    </w:p>
    <w:p>
      <w:pPr>
        <w:ind w:left="60" w:right="139" w:firstLine="324"/>
        <w:spacing w:after="0" w:line="261" w:lineRule="auto"/>
        <w:rPr>
          <w:sz w:val="20"/>
          <w:szCs w:val="20"/>
          <w:color w:val="auto"/>
        </w:rPr>
      </w:pPr>
      <w:r>
        <w:rPr>
          <w:rFonts w:ascii="Times New Roman" w:cs="Times New Roman" w:eastAsia="Times New Roman" w:hAnsi="Times New Roman"/>
          <w:sz w:val="18"/>
          <w:szCs w:val="18"/>
          <w:color w:val="auto"/>
        </w:rPr>
        <w:t>Maintenance revenue decreased $2.8 million in the three months ended March 31, 2026 compared to the three months ended March 31, 2025 due to lower revenue in our IP Optical Networks segment and relatively flat revenue in our Cloud and Edge segment. The decrease in our IP Optical Networks maintenance revenue is due to the completion of a legacy access maintenance contract with a European customer that completed in the fourth quarter of 2025.</w:t>
      </w:r>
    </w:p>
    <w:p>
      <w:pPr>
        <w:spacing w:after="0" w:line="180" w:lineRule="exact"/>
        <w:rPr>
          <w:sz w:val="20"/>
          <w:szCs w:val="20"/>
          <w:color w:val="auto"/>
        </w:rPr>
      </w:pPr>
    </w:p>
    <w:p>
      <w:pPr>
        <w:ind w:left="60" w:right="139" w:firstLine="324"/>
        <w:spacing w:after="0" w:line="261" w:lineRule="auto"/>
        <w:rPr>
          <w:sz w:val="20"/>
          <w:szCs w:val="20"/>
          <w:color w:val="auto"/>
        </w:rPr>
      </w:pPr>
      <w:r>
        <w:rPr>
          <w:rFonts w:ascii="Times New Roman" w:cs="Times New Roman" w:eastAsia="Times New Roman" w:hAnsi="Times New Roman"/>
          <w:sz w:val="18"/>
          <w:szCs w:val="18"/>
          <w:color w:val="auto"/>
        </w:rPr>
        <w:t>Professional services revenue decreased $2.0 million in the three months ended March 31, 2026 compared to the three months ended March 31, 2025 primarily driven from our Cloud and Edge segment. Our Cloud and Edge segment decrease was due to lower deployment services associated with a voice modernization project with one of our U.S. service providers, which we expect to increase in the upcoming quarters.</w:t>
      </w:r>
    </w:p>
    <w:p>
      <w:pPr>
        <w:spacing w:after="0" w:line="180" w:lineRule="exact"/>
        <w:rPr>
          <w:sz w:val="20"/>
          <w:szCs w:val="20"/>
          <w:color w:val="auto"/>
        </w:rPr>
      </w:pPr>
    </w:p>
    <w:p>
      <w:pPr>
        <w:ind w:left="60" w:right="499" w:firstLine="324"/>
        <w:spacing w:after="0" w:line="282" w:lineRule="auto"/>
        <w:rPr>
          <w:sz w:val="20"/>
          <w:szCs w:val="20"/>
          <w:color w:val="auto"/>
        </w:rPr>
      </w:pPr>
      <w:r>
        <w:rPr>
          <w:rFonts w:ascii="Times New Roman" w:cs="Times New Roman" w:eastAsia="Times New Roman" w:hAnsi="Times New Roman"/>
          <w:sz w:val="18"/>
          <w:szCs w:val="18"/>
          <w:color w:val="auto"/>
        </w:rPr>
        <w:t>The following customers contributed 10% or more of our revenue in the three months ended March 31, 2026 and 2025:</w:t>
      </w:r>
    </w:p>
    <w:p>
      <w:pPr>
        <w:spacing w:after="0" w:line="169"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6620" w:type="dxa"/>
            <w:vAlign w:val="bottom"/>
          </w:tcPr>
          <w:p>
            <w:pPr>
              <w:spacing w:after="0"/>
              <w:rPr>
                <w:sz w:val="15"/>
                <w:szCs w:val="15"/>
                <w:color w:val="auto"/>
              </w:rPr>
            </w:pPr>
          </w:p>
        </w:tc>
        <w:tc>
          <w:tcPr>
            <w:tcW w:w="240" w:type="dxa"/>
            <w:vAlign w:val="bottom"/>
          </w:tcPr>
          <w:p>
            <w:pPr>
              <w:ind w:left="100"/>
              <w:spacing w:after="0"/>
              <w:rPr>
                <w:sz w:val="20"/>
                <w:szCs w:val="20"/>
                <w:color w:val="auto"/>
              </w:rPr>
            </w:pPr>
            <w:r>
              <w:rPr>
                <w:rFonts w:ascii="Times New Roman" w:cs="Times New Roman" w:eastAsia="Times New Roman" w:hAnsi="Times New Roman"/>
                <w:sz w:val="14"/>
                <w:szCs w:val="14"/>
                <w:b w:val="1"/>
                <w:bCs w:val="1"/>
                <w:color w:val="auto"/>
              </w:rPr>
              <w:t>​​​</w:t>
            </w:r>
          </w:p>
        </w:tc>
        <w:tc>
          <w:tcPr>
            <w:tcW w:w="2040" w:type="dxa"/>
            <w:vAlign w:val="bottom"/>
            <w:gridSpan w:val="5"/>
          </w:tcPr>
          <w:p>
            <w:pPr>
              <w:jc w:val="right"/>
              <w:ind w:right="45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0" w:type="dxa"/>
            <w:vAlign w:val="bottom"/>
          </w:tcPr>
          <w:p>
            <w:pPr>
              <w:spacing w:after="0"/>
              <w:rPr>
                <w:sz w:val="1"/>
                <w:szCs w:val="1"/>
                <w:color w:val="auto"/>
              </w:rPr>
            </w:pPr>
          </w:p>
        </w:tc>
      </w:tr>
      <w:tr>
        <w:trPr>
          <w:trHeight w:val="20"/>
        </w:trPr>
        <w:tc>
          <w:tcPr>
            <w:tcW w:w="6620" w:type="dxa"/>
            <w:vAlign w:val="bottom"/>
          </w:tcPr>
          <w:p>
            <w:pPr>
              <w:spacing w:after="0" w:line="20" w:lineRule="exact"/>
              <w:rPr>
                <w:sz w:val="1"/>
                <w:szCs w:val="1"/>
                <w:color w:val="auto"/>
              </w:rPr>
            </w:pPr>
          </w:p>
        </w:tc>
        <w:tc>
          <w:tcPr>
            <w:tcW w:w="240" w:type="dxa"/>
            <w:vAlign w:val="bottom"/>
            <w:tcBorders>
              <w:right w:val="single" w:sz="8" w:color="auto"/>
            </w:tcBorders>
          </w:tcPr>
          <w:p>
            <w:pPr>
              <w:spacing w:after="0" w:line="20" w:lineRule="exact"/>
              <w:rPr>
                <w:sz w:val="1"/>
                <w:szCs w:val="1"/>
                <w:color w:val="auto"/>
              </w:rPr>
            </w:pPr>
          </w:p>
        </w:tc>
        <w:tc>
          <w:tcPr>
            <w:tcW w:w="1000" w:type="dxa"/>
            <w:vAlign w:val="bottom"/>
            <w:gridSpan w:val="3"/>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6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7"/>
        </w:trPr>
        <w:tc>
          <w:tcPr>
            <w:tcW w:w="662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Customer</w:t>
            </w:r>
          </w:p>
        </w:tc>
        <w:tc>
          <w:tcPr>
            <w:tcW w:w="240" w:type="dxa"/>
            <w:vAlign w:val="bottom"/>
            <w:vMerge w:val="restart"/>
          </w:tcPr>
          <w:p>
            <w:pPr>
              <w:ind w:left="100"/>
              <w:spacing w:after="0"/>
              <w:rPr>
                <w:sz w:val="20"/>
                <w:szCs w:val="20"/>
                <w:color w:val="auto"/>
              </w:rPr>
            </w:pPr>
            <w:r>
              <w:rPr>
                <w:rFonts w:ascii="Times New Roman" w:cs="Times New Roman" w:eastAsia="Times New Roman" w:hAnsi="Times New Roman"/>
                <w:sz w:val="14"/>
                <w:szCs w:val="14"/>
                <w:b w:val="1"/>
                <w:bCs w:val="1"/>
                <w:color w:val="auto"/>
              </w:rPr>
              <w:t>​​​</w:t>
            </w:r>
          </w:p>
        </w:tc>
        <w:tc>
          <w:tcPr>
            <w:tcW w:w="1000" w:type="dxa"/>
            <w:vAlign w:val="bottom"/>
            <w:gridSpan w:val="3"/>
          </w:tcPr>
          <w:p>
            <w:pPr>
              <w:jc w:val="center"/>
              <w:ind w:right="259"/>
              <w:spacing w:after="0" w:line="118" w:lineRule="exact"/>
              <w:rPr>
                <w:sz w:val="20"/>
                <w:szCs w:val="20"/>
                <w:color w:val="auto"/>
              </w:rPr>
            </w:pPr>
            <w:r>
              <w:rPr>
                <w:rFonts w:ascii="Times New Roman" w:cs="Times New Roman" w:eastAsia="Times New Roman" w:hAnsi="Times New Roman"/>
                <w:sz w:val="13"/>
                <w:szCs w:val="13"/>
                <w:b w:val="1"/>
                <w:bCs w:val="1"/>
                <w:color w:val="auto"/>
              </w:rPr>
              <w:t>March 31,</w:t>
            </w:r>
          </w:p>
        </w:tc>
        <w:tc>
          <w:tcPr>
            <w:tcW w:w="780" w:type="dxa"/>
            <w:vAlign w:val="bottom"/>
          </w:tcPr>
          <w:p>
            <w:pPr>
              <w:jc w:val="right"/>
              <w:ind w:right="20"/>
              <w:spacing w:after="0" w:line="118" w:lineRule="exact"/>
              <w:rPr>
                <w:sz w:val="20"/>
                <w:szCs w:val="20"/>
                <w:color w:val="auto"/>
              </w:rPr>
            </w:pPr>
            <w:r>
              <w:rPr>
                <w:rFonts w:ascii="Times New Roman" w:cs="Times New Roman" w:eastAsia="Times New Roman" w:hAnsi="Times New Roman"/>
                <w:sz w:val="13"/>
                <w:szCs w:val="13"/>
                <w:b w:val="1"/>
                <w:bCs w:val="1"/>
                <w:color w:val="auto"/>
              </w:rPr>
              <w:t>March 31,</w:t>
            </w:r>
          </w:p>
        </w:tc>
        <w:tc>
          <w:tcPr>
            <w:tcW w:w="2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73"/>
        </w:trPr>
        <w:tc>
          <w:tcPr>
            <w:tcW w:w="6620" w:type="dxa"/>
            <w:vAlign w:val="bottom"/>
            <w:vMerge w:val="continue"/>
          </w:tcPr>
          <w:p>
            <w:pPr>
              <w:spacing w:after="0"/>
              <w:rPr>
                <w:sz w:val="15"/>
                <w:szCs w:val="15"/>
                <w:color w:val="auto"/>
              </w:rPr>
            </w:pPr>
          </w:p>
        </w:tc>
        <w:tc>
          <w:tcPr>
            <w:tcW w:w="240" w:type="dxa"/>
            <w:vAlign w:val="bottom"/>
            <w:vMerge w:val="continue"/>
          </w:tcPr>
          <w:p>
            <w:pPr>
              <w:spacing w:after="0"/>
              <w:rPr>
                <w:sz w:val="15"/>
                <w:szCs w:val="15"/>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2026</w:t>
            </w:r>
          </w:p>
        </w:tc>
        <w:tc>
          <w:tcPr>
            <w:tcW w:w="240" w:type="dxa"/>
            <w:vAlign w:val="bottom"/>
          </w:tcPr>
          <w:p>
            <w:pPr>
              <w:spacing w:after="0"/>
              <w:rPr>
                <w:sz w:val="15"/>
                <w:szCs w:val="15"/>
                <w:color w:val="auto"/>
              </w:rPr>
            </w:pPr>
          </w:p>
        </w:tc>
        <w:tc>
          <w:tcPr>
            <w:tcW w:w="2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780" w:type="dxa"/>
            <w:vAlign w:val="bottom"/>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rPr>
              <w:t>2025</w:t>
            </w:r>
          </w:p>
        </w:tc>
        <w:tc>
          <w:tcPr>
            <w:tcW w:w="2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66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Verizon Communications Inc.</w:t>
            </w:r>
          </w:p>
        </w:tc>
        <w:tc>
          <w:tcPr>
            <w:tcW w:w="240" w:type="dxa"/>
            <w:vAlign w:val="bottom"/>
            <w:tcBorders>
              <w:top w:val="single" w:sz="8" w:color="CCEEFF"/>
              <w:right w:val="single" w:sz="8" w:color="CCEEFF"/>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14</w:t>
            </w:r>
          </w:p>
        </w:tc>
        <w:tc>
          <w:tcPr>
            <w:tcW w:w="260" w:type="dxa"/>
            <w:vAlign w:val="bottom"/>
            <w:tcBorders>
              <w:top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8"/>
                <w:szCs w:val="18"/>
                <w:color w:val="auto"/>
                <w:w w:val="93"/>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260" w:type="dxa"/>
            <w:vAlign w:val="bottom"/>
            <w:tcBorders>
              <w:top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93"/>
              </w:rPr>
              <w:t>%</w:t>
            </w:r>
          </w:p>
        </w:tc>
        <w:tc>
          <w:tcPr>
            <w:tcW w:w="0" w:type="dxa"/>
            <w:vAlign w:val="bottom"/>
          </w:tcPr>
          <w:p>
            <w:pPr>
              <w:spacing w:after="0"/>
              <w:rPr>
                <w:sz w:val="1"/>
                <w:szCs w:val="1"/>
                <w:color w:val="auto"/>
              </w:rPr>
            </w:pPr>
          </w:p>
        </w:tc>
      </w:tr>
      <w:tr>
        <w:trPr>
          <w:trHeight w:val="216"/>
        </w:trPr>
        <w:tc>
          <w:tcPr>
            <w:tcW w:w="6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Bharti Telecom Limited</w:t>
            </w:r>
          </w:p>
        </w:tc>
        <w:tc>
          <w:tcPr>
            <w:tcW w:w="2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500" w:type="dxa"/>
            <w:vAlign w:val="bottom"/>
            <w:gridSpan w:val="2"/>
          </w:tcPr>
          <w:p>
            <w:pPr>
              <w:jc w:val="right"/>
              <w:ind w:right="19"/>
              <w:spacing w:after="0"/>
              <w:rPr>
                <w:sz w:val="20"/>
                <w:szCs w:val="20"/>
                <w:color w:val="auto"/>
              </w:rPr>
            </w:pPr>
            <w:r>
              <w:rPr>
                <w:rFonts w:ascii="Times New Roman" w:cs="Times New Roman" w:eastAsia="Times New Roman" w:hAnsi="Times New Roman"/>
                <w:sz w:val="18"/>
                <w:szCs w:val="18"/>
                <w:color w:val="auto"/>
              </w:rPr>
              <w:t>14 %</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Less than 10% of total revenue.</w:t>
            </w:r>
          </w:p>
        </w:tc>
        <w:tc>
          <w:tcPr>
            <w:tcW w:w="240" w:type="dxa"/>
            <w:vAlign w:val="bottom"/>
            <w:tcBorders>
              <w:right w:val="single" w:sz="8" w:color="CCEEFF"/>
            </w:tcBorders>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ind w:left="60" w:right="439" w:firstLine="324"/>
        <w:spacing w:after="0" w:line="266" w:lineRule="auto"/>
        <w:rPr>
          <w:sz w:val="20"/>
          <w:szCs w:val="20"/>
          <w:color w:val="auto"/>
        </w:rPr>
      </w:pPr>
      <w:r>
        <w:rPr>
          <w:rFonts w:ascii="Times New Roman" w:cs="Times New Roman" w:eastAsia="Times New Roman" w:hAnsi="Times New Roman"/>
          <w:sz w:val="18"/>
          <w:szCs w:val="18"/>
          <w:color w:val="auto"/>
        </w:rPr>
        <w:t>Revenue earned from customers domiciled outside the United States was 55% and 54% in the three months ended March 31, 2026 and 2025, respectively. Due to the timing of project completions, we expect that the domestic and international components as a percentage of our revenue may fluctuate from quarter to quarter and year to year.</w:t>
      </w:r>
    </w:p>
    <w:p>
      <w:pPr>
        <w:spacing w:after="0" w:line="176" w:lineRule="exact"/>
        <w:rPr>
          <w:sz w:val="20"/>
          <w:szCs w:val="20"/>
          <w:color w:val="auto"/>
        </w:rPr>
      </w:pPr>
    </w:p>
    <w:p>
      <w:pPr>
        <w:ind w:left="60" w:right="179" w:firstLine="324"/>
        <w:spacing w:after="0" w:line="258" w:lineRule="auto"/>
        <w:rPr>
          <w:sz w:val="20"/>
          <w:szCs w:val="20"/>
          <w:color w:val="auto"/>
        </w:rPr>
      </w:pPr>
      <w:r>
        <w:rPr>
          <w:rFonts w:ascii="Times New Roman" w:cs="Times New Roman" w:eastAsia="Times New Roman" w:hAnsi="Times New Roman"/>
          <w:sz w:val="18"/>
          <w:szCs w:val="18"/>
          <w:color w:val="auto"/>
        </w:rPr>
        <w:t>Our deferred product revenue was $8 million and $7 million at March 31, 2026 and December 31, 2025, respectively. Our deferred service revenue was $147 million and $149 million at March 31, 2026 and December 31, 2025, respectively. Our deferred revenue balance may fluctuate as a result of the timing of revenue recognition, customer payments, maintenance contract renewals, contractual billing rights and maintenance revenue deferrals included in multiple element arrangements.</w:t>
      </w:r>
    </w:p>
    <w:p>
      <w:pPr>
        <w:sectPr>
          <w:pgSz w:w="11900" w:h="16838" w:orient="portrait"/>
          <w:cols w:equalWidth="0" w:num="1">
            <w:col w:w="9019"/>
          </w:cols>
          <w:pgMar w:left="1440" w:top="513" w:right="1440" w:bottom="1440" w:gutter="0" w:footer="0" w:header="0"/>
        </w:sectPr>
      </w:pP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40" w:name="page41"/>
    <w:bookmarkEnd w:id="40"/>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We expect total revenue in 2026 to be relatively consistent with 2025 in both segments.</w:t>
      </w:r>
    </w:p>
    <w:p>
      <w:pPr>
        <w:spacing w:after="0" w:line="221" w:lineRule="exact"/>
        <w:rPr>
          <w:sz w:val="20"/>
          <w:szCs w:val="20"/>
          <w:color w:val="auto"/>
        </w:rPr>
      </w:pPr>
    </w:p>
    <w:p>
      <w:pPr>
        <w:ind w:left="60" w:right="239" w:firstLine="324"/>
        <w:spacing w:after="0" w:line="282" w:lineRule="auto"/>
        <w:rPr>
          <w:sz w:val="20"/>
          <w:szCs w:val="20"/>
          <w:color w:val="auto"/>
        </w:rPr>
      </w:pPr>
      <w:r>
        <w:rPr>
          <w:rFonts w:ascii="Times New Roman" w:cs="Times New Roman" w:eastAsia="Times New Roman" w:hAnsi="Times New Roman"/>
          <w:sz w:val="17"/>
          <w:szCs w:val="17"/>
          <w:b w:val="1"/>
          <w:bCs w:val="1"/>
          <w:i w:val="1"/>
          <w:iCs w:val="1"/>
          <w:color w:val="auto"/>
        </w:rPr>
        <w:t xml:space="preserve">Cost of Revenue/Gross Margin. </w:t>
      </w:r>
      <w:r>
        <w:rPr>
          <w:rFonts w:ascii="Times New Roman" w:cs="Times New Roman" w:eastAsia="Times New Roman" w:hAnsi="Times New Roman"/>
          <w:sz w:val="17"/>
          <w:szCs w:val="17"/>
          <w:color w:val="auto"/>
        </w:rPr>
        <w:t>Our cost of revenue consists primarily of amounts paid to third-party manufacturers</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for purchased materials and services, royalties, amortization of acquired technology, inventory valuation adjustments, warranty costs, and manufacturing and services personnel and related costs. Our cost of revenue, gross profit and gross margin for the three months ended March 31, 2026 and 2025 were as follows (in thousands, except percentages):</w:t>
      </w:r>
    </w:p>
    <w:p>
      <w:pPr>
        <w:spacing w:after="0" w:line="160"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3900" w:type="dxa"/>
            <w:vAlign w:val="bottom"/>
          </w:tcPr>
          <w:p>
            <w:pPr>
              <w:spacing w:after="0"/>
              <w:rPr>
                <w:sz w:val="13"/>
                <w:szCs w:val="13"/>
                <w:color w:val="auto"/>
              </w:rPr>
            </w:pPr>
          </w:p>
        </w:tc>
        <w:tc>
          <w:tcPr>
            <w:tcW w:w="1380" w:type="dxa"/>
            <w:vAlign w:val="bottom"/>
            <w:gridSpan w:val="2"/>
          </w:tcPr>
          <w:p>
            <w:pPr>
              <w:jc w:val="right"/>
              <w:ind w:right="64"/>
              <w:spacing w:after="0"/>
              <w:rPr>
                <w:sz w:val="20"/>
                <w:szCs w:val="20"/>
                <w:color w:val="auto"/>
              </w:rPr>
            </w:pPr>
            <w:r>
              <w:rPr>
                <w:rFonts w:ascii="Times New Roman" w:cs="Times New Roman" w:eastAsia="Times New Roman" w:hAnsi="Times New Roman"/>
                <w:sz w:val="14"/>
                <w:szCs w:val="14"/>
                <w:b w:val="1"/>
                <w:bCs w:val="1"/>
                <w:color w:val="auto"/>
              </w:rPr>
              <w:t>​​​</w:t>
            </w:r>
          </w:p>
        </w:tc>
        <w:tc>
          <w:tcPr>
            <w:tcW w:w="640" w:type="dxa"/>
            <w:vAlign w:val="bottom"/>
          </w:tcPr>
          <w:p>
            <w:pPr>
              <w:spacing w:after="0"/>
              <w:rPr>
                <w:sz w:val="13"/>
                <w:szCs w:val="13"/>
                <w:color w:val="auto"/>
              </w:rPr>
            </w:pPr>
          </w:p>
        </w:tc>
        <w:tc>
          <w:tcPr>
            <w:tcW w:w="340" w:type="dxa"/>
            <w:vAlign w:val="bottom"/>
            <w:gridSpan w:val="2"/>
          </w:tcPr>
          <w:p>
            <w:pPr>
              <w:jc w:val="right"/>
              <w:ind w:right="50"/>
              <w:spacing w:after="0"/>
              <w:rPr>
                <w:sz w:val="20"/>
                <w:szCs w:val="20"/>
                <w:color w:val="auto"/>
              </w:rPr>
            </w:pPr>
            <w:r>
              <w:rPr>
                <w:rFonts w:ascii="Times New Roman" w:cs="Times New Roman" w:eastAsia="Times New Roman" w:hAnsi="Times New Roman"/>
                <w:sz w:val="14"/>
                <w:szCs w:val="14"/>
                <w:b w:val="1"/>
                <w:bCs w:val="1"/>
                <w:color w:val="auto"/>
              </w:rPr>
              <w:t>​​​</w:t>
            </w:r>
          </w:p>
        </w:tc>
        <w:tc>
          <w:tcPr>
            <w:tcW w:w="640" w:type="dxa"/>
            <w:vAlign w:val="bottom"/>
          </w:tcPr>
          <w:p>
            <w:pPr>
              <w:spacing w:after="0"/>
              <w:rPr>
                <w:sz w:val="13"/>
                <w:szCs w:val="13"/>
                <w:color w:val="auto"/>
              </w:rPr>
            </w:pPr>
          </w:p>
        </w:tc>
        <w:tc>
          <w:tcPr>
            <w:tcW w:w="300" w:type="dxa"/>
            <w:vAlign w:val="bottom"/>
            <w:gridSpan w:val="2"/>
          </w:tcPr>
          <w:p>
            <w:pPr>
              <w:ind w:left="60"/>
              <w:spacing w:after="0"/>
              <w:rPr>
                <w:sz w:val="20"/>
                <w:szCs w:val="20"/>
                <w:color w:val="auto"/>
              </w:rPr>
            </w:pPr>
            <w:r>
              <w:rPr>
                <w:rFonts w:ascii="Times New Roman" w:cs="Times New Roman" w:eastAsia="Times New Roman" w:hAnsi="Times New Roman"/>
                <w:sz w:val="14"/>
                <w:szCs w:val="14"/>
                <w:color w:val="auto"/>
              </w:rPr>
              <w:t>​​​</w:t>
            </w:r>
          </w:p>
        </w:tc>
        <w:tc>
          <w:tcPr>
            <w:tcW w:w="1700" w:type="dxa"/>
            <w:vAlign w:val="bottom"/>
            <w:gridSpan w:val="5"/>
          </w:tcPr>
          <w:p>
            <w:pPr>
              <w:jc w:val="right"/>
              <w:ind w:right="420"/>
              <w:spacing w:after="0"/>
              <w:rPr>
                <w:sz w:val="20"/>
                <w:szCs w:val="20"/>
                <w:color w:val="auto"/>
              </w:rPr>
            </w:pPr>
            <w:r>
              <w:rPr>
                <w:rFonts w:ascii="Times New Roman" w:cs="Times New Roman" w:eastAsia="Times New Roman" w:hAnsi="Times New Roman"/>
                <w:sz w:val="14"/>
                <w:szCs w:val="14"/>
                <w:b w:val="1"/>
                <w:bCs w:val="1"/>
                <w:color w:val="auto"/>
              </w:rPr>
              <w:t>Increase/(decrease)</w:t>
            </w:r>
          </w:p>
        </w:tc>
        <w:tc>
          <w:tcPr>
            <w:tcW w:w="0" w:type="dxa"/>
            <w:vAlign w:val="bottom"/>
          </w:tcPr>
          <w:p>
            <w:pPr>
              <w:spacing w:after="0"/>
              <w:rPr>
                <w:sz w:val="1"/>
                <w:szCs w:val="1"/>
                <w:color w:val="auto"/>
              </w:rPr>
            </w:pPr>
          </w:p>
        </w:tc>
      </w:tr>
      <w:tr>
        <w:trPr>
          <w:trHeight w:val="173"/>
        </w:trPr>
        <w:tc>
          <w:tcPr>
            <w:tcW w:w="3900" w:type="dxa"/>
            <w:vAlign w:val="bottom"/>
          </w:tcPr>
          <w:p>
            <w:pPr>
              <w:spacing w:after="0"/>
              <w:rPr>
                <w:sz w:val="15"/>
                <w:szCs w:val="15"/>
                <w:color w:val="auto"/>
              </w:rPr>
            </w:pPr>
          </w:p>
        </w:tc>
        <w:tc>
          <w:tcPr>
            <w:tcW w:w="1380" w:type="dxa"/>
            <w:vAlign w:val="bottom"/>
            <w:gridSpan w:val="2"/>
          </w:tcPr>
          <w:p>
            <w:pPr>
              <w:jc w:val="right"/>
              <w:ind w:right="64"/>
              <w:spacing w:after="0"/>
              <w:rPr>
                <w:sz w:val="20"/>
                <w:szCs w:val="20"/>
                <w:color w:val="auto"/>
              </w:rPr>
            </w:pPr>
            <w:r>
              <w:rPr>
                <w:rFonts w:ascii="Times New Roman" w:cs="Times New Roman" w:eastAsia="Times New Roman" w:hAnsi="Times New Roman"/>
                <w:sz w:val="14"/>
                <w:szCs w:val="14"/>
                <w:color w:val="auto"/>
              </w:rPr>
              <w:t>​​​</w:t>
            </w:r>
          </w:p>
        </w:tc>
        <w:tc>
          <w:tcPr>
            <w:tcW w:w="1620" w:type="dxa"/>
            <w:vAlign w:val="bottom"/>
            <w:gridSpan w:val="4"/>
          </w:tcPr>
          <w:p>
            <w:pPr>
              <w:jc w:val="right"/>
              <w:ind w:right="173"/>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700" w:type="dxa"/>
            <w:vAlign w:val="bottom"/>
            <w:gridSpan w:val="5"/>
          </w:tcPr>
          <w:p>
            <w:pPr>
              <w:ind w:left="220"/>
              <w:spacing w:after="0"/>
              <w:rPr>
                <w:sz w:val="20"/>
                <w:szCs w:val="20"/>
                <w:color w:val="auto"/>
              </w:rPr>
            </w:pPr>
            <w:r>
              <w:rPr>
                <w:rFonts w:ascii="Times New Roman" w:cs="Times New Roman" w:eastAsia="Times New Roman" w:hAnsi="Times New Roman"/>
                <w:sz w:val="14"/>
                <w:szCs w:val="14"/>
                <w:b w:val="1"/>
                <w:bCs w:val="1"/>
                <w:color w:val="auto"/>
              </w:rPr>
              <w:t>from prior year</w:t>
            </w:r>
          </w:p>
        </w:tc>
        <w:tc>
          <w:tcPr>
            <w:tcW w:w="0" w:type="dxa"/>
            <w:vAlign w:val="bottom"/>
          </w:tcPr>
          <w:p>
            <w:pPr>
              <w:spacing w:after="0"/>
              <w:rPr>
                <w:sz w:val="1"/>
                <w:szCs w:val="1"/>
                <w:color w:val="auto"/>
              </w:rPr>
            </w:pPr>
          </w:p>
        </w:tc>
      </w:tr>
      <w:tr>
        <w:trPr>
          <w:trHeight w:val="20"/>
        </w:trPr>
        <w:tc>
          <w:tcPr>
            <w:tcW w:w="390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800" w:type="dxa"/>
            <w:vAlign w:val="bottom"/>
            <w:gridSpan w:val="2"/>
            <w:shd w:val="clear" w:color="auto" w:fill="000000"/>
          </w:tcPr>
          <w:p>
            <w:pPr>
              <w:spacing w:after="0" w:line="20" w:lineRule="exact"/>
              <w:rPr>
                <w:sz w:val="1"/>
                <w:szCs w:val="1"/>
                <w:color w:val="auto"/>
              </w:rPr>
            </w:pPr>
          </w:p>
        </w:tc>
        <w:tc>
          <w:tcPr>
            <w:tcW w:w="980" w:type="dxa"/>
            <w:vAlign w:val="bottom"/>
            <w:gridSpan w:val="3"/>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840" w:type="dxa"/>
            <w:vAlign w:val="bottom"/>
            <w:gridSpan w:val="2"/>
            <w:shd w:val="clear" w:color="auto" w:fill="000000"/>
          </w:tcPr>
          <w:p>
            <w:pPr>
              <w:spacing w:after="0" w:line="20" w:lineRule="exact"/>
              <w:rPr>
                <w:sz w:val="1"/>
                <w:szCs w:val="1"/>
                <w:color w:val="auto"/>
              </w:rPr>
            </w:pPr>
          </w:p>
        </w:tc>
        <w:tc>
          <w:tcPr>
            <w:tcW w:w="16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7"/>
        </w:trPr>
        <w:tc>
          <w:tcPr>
            <w:tcW w:w="3900" w:type="dxa"/>
            <w:vAlign w:val="bottom"/>
          </w:tcPr>
          <w:p>
            <w:pPr>
              <w:spacing w:after="0"/>
              <w:rPr>
                <w:sz w:val="10"/>
                <w:szCs w:val="10"/>
                <w:color w:val="auto"/>
              </w:rPr>
            </w:pPr>
          </w:p>
        </w:tc>
        <w:tc>
          <w:tcPr>
            <w:tcW w:w="1220" w:type="dxa"/>
            <w:vAlign w:val="bottom"/>
          </w:tcPr>
          <w:p>
            <w:pPr>
              <w:spacing w:after="0"/>
              <w:rPr>
                <w:sz w:val="10"/>
                <w:szCs w:val="10"/>
                <w:color w:val="auto"/>
              </w:rPr>
            </w:pPr>
          </w:p>
        </w:tc>
        <w:tc>
          <w:tcPr>
            <w:tcW w:w="800" w:type="dxa"/>
            <w:vAlign w:val="bottom"/>
            <w:gridSpan w:val="2"/>
          </w:tcPr>
          <w:p>
            <w:pPr>
              <w:jc w:val="right"/>
              <w:ind w:right="15"/>
              <w:spacing w:after="0" w:line="118" w:lineRule="exact"/>
              <w:rPr>
                <w:sz w:val="20"/>
                <w:szCs w:val="20"/>
                <w:color w:val="auto"/>
              </w:rPr>
            </w:pPr>
            <w:r>
              <w:rPr>
                <w:rFonts w:ascii="Times New Roman" w:cs="Times New Roman" w:eastAsia="Times New Roman" w:hAnsi="Times New Roman"/>
                <w:sz w:val="13"/>
                <w:szCs w:val="13"/>
                <w:b w:val="1"/>
                <w:bCs w:val="1"/>
                <w:color w:val="auto"/>
              </w:rPr>
              <w:t>March 31,</w:t>
            </w:r>
          </w:p>
        </w:tc>
        <w:tc>
          <w:tcPr>
            <w:tcW w:w="980" w:type="dxa"/>
            <w:vAlign w:val="bottom"/>
            <w:gridSpan w:val="3"/>
          </w:tcPr>
          <w:p>
            <w:pPr>
              <w:jc w:val="right"/>
              <w:ind w:right="33"/>
              <w:spacing w:after="0" w:line="118" w:lineRule="exact"/>
              <w:rPr>
                <w:sz w:val="20"/>
                <w:szCs w:val="20"/>
                <w:color w:val="auto"/>
              </w:rPr>
            </w:pP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b w:val="1"/>
                <w:bCs w:val="1"/>
                <w:color w:val="auto"/>
              </w:rPr>
              <w:t>March 31,</w:t>
            </w:r>
          </w:p>
        </w:tc>
        <w:tc>
          <w:tcPr>
            <w:tcW w:w="300" w:type="dxa"/>
            <w:vAlign w:val="bottom"/>
            <w:gridSpan w:val="2"/>
            <w:vMerge w:val="restart"/>
          </w:tcPr>
          <w:p>
            <w:pPr>
              <w:ind w:left="60"/>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vMerge w:val="restart"/>
          </w:tcPr>
          <w:p>
            <w:pPr>
              <w:ind w:left="220"/>
              <w:spacing w:after="0"/>
              <w:rPr>
                <w:sz w:val="20"/>
                <w:szCs w:val="20"/>
                <w:color w:val="auto"/>
              </w:rPr>
            </w:pPr>
            <w:r>
              <w:rPr>
                <w:rFonts w:ascii="Times New Roman" w:cs="Times New Roman" w:eastAsia="Times New Roman" w:hAnsi="Times New Roman"/>
                <w:sz w:val="14"/>
                <w:szCs w:val="14"/>
                <w:b w:val="1"/>
                <w:bCs w:val="1"/>
                <w:color w:val="auto"/>
              </w:rPr>
              <w:t>$</w:t>
            </w:r>
          </w:p>
        </w:tc>
        <w:tc>
          <w:tcPr>
            <w:tcW w:w="40" w:type="dxa"/>
            <w:vAlign w:val="bottom"/>
          </w:tcPr>
          <w:p>
            <w:pPr>
              <w:spacing w:after="0"/>
              <w:rPr>
                <w:sz w:val="10"/>
                <w:szCs w:val="10"/>
                <w:color w:val="auto"/>
              </w:rPr>
            </w:pPr>
          </w:p>
        </w:tc>
        <w:tc>
          <w:tcPr>
            <w:tcW w:w="840" w:type="dxa"/>
            <w:vAlign w:val="bottom"/>
            <w:gridSpan w:val="2"/>
          </w:tcPr>
          <w:p>
            <w:pPr>
              <w:ind w:left="40"/>
              <w:spacing w:after="0" w:line="118" w:lineRule="exact"/>
              <w:rPr>
                <w:sz w:val="20"/>
                <w:szCs w:val="20"/>
                <w:color w:val="auto"/>
              </w:rPr>
            </w:pPr>
            <w:r>
              <w:rPr>
                <w:rFonts w:ascii="Times New Roman" w:cs="Times New Roman" w:eastAsia="Times New Roman" w:hAnsi="Times New Roman"/>
                <w:sz w:val="13"/>
                <w:szCs w:val="13"/>
                <w:color w:val="auto"/>
              </w:rPr>
              <w:t>​​​</w:t>
            </w:r>
          </w:p>
        </w:tc>
        <w:tc>
          <w:tcPr>
            <w:tcW w:w="1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73"/>
        </w:trPr>
        <w:tc>
          <w:tcPr>
            <w:tcW w:w="3900" w:type="dxa"/>
            <w:vAlign w:val="bottom"/>
          </w:tcPr>
          <w:p>
            <w:pPr>
              <w:spacing w:after="0"/>
              <w:rPr>
                <w:sz w:val="15"/>
                <w:szCs w:val="15"/>
                <w:color w:val="auto"/>
              </w:rPr>
            </w:pPr>
          </w:p>
        </w:tc>
        <w:tc>
          <w:tcPr>
            <w:tcW w:w="1380" w:type="dxa"/>
            <w:vAlign w:val="bottom"/>
            <w:gridSpan w:val="2"/>
          </w:tcPr>
          <w:p>
            <w:pPr>
              <w:jc w:val="right"/>
              <w:ind w:right="64"/>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tcPr>
          <w:p>
            <w:pPr>
              <w:jc w:val="right"/>
              <w:ind w:right="175"/>
              <w:spacing w:after="0"/>
              <w:rPr>
                <w:sz w:val="20"/>
                <w:szCs w:val="20"/>
                <w:color w:val="auto"/>
              </w:rPr>
            </w:pPr>
            <w:r>
              <w:rPr>
                <w:rFonts w:ascii="Times New Roman" w:cs="Times New Roman" w:eastAsia="Times New Roman" w:hAnsi="Times New Roman"/>
                <w:sz w:val="14"/>
                <w:szCs w:val="14"/>
                <w:b w:val="1"/>
                <w:bCs w:val="1"/>
                <w:color w:val="auto"/>
              </w:rPr>
              <w:t>2026</w:t>
            </w:r>
          </w:p>
        </w:tc>
        <w:tc>
          <w:tcPr>
            <w:tcW w:w="1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40" w:type="dxa"/>
            <w:vAlign w:val="bottom"/>
          </w:tcPr>
          <w:p>
            <w:pPr>
              <w:jc w:val="right"/>
              <w:ind w:right="173"/>
              <w:spacing w:after="0"/>
              <w:rPr>
                <w:sz w:val="20"/>
                <w:szCs w:val="20"/>
                <w:color w:val="auto"/>
              </w:rPr>
            </w:pPr>
            <w:r>
              <w:rPr>
                <w:rFonts w:ascii="Times New Roman" w:cs="Times New Roman" w:eastAsia="Times New Roman" w:hAnsi="Times New Roman"/>
                <w:sz w:val="14"/>
                <w:szCs w:val="14"/>
                <w:b w:val="1"/>
                <w:bCs w:val="1"/>
                <w:color w:val="auto"/>
              </w:rPr>
              <w:t>2025</w:t>
            </w:r>
          </w:p>
        </w:tc>
        <w:tc>
          <w:tcPr>
            <w:tcW w:w="300" w:type="dxa"/>
            <w:vAlign w:val="bottom"/>
            <w:gridSpan w:val="2"/>
            <w:vMerge w:val="continue"/>
          </w:tcPr>
          <w:p>
            <w:pPr>
              <w:spacing w:after="0"/>
              <w:rPr>
                <w:sz w:val="15"/>
                <w:szCs w:val="15"/>
                <w:color w:val="auto"/>
              </w:rPr>
            </w:pPr>
          </w:p>
        </w:tc>
        <w:tc>
          <w:tcPr>
            <w:tcW w:w="66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000" w:type="dxa"/>
            <w:vAlign w:val="bottom"/>
            <w:gridSpan w:val="3"/>
          </w:tcPr>
          <w:p>
            <w:pPr>
              <w:ind w:left="40"/>
              <w:spacing w:after="0"/>
              <w:rPr>
                <w:sz w:val="20"/>
                <w:szCs w:val="20"/>
                <w:color w:val="auto"/>
              </w:rPr>
            </w:pP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210"/>
        </w:trPr>
        <w:tc>
          <w:tcPr>
            <w:tcW w:w="39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Cost of revenue:</w:t>
            </w:r>
          </w:p>
        </w:tc>
        <w:tc>
          <w:tcPr>
            <w:tcW w:w="12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Product</w:t>
            </w:r>
          </w:p>
        </w:tc>
        <w:tc>
          <w:tcPr>
            <w:tcW w:w="1380" w:type="dxa"/>
            <w:vAlign w:val="bottom"/>
            <w:gridSpan w:val="2"/>
          </w:tcPr>
          <w:p>
            <w:pPr>
              <w:jc w:val="right"/>
              <w:ind w:right="4"/>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49,425</w:t>
            </w:r>
          </w:p>
        </w:tc>
        <w:tc>
          <w:tcPr>
            <w:tcW w:w="3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57,893</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(8,468)</w:t>
            </w:r>
          </w:p>
        </w:tc>
        <w:tc>
          <w:tcPr>
            <w:tcW w:w="10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(14.6)%</w:t>
            </w:r>
          </w:p>
        </w:tc>
        <w:tc>
          <w:tcPr>
            <w:tcW w:w="0" w:type="dxa"/>
            <w:vAlign w:val="bottom"/>
          </w:tcPr>
          <w:p>
            <w:pPr>
              <w:spacing w:after="0"/>
              <w:rPr>
                <w:sz w:val="1"/>
                <w:szCs w:val="1"/>
                <w:color w:val="auto"/>
              </w:rPr>
            </w:pPr>
          </w:p>
        </w:tc>
      </w:tr>
      <w:tr>
        <w:trPr>
          <w:trHeight w:val="216"/>
        </w:trPr>
        <w:tc>
          <w:tcPr>
            <w:tcW w:w="39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Service</w:t>
            </w:r>
          </w:p>
        </w:tc>
        <w:tc>
          <w:tcPr>
            <w:tcW w:w="1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38,928</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35,628</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3,300</w:t>
            </w:r>
          </w:p>
        </w:tc>
        <w:tc>
          <w:tcPr>
            <w:tcW w:w="40" w:type="dxa"/>
            <w:vAlign w:val="bottom"/>
            <w:shd w:val="clear" w:color="auto" w:fill="CCEEFF"/>
          </w:tcPr>
          <w:p>
            <w:pPr>
              <w:spacing w:after="0"/>
              <w:rPr>
                <w:sz w:val="18"/>
                <w:szCs w:val="18"/>
                <w:color w:val="auto"/>
              </w:rPr>
            </w:pPr>
          </w:p>
        </w:tc>
        <w:tc>
          <w:tcPr>
            <w:tcW w:w="10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9.3 %</w:t>
            </w:r>
          </w:p>
        </w:tc>
        <w:tc>
          <w:tcPr>
            <w:tcW w:w="0" w:type="dxa"/>
            <w:vAlign w:val="bottom"/>
          </w:tcPr>
          <w:p>
            <w:pPr>
              <w:spacing w:after="0"/>
              <w:rPr>
                <w:sz w:val="1"/>
                <w:szCs w:val="1"/>
                <w:color w:val="auto"/>
              </w:rPr>
            </w:pPr>
          </w:p>
        </w:tc>
      </w:tr>
      <w:tr>
        <w:trPr>
          <w:trHeight w:val="216"/>
        </w:trPr>
        <w:tc>
          <w:tcPr>
            <w:tcW w:w="39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Amortization of acquired technology</w:t>
            </w:r>
          </w:p>
        </w:tc>
        <w:tc>
          <w:tcPr>
            <w:tcW w:w="1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4,562</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5,388</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(826)</w:t>
            </w:r>
          </w:p>
        </w:tc>
        <w:tc>
          <w:tcPr>
            <w:tcW w:w="10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(15.3)%</w:t>
            </w:r>
          </w:p>
        </w:tc>
        <w:tc>
          <w:tcPr>
            <w:tcW w:w="0" w:type="dxa"/>
            <w:vAlign w:val="bottom"/>
          </w:tcPr>
          <w:p>
            <w:pPr>
              <w:spacing w:after="0"/>
              <w:rPr>
                <w:sz w:val="1"/>
                <w:szCs w:val="1"/>
                <w:color w:val="auto"/>
              </w:rPr>
            </w:pPr>
          </w:p>
        </w:tc>
      </w:tr>
      <w:tr>
        <w:trPr>
          <w:trHeight w:val="210"/>
        </w:trPr>
        <w:tc>
          <w:tcPr>
            <w:tcW w:w="3900" w:type="dxa"/>
            <w:vAlign w:val="bottom"/>
            <w:tcBorders>
              <w:top w:val="single" w:sz="8" w:color="CCEEFF"/>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Total cost of revenue</w:t>
            </w:r>
          </w:p>
        </w:tc>
        <w:tc>
          <w:tcPr>
            <w:tcW w:w="122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right"/>
              <w:ind w:right="4"/>
              <w:spacing w:after="0"/>
              <w:rPr>
                <w:sz w:val="20"/>
                <w:szCs w:val="20"/>
                <w:color w:val="auto"/>
              </w:rPr>
            </w:pPr>
            <w:r>
              <w:rPr>
                <w:rFonts w:ascii="Times New Roman" w:cs="Times New Roman" w:eastAsia="Times New Roman" w:hAnsi="Times New Roman"/>
                <w:sz w:val="17"/>
                <w:szCs w:val="17"/>
                <w:color w:val="auto"/>
                <w:w w:val="70"/>
              </w:rPr>
              <w:t>$</w:t>
            </w: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92,915</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98,909</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18"/>
                <w:szCs w:val="18"/>
                <w:color w:val="auto"/>
              </w:rPr>
            </w:pP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(5,994)</w:t>
            </w:r>
          </w:p>
        </w:tc>
        <w:tc>
          <w:tcPr>
            <w:tcW w:w="40" w:type="dxa"/>
            <w:vAlign w:val="bottom"/>
            <w:tcBorders>
              <w:top w:val="single" w:sz="8" w:color="CCEEFF"/>
              <w:bottom w:val="single" w:sz="8" w:color="CCEEFF"/>
            </w:tcBorders>
            <w:shd w:val="clear" w:color="auto" w:fill="CCEEFF"/>
          </w:tcPr>
          <w:p>
            <w:pPr>
              <w:spacing w:after="0"/>
              <w:rPr>
                <w:sz w:val="18"/>
                <w:szCs w:val="18"/>
                <w:color w:val="auto"/>
              </w:rPr>
            </w:pPr>
          </w:p>
        </w:tc>
        <w:tc>
          <w:tcPr>
            <w:tcW w:w="1000" w:type="dxa"/>
            <w:vAlign w:val="bottom"/>
            <w:tcBorders>
              <w:top w:val="single" w:sz="8" w:color="CCEEFF"/>
              <w:bottom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w:t>
            </w:r>
          </w:p>
        </w:tc>
        <w:tc>
          <w:tcPr>
            <w:tcW w:w="0" w:type="dxa"/>
            <w:vAlign w:val="bottom"/>
          </w:tcPr>
          <w:p>
            <w:pPr>
              <w:spacing w:after="0"/>
              <w:rPr>
                <w:sz w:val="1"/>
                <w:szCs w:val="1"/>
                <w:color w:val="auto"/>
              </w:rPr>
            </w:pPr>
          </w:p>
        </w:tc>
      </w:tr>
      <w:tr>
        <w:trPr>
          <w:trHeight w:val="20"/>
        </w:trPr>
        <w:tc>
          <w:tcPr>
            <w:tcW w:w="390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90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Gross profit</w:t>
            </w:r>
          </w:p>
        </w:tc>
        <w:tc>
          <w:tcPr>
            <w:tcW w:w="1380" w:type="dxa"/>
            <w:vAlign w:val="bottom"/>
            <w:gridSpan w:val="2"/>
            <w:shd w:val="clear" w:color="auto" w:fill="CCEEFF"/>
          </w:tcPr>
          <w:p>
            <w:pPr>
              <w:jc w:val="right"/>
              <w:ind w:right="4"/>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69,691</w:t>
            </w:r>
          </w:p>
        </w:tc>
        <w:tc>
          <w:tcPr>
            <w:tcW w:w="3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82,370</w:t>
            </w:r>
          </w:p>
        </w:tc>
        <w:tc>
          <w:tcPr>
            <w:tcW w:w="3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(12,679)</w:t>
            </w:r>
          </w:p>
        </w:tc>
        <w:tc>
          <w:tcPr>
            <w:tcW w:w="10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w:t>
            </w:r>
          </w:p>
        </w:tc>
        <w:tc>
          <w:tcPr>
            <w:tcW w:w="0" w:type="dxa"/>
            <w:vAlign w:val="bottom"/>
          </w:tcPr>
          <w:p>
            <w:pPr>
              <w:spacing w:after="0"/>
              <w:rPr>
                <w:sz w:val="1"/>
                <w:szCs w:val="1"/>
                <w:color w:val="auto"/>
              </w:rPr>
            </w:pPr>
          </w:p>
        </w:tc>
      </w:tr>
      <w:tr>
        <w:trPr>
          <w:trHeight w:val="234"/>
        </w:trPr>
        <w:tc>
          <w:tcPr>
            <w:tcW w:w="3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Gross margin</w:t>
            </w:r>
          </w:p>
        </w:tc>
        <w:tc>
          <w:tcPr>
            <w:tcW w:w="1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42.9 %</w:t>
            </w:r>
          </w:p>
        </w:tc>
        <w:tc>
          <w:tcPr>
            <w:tcW w:w="180" w:type="dxa"/>
            <w:vAlign w:val="bottom"/>
          </w:tcPr>
          <w:p>
            <w:pPr>
              <w:spacing w:after="0"/>
              <w:rPr>
                <w:sz w:val="20"/>
                <w:szCs w:val="20"/>
                <w:color w:val="auto"/>
              </w:rPr>
            </w:pP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45.4 %</w:t>
            </w:r>
          </w:p>
        </w:tc>
        <w:tc>
          <w:tcPr>
            <w:tcW w:w="1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79" w:lineRule="exact"/>
        <w:rPr>
          <w:sz w:val="20"/>
          <w:szCs w:val="20"/>
          <w:color w:val="auto"/>
        </w:rPr>
      </w:pPr>
    </w:p>
    <w:p>
      <w:pPr>
        <w:ind w:left="60" w:right="119" w:firstLine="324"/>
        <w:spacing w:after="0" w:line="282" w:lineRule="auto"/>
        <w:rPr>
          <w:sz w:val="20"/>
          <w:szCs w:val="20"/>
          <w:color w:val="auto"/>
        </w:rPr>
      </w:pPr>
      <w:r>
        <w:rPr>
          <w:rFonts w:ascii="Times New Roman" w:cs="Times New Roman" w:eastAsia="Times New Roman" w:hAnsi="Times New Roman"/>
          <w:sz w:val="18"/>
          <w:szCs w:val="18"/>
          <w:color w:val="auto"/>
        </w:rPr>
        <w:t>Our segment cost of revenue, gross profit and gross margin for the three months ended March 31, 2026 and 2025 were as follows (in thousands, except percentages):</w:t>
      </w:r>
    </w:p>
    <w:p>
      <w:pPr>
        <w:spacing w:after="0" w:line="169"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2880" w:type="dxa"/>
            <w:vAlign w:val="bottom"/>
          </w:tcPr>
          <w:p>
            <w:pPr>
              <w:spacing w:after="0"/>
              <w:rPr>
                <w:sz w:val="15"/>
                <w:szCs w:val="15"/>
                <w:color w:val="auto"/>
              </w:rPr>
            </w:pPr>
          </w:p>
        </w:tc>
        <w:tc>
          <w:tcPr>
            <w:tcW w:w="2920" w:type="dxa"/>
            <w:vAlign w:val="bottom"/>
            <w:gridSpan w:val="8"/>
          </w:tcPr>
          <w:p>
            <w:pPr>
              <w:jc w:val="right"/>
              <w:ind w:right="113"/>
              <w:spacing w:after="0"/>
              <w:rPr>
                <w:sz w:val="20"/>
                <w:szCs w:val="20"/>
                <w:color w:val="auto"/>
              </w:rPr>
            </w:pPr>
            <w:r>
              <w:rPr>
                <w:rFonts w:ascii="Times New Roman" w:cs="Times New Roman" w:eastAsia="Times New Roman" w:hAnsi="Times New Roman"/>
                <w:sz w:val="14"/>
                <w:szCs w:val="14"/>
                <w:b w:val="1"/>
                <w:bCs w:val="1"/>
                <w:color w:val="auto"/>
              </w:rPr>
              <w:t>​​​  Three months ended March 31, 2026</w:t>
            </w:r>
          </w:p>
        </w:tc>
        <w:tc>
          <w:tcPr>
            <w:tcW w:w="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5"/>
                <w:szCs w:val="15"/>
                <w:color w:val="auto"/>
              </w:rPr>
            </w:pPr>
          </w:p>
        </w:tc>
        <w:tc>
          <w:tcPr>
            <w:tcW w:w="2720" w:type="dxa"/>
            <w:vAlign w:val="bottom"/>
            <w:gridSpan w:val="8"/>
          </w:tcPr>
          <w:p>
            <w:pPr>
              <w:jc w:val="right"/>
              <w:ind w:right="380"/>
              <w:spacing w:after="0"/>
              <w:rPr>
                <w:sz w:val="20"/>
                <w:szCs w:val="20"/>
                <w:color w:val="auto"/>
              </w:rPr>
            </w:pPr>
            <w:r>
              <w:rPr>
                <w:rFonts w:ascii="Times New Roman" w:cs="Times New Roman" w:eastAsia="Times New Roman" w:hAnsi="Times New Roman"/>
                <w:sz w:val="14"/>
                <w:szCs w:val="14"/>
                <w:b w:val="1"/>
                <w:bCs w:val="1"/>
                <w:color w:val="auto"/>
              </w:rPr>
              <w:t>Three months ended March 31, 2025</w:t>
            </w:r>
          </w:p>
        </w:tc>
        <w:tc>
          <w:tcPr>
            <w:tcW w:w="0" w:type="dxa"/>
            <w:vAlign w:val="bottom"/>
          </w:tcPr>
          <w:p>
            <w:pPr>
              <w:spacing w:after="0"/>
              <w:rPr>
                <w:sz w:val="1"/>
                <w:szCs w:val="1"/>
                <w:color w:val="auto"/>
              </w:rPr>
            </w:pPr>
          </w:p>
        </w:tc>
      </w:tr>
      <w:tr>
        <w:trPr>
          <w:trHeight w:val="117"/>
        </w:trPr>
        <w:tc>
          <w:tcPr>
            <w:tcW w:w="28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920" w:type="dxa"/>
            <w:vAlign w:val="bottom"/>
            <w:tcBorders>
              <w:top w:val="single" w:sz="8" w:color="auto"/>
            </w:tcBorders>
            <w:gridSpan w:val="5"/>
          </w:tcPr>
          <w:p>
            <w:pPr>
              <w:jc w:val="right"/>
              <w:ind w:right="20"/>
              <w:spacing w:after="0" w:line="118" w:lineRule="exact"/>
              <w:rPr>
                <w:sz w:val="20"/>
                <w:szCs w:val="20"/>
                <w:color w:val="auto"/>
              </w:rPr>
            </w:pPr>
            <w:r>
              <w:rPr>
                <w:rFonts w:ascii="Times New Roman" w:cs="Times New Roman" w:eastAsia="Times New Roman" w:hAnsi="Times New Roman"/>
                <w:sz w:val="13"/>
                <w:szCs w:val="13"/>
                <w:b w:val="1"/>
                <w:bCs w:val="1"/>
                <w:color w:val="auto"/>
              </w:rPr>
              <w:t>Cloud and  ​​​ IP Optical  ​​​</w:t>
            </w:r>
          </w:p>
        </w:tc>
        <w:tc>
          <w:tcPr>
            <w:tcW w:w="120" w:type="dxa"/>
            <w:vAlign w:val="bottom"/>
            <w:tcBorders>
              <w:top w:val="single" w:sz="8" w:color="auto"/>
            </w:tcBorders>
          </w:tcPr>
          <w:p>
            <w:pPr>
              <w:spacing w:after="0"/>
              <w:rPr>
                <w:sz w:val="10"/>
                <w:szCs w:val="10"/>
                <w:color w:val="auto"/>
              </w:rPr>
            </w:pPr>
          </w:p>
        </w:tc>
        <w:tc>
          <w:tcPr>
            <w:tcW w:w="600" w:type="dxa"/>
            <w:vAlign w:val="bottom"/>
            <w:tcBorders>
              <w:top w:val="single" w:sz="8" w:color="auto"/>
            </w:tcBorders>
            <w:vMerge w:val="restart"/>
          </w:tcPr>
          <w:p>
            <w:pPr>
              <w:jc w:val="right"/>
              <w:ind w:right="113"/>
              <w:spacing w:after="0"/>
              <w:rPr>
                <w:sz w:val="20"/>
                <w:szCs w:val="20"/>
                <w:color w:val="auto"/>
              </w:rPr>
            </w:pPr>
            <w:r>
              <w:rPr>
                <w:rFonts w:ascii="Times New Roman" w:cs="Times New Roman" w:eastAsia="Times New Roman" w:hAnsi="Times New Roman"/>
                <w:sz w:val="14"/>
                <w:szCs w:val="14"/>
                <w:b w:val="1"/>
                <w:bCs w:val="1"/>
                <w:color w:val="auto"/>
              </w:rPr>
              <w:t>Total</w:t>
            </w:r>
          </w:p>
        </w:tc>
        <w:tc>
          <w:tcPr>
            <w:tcW w:w="240" w:type="dxa"/>
            <w:vAlign w:val="bottom"/>
          </w:tcPr>
          <w:p>
            <w:pPr>
              <w:spacing w:after="0"/>
              <w:rPr>
                <w:sz w:val="10"/>
                <w:szCs w:val="10"/>
                <w:color w:val="auto"/>
              </w:rPr>
            </w:pPr>
          </w:p>
        </w:tc>
        <w:tc>
          <w:tcPr>
            <w:tcW w:w="1940" w:type="dxa"/>
            <w:vAlign w:val="bottom"/>
            <w:tcBorders>
              <w:top w:val="single" w:sz="8" w:color="auto"/>
            </w:tcBorders>
            <w:gridSpan w:val="6"/>
          </w:tcPr>
          <w:p>
            <w:pPr>
              <w:jc w:val="right"/>
              <w:spacing w:after="0" w:line="118" w:lineRule="exact"/>
              <w:rPr>
                <w:sz w:val="20"/>
                <w:szCs w:val="20"/>
                <w:color w:val="auto"/>
              </w:rPr>
            </w:pPr>
            <w:r>
              <w:rPr>
                <w:rFonts w:ascii="Times New Roman" w:cs="Times New Roman" w:eastAsia="Times New Roman" w:hAnsi="Times New Roman"/>
                <w:sz w:val="13"/>
                <w:szCs w:val="13"/>
                <w:b w:val="1"/>
                <w:bCs w:val="1"/>
                <w:color w:val="auto"/>
              </w:rPr>
              <w:t>Cloud and  ​​​ IP Optical  ​​​</w:t>
            </w:r>
          </w:p>
        </w:tc>
        <w:tc>
          <w:tcPr>
            <w:tcW w:w="160" w:type="dxa"/>
            <w:vAlign w:val="bottom"/>
            <w:tcBorders>
              <w:top w:val="single" w:sz="8" w:color="auto"/>
            </w:tcBorders>
          </w:tcPr>
          <w:p>
            <w:pPr>
              <w:spacing w:after="0"/>
              <w:rPr>
                <w:sz w:val="10"/>
                <w:szCs w:val="10"/>
                <w:color w:val="auto"/>
              </w:rPr>
            </w:pPr>
          </w:p>
        </w:tc>
        <w:tc>
          <w:tcPr>
            <w:tcW w:w="580" w:type="dxa"/>
            <w:vAlign w:val="bottom"/>
            <w:tcBorders>
              <w:top w:val="single" w:sz="8" w:color="auto"/>
            </w:tcBorders>
            <w:vMerge w:val="restart"/>
          </w:tcPr>
          <w:p>
            <w:pPr>
              <w:jc w:val="right"/>
              <w:ind w:right="113"/>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80" w:type="dxa"/>
            <w:vAlign w:val="bottom"/>
            <w:vMerge w:val="restart"/>
          </w:tcPr>
          <w:p>
            <w:pPr>
              <w:spacing w:after="0"/>
              <w:rPr>
                <w:sz w:val="10"/>
                <w:szCs w:val="10"/>
                <w:color w:val="auto"/>
              </w:rPr>
            </w:pPr>
          </w:p>
        </w:tc>
        <w:tc>
          <w:tcPr>
            <w:tcW w:w="0" w:type="dxa"/>
            <w:vAlign w:val="bottom"/>
          </w:tcPr>
          <w:p>
            <w:pPr>
              <w:spacing w:after="0"/>
              <w:rPr>
                <w:sz w:val="1"/>
                <w:szCs w:val="1"/>
                <w:color w:val="auto"/>
              </w:rPr>
            </w:pPr>
          </w:p>
        </w:tc>
      </w:tr>
      <w:tr>
        <w:trPr>
          <w:trHeight w:val="173"/>
        </w:trPr>
        <w:tc>
          <w:tcPr>
            <w:tcW w:w="28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40" w:type="dxa"/>
            <w:vAlign w:val="bottom"/>
            <w:gridSpan w:val="2"/>
          </w:tcPr>
          <w:p>
            <w:pPr>
              <w:jc w:val="right"/>
              <w:ind w:right="420"/>
              <w:spacing w:after="0"/>
              <w:rPr>
                <w:sz w:val="20"/>
                <w:szCs w:val="20"/>
                <w:color w:val="auto"/>
              </w:rPr>
            </w:pPr>
            <w:r>
              <w:rPr>
                <w:rFonts w:ascii="Times New Roman" w:cs="Times New Roman" w:eastAsia="Times New Roman" w:hAnsi="Times New Roman"/>
                <w:sz w:val="14"/>
                <w:szCs w:val="14"/>
                <w:b w:val="1"/>
                <w:bCs w:val="1"/>
                <w:color w:val="auto"/>
              </w:rPr>
              <w:t>Edge</w:t>
            </w:r>
          </w:p>
        </w:tc>
        <w:tc>
          <w:tcPr>
            <w:tcW w:w="980" w:type="dxa"/>
            <w:vAlign w:val="bottom"/>
            <w:gridSpan w:val="3"/>
          </w:tcPr>
          <w:p>
            <w:pPr>
              <w:jc w:val="right"/>
              <w:ind w:right="300"/>
              <w:spacing w:after="0"/>
              <w:rPr>
                <w:sz w:val="20"/>
                <w:szCs w:val="20"/>
                <w:color w:val="auto"/>
              </w:rPr>
            </w:pPr>
            <w:r>
              <w:rPr>
                <w:rFonts w:ascii="Times New Roman" w:cs="Times New Roman" w:eastAsia="Times New Roman" w:hAnsi="Times New Roman"/>
                <w:sz w:val="14"/>
                <w:szCs w:val="14"/>
                <w:b w:val="1"/>
                <w:bCs w:val="1"/>
                <w:color w:val="auto"/>
              </w:rPr>
              <w:t>Networks</w:t>
            </w:r>
          </w:p>
        </w:tc>
        <w:tc>
          <w:tcPr>
            <w:tcW w:w="120" w:type="dxa"/>
            <w:vAlign w:val="bottom"/>
          </w:tcPr>
          <w:p>
            <w:pPr>
              <w:spacing w:after="0"/>
              <w:rPr>
                <w:sz w:val="15"/>
                <w:szCs w:val="15"/>
                <w:color w:val="auto"/>
              </w:rPr>
            </w:pPr>
          </w:p>
        </w:tc>
        <w:tc>
          <w:tcPr>
            <w:tcW w:w="600" w:type="dxa"/>
            <w:vAlign w:val="bottom"/>
            <w:vMerge w:val="continue"/>
          </w:tcPr>
          <w:p>
            <w:pPr>
              <w:spacing w:after="0"/>
              <w:rPr>
                <w:sz w:val="15"/>
                <w:szCs w:val="15"/>
                <w:color w:val="auto"/>
              </w:rPr>
            </w:pPr>
          </w:p>
        </w:tc>
        <w:tc>
          <w:tcPr>
            <w:tcW w:w="2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40" w:type="dxa"/>
            <w:vAlign w:val="bottom"/>
            <w:gridSpan w:val="2"/>
          </w:tcPr>
          <w:p>
            <w:pPr>
              <w:jc w:val="right"/>
              <w:ind w:right="440"/>
              <w:spacing w:after="0"/>
              <w:rPr>
                <w:sz w:val="20"/>
                <w:szCs w:val="20"/>
                <w:color w:val="auto"/>
              </w:rPr>
            </w:pPr>
            <w:r>
              <w:rPr>
                <w:rFonts w:ascii="Times New Roman" w:cs="Times New Roman" w:eastAsia="Times New Roman" w:hAnsi="Times New Roman"/>
                <w:sz w:val="14"/>
                <w:szCs w:val="14"/>
                <w:b w:val="1"/>
                <w:bCs w:val="1"/>
                <w:color w:val="auto"/>
              </w:rPr>
              <w:t>Edge</w:t>
            </w:r>
          </w:p>
        </w:tc>
        <w:tc>
          <w:tcPr>
            <w:tcW w:w="960" w:type="dxa"/>
            <w:vAlign w:val="bottom"/>
            <w:gridSpan w:val="3"/>
          </w:tcPr>
          <w:p>
            <w:pPr>
              <w:jc w:val="right"/>
              <w:ind w:right="280"/>
              <w:spacing w:after="0"/>
              <w:rPr>
                <w:sz w:val="20"/>
                <w:szCs w:val="20"/>
                <w:color w:val="auto"/>
              </w:rPr>
            </w:pPr>
            <w:r>
              <w:rPr>
                <w:rFonts w:ascii="Times New Roman" w:cs="Times New Roman" w:eastAsia="Times New Roman" w:hAnsi="Times New Roman"/>
                <w:sz w:val="14"/>
                <w:szCs w:val="14"/>
                <w:b w:val="1"/>
                <w:bCs w:val="1"/>
                <w:color w:val="auto"/>
              </w:rPr>
              <w:t>Networks</w:t>
            </w:r>
          </w:p>
        </w:tc>
        <w:tc>
          <w:tcPr>
            <w:tcW w:w="160" w:type="dxa"/>
            <w:vAlign w:val="bottom"/>
          </w:tcPr>
          <w:p>
            <w:pPr>
              <w:spacing w:after="0"/>
              <w:rPr>
                <w:sz w:val="15"/>
                <w:szCs w:val="15"/>
                <w:color w:val="auto"/>
              </w:rPr>
            </w:pPr>
          </w:p>
        </w:tc>
        <w:tc>
          <w:tcPr>
            <w:tcW w:w="580" w:type="dxa"/>
            <w:vAlign w:val="bottom"/>
            <w:vMerge w:val="continue"/>
          </w:tcPr>
          <w:p>
            <w:pPr>
              <w:spacing w:after="0"/>
              <w:rPr>
                <w:sz w:val="15"/>
                <w:szCs w:val="15"/>
                <w:color w:val="auto"/>
              </w:rPr>
            </w:pPr>
          </w:p>
        </w:tc>
        <w:tc>
          <w:tcPr>
            <w:tcW w:w="1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28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Product</w:t>
            </w:r>
          </w:p>
        </w:tc>
        <w:tc>
          <w:tcPr>
            <w:tcW w:w="28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$ 14,883</w:t>
            </w:r>
          </w:p>
        </w:tc>
        <w:tc>
          <w:tcPr>
            <w:tcW w:w="2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34,542</w:t>
            </w:r>
          </w:p>
        </w:tc>
        <w:tc>
          <w:tcPr>
            <w:tcW w:w="2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49,425</w:t>
            </w:r>
          </w:p>
        </w:tc>
        <w:tc>
          <w:tcPr>
            <w:tcW w:w="2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15,663</w:t>
            </w:r>
          </w:p>
        </w:tc>
        <w:tc>
          <w:tcPr>
            <w:tcW w:w="2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42,230</w:t>
            </w:r>
          </w:p>
        </w:tc>
        <w:tc>
          <w:tcPr>
            <w:tcW w:w="2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57,893</w:t>
            </w:r>
          </w:p>
        </w:tc>
        <w:tc>
          <w:tcPr>
            <w:tcW w:w="1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Service</w:t>
            </w: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28,259</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10,669</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38,928</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24,854</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10,774</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35,628</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Amortization of acquired technology</w:t>
            </w:r>
          </w:p>
        </w:tc>
        <w:tc>
          <w:tcPr>
            <w:tcW w:w="9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221</w:t>
            </w: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4,341</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4,562</w:t>
            </w: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948</w:t>
            </w: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4,440</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5,388</w:t>
            </w: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9"/>
        </w:trPr>
        <w:tc>
          <w:tcPr>
            <w:tcW w:w="288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8"/>
                <w:szCs w:val="18"/>
                <w:color w:val="auto"/>
              </w:rPr>
              <w:t>Total cost of revenue</w:t>
            </w:r>
          </w:p>
        </w:tc>
        <w:tc>
          <w:tcPr>
            <w:tcW w:w="280" w:type="dxa"/>
            <w:vAlign w:val="bottom"/>
            <w:tcBorders>
              <w:bottom w:val="single" w:sz="8" w:color="CCEEFF"/>
            </w:tcBorders>
          </w:tcPr>
          <w:p>
            <w:pPr>
              <w:spacing w:after="0"/>
              <w:rPr>
                <w:sz w:val="21"/>
                <w:szCs w:val="21"/>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8"/>
              </w:rPr>
              <w:t>$ 43,363</w:t>
            </w:r>
          </w:p>
        </w:tc>
        <w:tc>
          <w:tcPr>
            <w:tcW w:w="240" w:type="dxa"/>
            <w:vAlign w:val="bottom"/>
            <w:tcBorders>
              <w:bottom w:val="single" w:sz="8" w:color="CCEEFF"/>
            </w:tcBorders>
          </w:tcPr>
          <w:p>
            <w:pPr>
              <w:spacing w:after="0"/>
              <w:rPr>
                <w:sz w:val="21"/>
                <w:szCs w:val="21"/>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49,552</w:t>
            </w:r>
          </w:p>
        </w:tc>
        <w:tc>
          <w:tcPr>
            <w:tcW w:w="260" w:type="dxa"/>
            <w:vAlign w:val="bottom"/>
            <w:tcBorders>
              <w:bottom w:val="single" w:sz="8" w:color="CCEEFF"/>
            </w:tcBorders>
          </w:tcPr>
          <w:p>
            <w:pPr>
              <w:spacing w:after="0"/>
              <w:rPr>
                <w:sz w:val="21"/>
                <w:szCs w:val="21"/>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92,915</w:t>
            </w:r>
          </w:p>
        </w:tc>
        <w:tc>
          <w:tcPr>
            <w:tcW w:w="240" w:type="dxa"/>
            <w:vAlign w:val="bottom"/>
            <w:tcBorders>
              <w:bottom w:val="single" w:sz="8" w:color="CCEEFF"/>
            </w:tcBorders>
          </w:tcPr>
          <w:p>
            <w:pPr>
              <w:spacing w:after="0"/>
              <w:rPr>
                <w:sz w:val="21"/>
                <w:szCs w:val="21"/>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41,465</w:t>
            </w:r>
          </w:p>
        </w:tc>
        <w:tc>
          <w:tcPr>
            <w:tcW w:w="240" w:type="dxa"/>
            <w:vAlign w:val="bottom"/>
            <w:tcBorders>
              <w:bottom w:val="single" w:sz="8" w:color="CCEEFF"/>
            </w:tcBorders>
          </w:tcPr>
          <w:p>
            <w:pPr>
              <w:spacing w:after="0"/>
              <w:rPr>
                <w:sz w:val="21"/>
                <w:szCs w:val="21"/>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57,444</w:t>
            </w:r>
          </w:p>
        </w:tc>
        <w:tc>
          <w:tcPr>
            <w:tcW w:w="240" w:type="dxa"/>
            <w:vAlign w:val="bottom"/>
            <w:tcBorders>
              <w:bottom w:val="single" w:sz="8" w:color="CCEEFF"/>
            </w:tcBorders>
          </w:tcPr>
          <w:p>
            <w:pPr>
              <w:spacing w:after="0"/>
              <w:rPr>
                <w:sz w:val="21"/>
                <w:szCs w:val="21"/>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98,909</w:t>
            </w:r>
          </w:p>
        </w:tc>
        <w:tc>
          <w:tcPr>
            <w:tcW w:w="180" w:type="dxa"/>
            <w:vAlign w:val="bottom"/>
            <w:tcBorders>
              <w:bottom w:val="single" w:sz="8" w:color="CCEEFF"/>
            </w:tcBorders>
          </w:tcPr>
          <w:p>
            <w:pPr>
              <w:spacing w:after="0"/>
              <w:rPr>
                <w:sz w:val="21"/>
                <w:szCs w:val="21"/>
                <w:color w:val="auto"/>
              </w:rPr>
            </w:pPr>
          </w:p>
        </w:tc>
        <w:tc>
          <w:tcPr>
            <w:tcW w:w="0" w:type="dxa"/>
            <w:vAlign w:val="bottom"/>
          </w:tcPr>
          <w:p>
            <w:pPr>
              <w:spacing w:after="0"/>
              <w:rPr>
                <w:sz w:val="1"/>
                <w:szCs w:val="1"/>
                <w:color w:val="auto"/>
              </w:rPr>
            </w:pPr>
          </w:p>
        </w:tc>
      </w:tr>
      <w:tr>
        <w:trPr>
          <w:trHeight w:val="197"/>
        </w:trPr>
        <w:tc>
          <w:tcPr>
            <w:tcW w:w="28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Gross profit</w:t>
            </w: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$ 56,149</w:t>
            </w:r>
          </w:p>
        </w:tc>
        <w:tc>
          <w:tcPr>
            <w:tcW w:w="24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13,542</w:t>
            </w:r>
          </w:p>
        </w:tc>
        <w:tc>
          <w:tcPr>
            <w:tcW w:w="26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69,691</w:t>
            </w:r>
          </w:p>
        </w:tc>
        <w:tc>
          <w:tcPr>
            <w:tcW w:w="24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66,126</w:t>
            </w:r>
          </w:p>
        </w:tc>
        <w:tc>
          <w:tcPr>
            <w:tcW w:w="24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16,244</w:t>
            </w:r>
          </w:p>
        </w:tc>
        <w:tc>
          <w:tcPr>
            <w:tcW w:w="24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82,370</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Gross margin</w:t>
            </w:r>
          </w:p>
        </w:tc>
        <w:tc>
          <w:tcPr>
            <w:tcW w:w="122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56.4 %</w:t>
            </w:r>
          </w:p>
        </w:tc>
        <w:tc>
          <w:tcPr>
            <w:tcW w:w="1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21.5 %</w:t>
            </w: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8"/>
              <w:spacing w:after="0"/>
              <w:rPr>
                <w:sz w:val="20"/>
                <w:szCs w:val="20"/>
                <w:color w:val="auto"/>
              </w:rPr>
            </w:pPr>
            <w:r>
              <w:rPr>
                <w:rFonts w:ascii="Times New Roman" w:cs="Times New Roman" w:eastAsia="Times New Roman" w:hAnsi="Times New Roman"/>
                <w:sz w:val="18"/>
                <w:szCs w:val="18"/>
                <w:color w:val="auto"/>
              </w:rPr>
              <w:t>42.9 %</w:t>
            </w:r>
          </w:p>
        </w:tc>
        <w:tc>
          <w:tcPr>
            <w:tcW w:w="1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61.5 %</w:t>
            </w: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22.0 %</w:t>
            </w: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45.4 %</w:t>
            </w:r>
          </w:p>
        </w:tc>
        <w:tc>
          <w:tcPr>
            <w:tcW w:w="0" w:type="dxa"/>
            <w:vAlign w:val="bottom"/>
          </w:tcPr>
          <w:p>
            <w:pPr>
              <w:spacing w:after="0"/>
              <w:rPr>
                <w:sz w:val="1"/>
                <w:szCs w:val="1"/>
                <w:color w:val="auto"/>
              </w:rPr>
            </w:pPr>
          </w:p>
        </w:tc>
      </w:tr>
    </w:tbl>
    <w:p>
      <w:pPr>
        <w:spacing w:after="0" w:line="198" w:lineRule="exact"/>
        <w:rPr>
          <w:sz w:val="20"/>
          <w:szCs w:val="20"/>
          <w:color w:val="auto"/>
        </w:rPr>
      </w:pPr>
    </w:p>
    <w:p>
      <w:pPr>
        <w:ind w:left="60" w:right="119" w:firstLine="324"/>
        <w:spacing w:after="0" w:line="282" w:lineRule="auto"/>
        <w:rPr>
          <w:sz w:val="20"/>
          <w:szCs w:val="20"/>
          <w:color w:val="auto"/>
        </w:rPr>
      </w:pPr>
      <w:r>
        <w:rPr>
          <w:rFonts w:ascii="Times New Roman" w:cs="Times New Roman" w:eastAsia="Times New Roman" w:hAnsi="Times New Roman"/>
          <w:sz w:val="18"/>
          <w:szCs w:val="18"/>
          <w:color w:val="auto"/>
        </w:rPr>
        <w:t>Our overall gross margin decreased by 2.5 percentage points for the three months ended March 31, 2026, as compared to the three months ended March 31, 2025.</w:t>
      </w:r>
    </w:p>
    <w:p>
      <w:pPr>
        <w:spacing w:after="0" w:line="162" w:lineRule="exact"/>
        <w:rPr>
          <w:sz w:val="20"/>
          <w:szCs w:val="20"/>
          <w:color w:val="auto"/>
        </w:rPr>
      </w:pPr>
    </w:p>
    <w:p>
      <w:pPr>
        <w:ind w:left="60" w:right="79" w:firstLine="324"/>
        <w:spacing w:after="0" w:line="256" w:lineRule="auto"/>
        <w:rPr>
          <w:sz w:val="20"/>
          <w:szCs w:val="20"/>
          <w:color w:val="auto"/>
        </w:rPr>
      </w:pPr>
      <w:r>
        <w:rPr>
          <w:rFonts w:ascii="Times New Roman" w:cs="Times New Roman" w:eastAsia="Times New Roman" w:hAnsi="Times New Roman"/>
          <w:sz w:val="18"/>
          <w:szCs w:val="18"/>
          <w:color w:val="auto"/>
        </w:rPr>
        <w:t>Gross margin for our Cloud and Edge segment was lower in the three months ended March 31, 2026 as compared to the prior year by 510 basis points and was attributable to lower product and Professional services sales, as well as the effect of lower fixed cost absorption and unfavorable mix. We expect Cloud and Edge gross margin to rebound as the deployment of services associated with a voice modernization project with one of our U.S. service providers returns to higher activity levels in the upcoming quarters. Gross margin for IP Optical Network remained relatively flat in the three months ended March 31, 2026 as compared to the three months ended March 31, 2025.</w:t>
      </w:r>
    </w:p>
    <w:p>
      <w:pPr>
        <w:spacing w:after="0" w:line="187"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We expect gross margin in 2026 to be relatively flat compared to 2025 across both segments.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41" w:name="page42"/>
    <w:bookmarkEnd w:id="41"/>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right="79" w:firstLine="324"/>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 xml:space="preserve">Research and Development. </w:t>
      </w:r>
      <w:r>
        <w:rPr>
          <w:rFonts w:ascii="Times New Roman" w:cs="Times New Roman" w:eastAsia="Times New Roman" w:hAnsi="Times New Roman"/>
          <w:sz w:val="18"/>
          <w:szCs w:val="18"/>
          <w:color w:val="auto"/>
        </w:rPr>
        <w:t>R&amp;D expenses consist primarily of salaries and related personnel expenses and prototype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costs for the design, development, testing, and enhancement of our products. R&amp;D expenses for the three months ended March 31, 2026 and 2025 were as follows (in thousands, except percentages):</w:t>
      </w:r>
    </w:p>
    <w:p>
      <w:pPr>
        <w:spacing w:after="0" w:line="385"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3040" w:type="dxa"/>
            <w:vAlign w:val="bottom"/>
          </w:tcPr>
          <w:p>
            <w:pPr>
              <w:spacing w:after="0"/>
              <w:rPr>
                <w:sz w:val="13"/>
                <w:szCs w:val="13"/>
                <w:color w:val="auto"/>
              </w:rPr>
            </w:pPr>
          </w:p>
        </w:tc>
        <w:tc>
          <w:tcPr>
            <w:tcW w:w="16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vMerge w:val="restart"/>
          </w:tcPr>
          <w:p>
            <w:pPr>
              <w:jc w:val="center"/>
              <w:ind w:right="62"/>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vMerge w:val="restart"/>
          </w:tcPr>
          <w:p>
            <w:pPr>
              <w:jc w:val="center"/>
              <w:ind w:right="62"/>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1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60" w:type="dxa"/>
            <w:vAlign w:val="bottom"/>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rPr>
              <w:t>Increase</w:t>
            </w:r>
          </w:p>
        </w:tc>
        <w:tc>
          <w:tcPr>
            <w:tcW w:w="5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3"/>
        </w:trPr>
        <w:tc>
          <w:tcPr>
            <w:tcW w:w="3040" w:type="dxa"/>
            <w:vAlign w:val="bottom"/>
          </w:tcPr>
          <w:p>
            <w:pPr>
              <w:spacing w:after="0"/>
              <w:rPr>
                <w:sz w:val="15"/>
                <w:szCs w:val="15"/>
                <w:color w:val="auto"/>
              </w:rPr>
            </w:pPr>
          </w:p>
        </w:tc>
        <w:tc>
          <w:tcPr>
            <w:tcW w:w="16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vMerge w:val="continue"/>
          </w:tcPr>
          <w:p>
            <w:pPr>
              <w:spacing w:after="0"/>
              <w:rPr>
                <w:sz w:val="15"/>
                <w:szCs w:val="15"/>
                <w:color w:val="auto"/>
              </w:rPr>
            </w:pP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vMerge w:val="continue"/>
          </w:tcPr>
          <w:p>
            <w:pPr>
              <w:spacing w:after="0"/>
              <w:rPr>
                <w:sz w:val="15"/>
                <w:szCs w:val="15"/>
                <w:color w:val="auto"/>
              </w:rPr>
            </w:pPr>
          </w:p>
        </w:tc>
        <w:tc>
          <w:tcPr>
            <w:tcW w:w="1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800" w:type="dxa"/>
            <w:vAlign w:val="bottom"/>
            <w:gridSpan w:val="6"/>
          </w:tcPr>
          <w:p>
            <w:pPr>
              <w:jc w:val="center"/>
              <w:ind w:right="350"/>
              <w:spacing w:after="0"/>
              <w:rPr>
                <w:sz w:val="20"/>
                <w:szCs w:val="20"/>
                <w:color w:val="auto"/>
              </w:rPr>
            </w:pPr>
            <w:r>
              <w:rPr>
                <w:rFonts w:ascii="Times New Roman" w:cs="Times New Roman" w:eastAsia="Times New Roman" w:hAnsi="Times New Roman"/>
                <w:sz w:val="14"/>
                <w:szCs w:val="14"/>
                <w:b w:val="1"/>
                <w:bCs w:val="1"/>
                <w:color w:val="auto"/>
              </w:rPr>
              <w:t>from prior year</w:t>
            </w:r>
          </w:p>
        </w:tc>
        <w:tc>
          <w:tcPr>
            <w:tcW w:w="0" w:type="dxa"/>
            <w:vAlign w:val="bottom"/>
          </w:tcPr>
          <w:p>
            <w:pPr>
              <w:spacing w:after="0"/>
              <w:rPr>
                <w:sz w:val="1"/>
                <w:szCs w:val="1"/>
                <w:color w:val="auto"/>
              </w:rPr>
            </w:pPr>
          </w:p>
        </w:tc>
      </w:tr>
      <w:tr>
        <w:trPr>
          <w:trHeight w:val="142"/>
        </w:trPr>
        <w:tc>
          <w:tcPr>
            <w:tcW w:w="3040" w:type="dxa"/>
            <w:vAlign w:val="bottom"/>
          </w:tcPr>
          <w:p>
            <w:pPr>
              <w:spacing w:after="0"/>
              <w:rPr>
                <w:sz w:val="12"/>
                <w:szCs w:val="12"/>
                <w:color w:val="auto"/>
              </w:rPr>
            </w:pPr>
          </w:p>
        </w:tc>
        <w:tc>
          <w:tcPr>
            <w:tcW w:w="1740" w:type="dxa"/>
            <w:vAlign w:val="bottom"/>
            <w:gridSpan w:val="2"/>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800" w:type="dxa"/>
            <w:vAlign w:val="bottom"/>
          </w:tcPr>
          <w:p>
            <w:pPr>
              <w:jc w:val="right"/>
              <w:ind w:right="222"/>
              <w:spacing w:after="0" w:line="142" w:lineRule="exact"/>
              <w:rPr>
                <w:sz w:val="20"/>
                <w:szCs w:val="20"/>
                <w:color w:val="auto"/>
              </w:rPr>
            </w:pPr>
            <w:r>
              <w:rPr>
                <w:rFonts w:ascii="Times New Roman" w:cs="Times New Roman" w:eastAsia="Times New Roman" w:hAnsi="Times New Roman"/>
                <w:sz w:val="14"/>
                <w:szCs w:val="14"/>
                <w:b w:val="1"/>
                <w:bCs w:val="1"/>
                <w:color w:val="auto"/>
              </w:rPr>
              <w:t>2026</w:t>
            </w:r>
          </w:p>
        </w:tc>
        <w:tc>
          <w:tcPr>
            <w:tcW w:w="280" w:type="dxa"/>
            <w:vAlign w:val="bottom"/>
            <w:gridSpan w:val="2"/>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800" w:type="dxa"/>
            <w:vAlign w:val="bottom"/>
          </w:tcPr>
          <w:p>
            <w:pPr>
              <w:jc w:val="right"/>
              <w:ind w:right="222"/>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180" w:type="dxa"/>
            <w:vAlign w:val="bottom"/>
          </w:tcPr>
          <w:p>
            <w:pPr>
              <w:ind w:left="80"/>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260" w:type="dxa"/>
            <w:vAlign w:val="bottom"/>
            <w:tcBorders>
              <w:top w:val="single" w:sz="8" w:color="auto"/>
            </w:tcBorders>
          </w:tcPr>
          <w:p>
            <w:pPr>
              <w:spacing w:after="0"/>
              <w:rPr>
                <w:sz w:val="12"/>
                <w:szCs w:val="12"/>
                <w:color w:val="auto"/>
              </w:rPr>
            </w:pPr>
          </w:p>
        </w:tc>
        <w:tc>
          <w:tcPr>
            <w:tcW w:w="280" w:type="dxa"/>
            <w:vAlign w:val="bottom"/>
            <w:tcBorders>
              <w:top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360" w:type="dxa"/>
            <w:vAlign w:val="bottom"/>
            <w:tcBorders>
              <w:top w:val="single" w:sz="8" w:color="auto"/>
            </w:tcBorders>
          </w:tcPr>
          <w:p>
            <w:pPr>
              <w:spacing w:after="0"/>
              <w:rPr>
                <w:sz w:val="12"/>
                <w:szCs w:val="12"/>
                <w:color w:val="auto"/>
              </w:rPr>
            </w:pPr>
          </w:p>
        </w:tc>
        <w:tc>
          <w:tcPr>
            <w:tcW w:w="400" w:type="dxa"/>
            <w:vAlign w:val="bottom"/>
            <w:tcBorders>
              <w:top w:val="single" w:sz="8" w:color="auto"/>
            </w:tcBorders>
            <w:gridSpan w:val="2"/>
          </w:tcPr>
          <w:p>
            <w:pPr>
              <w:ind w:left="100"/>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580" w:type="dxa"/>
            <w:vAlign w:val="bottom"/>
            <w:tcBorders>
              <w:top w:val="single" w:sz="8" w:color="auto"/>
            </w:tcBorders>
          </w:tcPr>
          <w:p>
            <w:pPr>
              <w:jc w:val="right"/>
              <w:ind w:right="279"/>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30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Three months ended</w:t>
            </w:r>
          </w:p>
        </w:tc>
        <w:tc>
          <w:tcPr>
            <w:tcW w:w="16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44,445</w:t>
            </w:r>
          </w:p>
        </w:tc>
        <w:tc>
          <w:tcPr>
            <w:tcW w:w="1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43,568</w:t>
            </w:r>
          </w:p>
        </w:tc>
        <w:tc>
          <w:tcPr>
            <w:tcW w:w="18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280" w:type="dxa"/>
            <w:vAlign w:val="bottom"/>
            <w:tcBorders>
              <w:top w:val="single" w:sz="8" w:color="auto"/>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877</w:t>
            </w:r>
          </w:p>
        </w:tc>
        <w:tc>
          <w:tcPr>
            <w:tcW w:w="2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18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3"/>
              </w:rPr>
              <w:t>%</w:t>
            </w:r>
          </w:p>
        </w:tc>
        <w:tc>
          <w:tcPr>
            <w:tcW w:w="0" w:type="dxa"/>
            <w:vAlign w:val="bottom"/>
          </w:tcPr>
          <w:p>
            <w:pPr>
              <w:spacing w:after="0"/>
              <w:rPr>
                <w:sz w:val="1"/>
                <w:szCs w:val="1"/>
                <w:color w:val="auto"/>
              </w:rPr>
            </w:pPr>
          </w:p>
        </w:tc>
      </w:tr>
    </w:tbl>
    <w:p>
      <w:pPr>
        <w:spacing w:after="0" w:line="198" w:lineRule="exact"/>
        <w:rPr>
          <w:sz w:val="20"/>
          <w:szCs w:val="20"/>
          <w:color w:val="auto"/>
        </w:rPr>
      </w:pPr>
    </w:p>
    <w:p>
      <w:pPr>
        <w:ind w:left="60" w:right="99" w:firstLine="324"/>
        <w:spacing w:after="0" w:line="220" w:lineRule="exact"/>
        <w:rPr>
          <w:sz w:val="20"/>
          <w:szCs w:val="20"/>
          <w:color w:val="auto"/>
        </w:rPr>
      </w:pPr>
      <w:r>
        <w:rPr>
          <w:rFonts w:ascii="Times New Roman" w:cs="Times New Roman" w:eastAsia="Times New Roman" w:hAnsi="Times New Roman"/>
          <w:sz w:val="18"/>
          <w:szCs w:val="18"/>
          <w:color w:val="auto"/>
        </w:rPr>
        <w:t>The increase in our R&amp;D expenses in the three months ended March 31, 2026 compared to the three months ended March 31, 2025 was primarily attributable to our Cloud and Edge segment. The increase in R&amp;D expenses was primarily driven by higher employee-related costs, including the impact of increased non</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U.S. expenses associated with a weakening dollar.</w:t>
      </w:r>
    </w:p>
    <w:p>
      <w:pPr>
        <w:spacing w:after="0" w:line="200" w:lineRule="exact"/>
        <w:rPr>
          <w:sz w:val="20"/>
          <w:szCs w:val="20"/>
          <w:color w:val="auto"/>
        </w:rPr>
      </w:pPr>
    </w:p>
    <w:p>
      <w:pPr>
        <w:ind w:left="60" w:right="199" w:firstLine="324"/>
        <w:spacing w:after="0" w:line="266" w:lineRule="auto"/>
        <w:rPr>
          <w:sz w:val="20"/>
          <w:szCs w:val="20"/>
          <w:color w:val="auto"/>
        </w:rPr>
      </w:pPr>
      <w:r>
        <w:rPr>
          <w:rFonts w:ascii="Times New Roman" w:cs="Times New Roman" w:eastAsia="Times New Roman" w:hAnsi="Times New Roman"/>
          <w:sz w:val="18"/>
          <w:szCs w:val="18"/>
          <w:color w:val="auto"/>
        </w:rPr>
        <w:t>Our IP Optical Networks R&amp;D investment is focused on expanding our portfolio of IP Routing solutions, adding additional features and capabilities to our Optical Transport portfolio, and supporting features in our next generation SDN management and orchestration platform.</w:t>
      </w:r>
    </w:p>
    <w:p>
      <w:pPr>
        <w:spacing w:after="0" w:line="176" w:lineRule="exact"/>
        <w:rPr>
          <w:sz w:val="20"/>
          <w:szCs w:val="20"/>
          <w:color w:val="auto"/>
        </w:rPr>
      </w:pPr>
    </w:p>
    <w:p>
      <w:pPr>
        <w:ind w:left="60" w:right="239" w:firstLine="324"/>
        <w:spacing w:after="0" w:line="266" w:lineRule="auto"/>
        <w:rPr>
          <w:sz w:val="20"/>
          <w:szCs w:val="20"/>
          <w:color w:val="auto"/>
        </w:rPr>
      </w:pPr>
      <w:r>
        <w:rPr>
          <w:rFonts w:ascii="Times New Roman" w:cs="Times New Roman" w:eastAsia="Times New Roman" w:hAnsi="Times New Roman"/>
          <w:sz w:val="18"/>
          <w:szCs w:val="18"/>
          <w:color w:val="auto"/>
        </w:rPr>
        <w:t>Some aspects of our R&amp;D efforts require significant short-term expenditures, the timing of which may cause significant variability in our expenses. We believe that rapid technological innovation is critical to our long-term success, and we are tailoring our investments to meet the requirements of our customers and market.</w:t>
      </w:r>
    </w:p>
    <w:p>
      <w:pPr>
        <w:spacing w:after="0" w:line="176" w:lineRule="exact"/>
        <w:rPr>
          <w:sz w:val="20"/>
          <w:szCs w:val="20"/>
          <w:color w:val="auto"/>
        </w:rPr>
      </w:pPr>
    </w:p>
    <w:p>
      <w:pPr>
        <w:ind w:left="60" w:right="119" w:firstLine="324"/>
        <w:spacing w:after="0" w:line="282" w:lineRule="auto"/>
        <w:rPr>
          <w:sz w:val="20"/>
          <w:szCs w:val="20"/>
          <w:color w:val="auto"/>
        </w:rPr>
      </w:pPr>
      <w:r>
        <w:rPr>
          <w:rFonts w:ascii="Times New Roman" w:cs="Times New Roman" w:eastAsia="Times New Roman" w:hAnsi="Times New Roman"/>
          <w:sz w:val="18"/>
          <w:szCs w:val="18"/>
          <w:color w:val="auto"/>
        </w:rPr>
        <w:t>We expect that our R&amp;D expenses will increase in 2026 primarily due to higher employee and consulting costs related to supporting certain legacy products and development of our cloud-native solutions.</w:t>
      </w:r>
    </w:p>
    <w:p>
      <w:pPr>
        <w:spacing w:after="0" w:line="158" w:lineRule="exact"/>
        <w:rPr>
          <w:sz w:val="20"/>
          <w:szCs w:val="20"/>
          <w:color w:val="auto"/>
        </w:rPr>
      </w:pPr>
    </w:p>
    <w:p>
      <w:pPr>
        <w:ind w:left="60" w:right="139" w:firstLine="324"/>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 xml:space="preserve">Sales and Marketing Expenses. </w:t>
      </w:r>
      <w:r>
        <w:rPr>
          <w:rFonts w:ascii="Times New Roman" w:cs="Times New Roman" w:eastAsia="Times New Roman" w:hAnsi="Times New Roman"/>
          <w:sz w:val="18"/>
          <w:szCs w:val="18"/>
          <w:color w:val="auto"/>
        </w:rPr>
        <w:t>Sales and marketing expenses consist primarily of salaries and related personnel</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costs, commissions, travel and entertainment expenses, promotions, customer trial and evaluations inventory and other marketing and sales support expenses. Sales and marketing expenses for the three months ended March 31, 2026 and 2025 were as follows (in thousands, except percentages):</w:t>
      </w:r>
    </w:p>
    <w:p>
      <w:pPr>
        <w:spacing w:after="0" w:line="175"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3040" w:type="dxa"/>
            <w:vAlign w:val="bottom"/>
          </w:tcPr>
          <w:p>
            <w:pPr>
              <w:spacing w:after="0"/>
              <w:rPr>
                <w:sz w:val="13"/>
                <w:szCs w:val="13"/>
                <w:color w:val="auto"/>
              </w:rPr>
            </w:pPr>
          </w:p>
        </w:tc>
        <w:tc>
          <w:tcPr>
            <w:tcW w:w="16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vMerge w:val="restart"/>
          </w:tcPr>
          <w:p>
            <w:pPr>
              <w:jc w:val="center"/>
              <w:ind w:right="62"/>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vMerge w:val="restart"/>
          </w:tcPr>
          <w:p>
            <w:pPr>
              <w:jc w:val="center"/>
              <w:ind w:right="62"/>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1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80" w:type="dxa"/>
            <w:vAlign w:val="bottom"/>
            <w:gridSpan w:val="3"/>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Increase</w:t>
            </w:r>
          </w:p>
        </w:tc>
        <w:tc>
          <w:tcPr>
            <w:tcW w:w="4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3"/>
        </w:trPr>
        <w:tc>
          <w:tcPr>
            <w:tcW w:w="3040" w:type="dxa"/>
            <w:vAlign w:val="bottom"/>
          </w:tcPr>
          <w:p>
            <w:pPr>
              <w:spacing w:after="0"/>
              <w:rPr>
                <w:sz w:val="15"/>
                <w:szCs w:val="15"/>
                <w:color w:val="auto"/>
              </w:rPr>
            </w:pPr>
          </w:p>
        </w:tc>
        <w:tc>
          <w:tcPr>
            <w:tcW w:w="16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vMerge w:val="continue"/>
          </w:tcPr>
          <w:p>
            <w:pPr>
              <w:spacing w:after="0"/>
              <w:rPr>
                <w:sz w:val="15"/>
                <w:szCs w:val="15"/>
                <w:color w:val="auto"/>
              </w:rPr>
            </w:pP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vMerge w:val="continue"/>
          </w:tcPr>
          <w:p>
            <w:pPr>
              <w:spacing w:after="0"/>
              <w:rPr>
                <w:sz w:val="15"/>
                <w:szCs w:val="15"/>
                <w:color w:val="auto"/>
              </w:rPr>
            </w:pPr>
          </w:p>
        </w:tc>
        <w:tc>
          <w:tcPr>
            <w:tcW w:w="18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gridSpan w:val="4"/>
          </w:tcPr>
          <w:p>
            <w:pPr>
              <w:jc w:val="center"/>
              <w:ind w:left="88"/>
              <w:spacing w:after="0"/>
              <w:rPr>
                <w:sz w:val="20"/>
                <w:szCs w:val="20"/>
                <w:color w:val="auto"/>
              </w:rPr>
            </w:pPr>
            <w:r>
              <w:rPr>
                <w:rFonts w:ascii="Times New Roman" w:cs="Times New Roman" w:eastAsia="Times New Roman" w:hAnsi="Times New Roman"/>
                <w:sz w:val="14"/>
                <w:szCs w:val="14"/>
                <w:b w:val="1"/>
                <w:bCs w:val="1"/>
                <w:color w:val="auto"/>
              </w:rPr>
              <w:t>from prior year</w:t>
            </w:r>
          </w:p>
        </w:tc>
        <w:tc>
          <w:tcPr>
            <w:tcW w:w="460" w:type="dxa"/>
            <w:vAlign w:val="bottom"/>
            <w:tcBorders>
              <w:bottom w:val="single" w:sz="8" w:color="auto"/>
            </w:tcBorders>
          </w:tcPr>
          <w:p>
            <w:pPr>
              <w:spacing w:after="0"/>
              <w:rPr>
                <w:sz w:val="15"/>
                <w:szCs w:val="15"/>
                <w:color w:val="auto"/>
              </w:rPr>
            </w:pPr>
          </w:p>
        </w:tc>
        <w:tc>
          <w:tcPr>
            <w:tcW w:w="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3040" w:type="dxa"/>
            <w:vAlign w:val="bottom"/>
          </w:tcPr>
          <w:p>
            <w:pPr>
              <w:spacing w:after="0"/>
              <w:rPr>
                <w:sz w:val="12"/>
                <w:szCs w:val="12"/>
                <w:color w:val="auto"/>
              </w:rPr>
            </w:pPr>
          </w:p>
        </w:tc>
        <w:tc>
          <w:tcPr>
            <w:tcW w:w="1740" w:type="dxa"/>
            <w:vAlign w:val="bottom"/>
            <w:gridSpan w:val="2"/>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800" w:type="dxa"/>
            <w:vAlign w:val="bottom"/>
          </w:tcPr>
          <w:p>
            <w:pPr>
              <w:jc w:val="right"/>
              <w:ind w:right="222"/>
              <w:spacing w:after="0" w:line="142" w:lineRule="exact"/>
              <w:rPr>
                <w:sz w:val="20"/>
                <w:szCs w:val="20"/>
                <w:color w:val="auto"/>
              </w:rPr>
            </w:pPr>
            <w:r>
              <w:rPr>
                <w:rFonts w:ascii="Times New Roman" w:cs="Times New Roman" w:eastAsia="Times New Roman" w:hAnsi="Times New Roman"/>
                <w:sz w:val="14"/>
                <w:szCs w:val="14"/>
                <w:b w:val="1"/>
                <w:bCs w:val="1"/>
                <w:color w:val="auto"/>
              </w:rPr>
              <w:t>2026</w:t>
            </w:r>
          </w:p>
        </w:tc>
        <w:tc>
          <w:tcPr>
            <w:tcW w:w="280" w:type="dxa"/>
            <w:vAlign w:val="bottom"/>
            <w:gridSpan w:val="2"/>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800" w:type="dxa"/>
            <w:vAlign w:val="bottom"/>
          </w:tcPr>
          <w:p>
            <w:pPr>
              <w:jc w:val="right"/>
              <w:ind w:right="222"/>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180" w:type="dxa"/>
            <w:vAlign w:val="bottom"/>
          </w:tcPr>
          <w:p>
            <w:pPr>
              <w:ind w:left="80"/>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260" w:type="dxa"/>
            <w:vAlign w:val="bottom"/>
          </w:tcPr>
          <w:p>
            <w:pPr>
              <w:spacing w:after="0"/>
              <w:rPr>
                <w:sz w:val="12"/>
                <w:szCs w:val="12"/>
                <w:color w:val="auto"/>
              </w:rPr>
            </w:pPr>
          </w:p>
        </w:tc>
        <w:tc>
          <w:tcPr>
            <w:tcW w:w="28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360" w:type="dxa"/>
            <w:vAlign w:val="bottom"/>
          </w:tcPr>
          <w:p>
            <w:pPr>
              <w:spacing w:after="0"/>
              <w:rPr>
                <w:sz w:val="12"/>
                <w:szCs w:val="12"/>
                <w:color w:val="auto"/>
              </w:rPr>
            </w:pPr>
          </w:p>
        </w:tc>
        <w:tc>
          <w:tcPr>
            <w:tcW w:w="520" w:type="dxa"/>
            <w:vAlign w:val="bottom"/>
            <w:gridSpan w:val="2"/>
          </w:tcPr>
          <w:p>
            <w:pPr>
              <w:ind w:left="100"/>
              <w:spacing w:after="0" w:line="142" w:lineRule="exact"/>
              <w:rPr>
                <w:sz w:val="20"/>
                <w:szCs w:val="20"/>
                <w:color w:val="auto"/>
              </w:rPr>
            </w:pPr>
            <w:r>
              <w:rPr>
                <w:rFonts w:ascii="Times New Roman" w:cs="Times New Roman" w:eastAsia="Times New Roman" w:hAnsi="Times New Roman"/>
                <w:sz w:val="14"/>
                <w:szCs w:val="14"/>
                <w:color w:val="auto"/>
              </w:rPr>
              <w:t>​​​</w:t>
            </w:r>
          </w:p>
        </w:tc>
        <w:tc>
          <w:tcPr>
            <w:tcW w:w="460" w:type="dxa"/>
            <w:vAlign w:val="bottom"/>
          </w:tcPr>
          <w:p>
            <w:pPr>
              <w:jc w:val="right"/>
              <w:ind w:right="239"/>
              <w:spacing w:after="0" w:line="142" w:lineRule="exact"/>
              <w:rPr>
                <w:sz w:val="20"/>
                <w:szCs w:val="20"/>
                <w:color w:val="auto"/>
              </w:rPr>
            </w:pPr>
            <w:r>
              <w:rPr>
                <w:rFonts w:ascii="Times New Roman" w:cs="Times New Roman" w:eastAsia="Times New Roman" w:hAnsi="Times New Roman"/>
                <w:sz w:val="14"/>
                <w:szCs w:val="14"/>
                <w:b w:val="1"/>
                <w:bCs w:val="1"/>
                <w:color w:val="auto"/>
                <w:w w:val="85"/>
              </w:rPr>
              <w:t>%</w:t>
            </w: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30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Three months ended</w:t>
            </w:r>
          </w:p>
        </w:tc>
        <w:tc>
          <w:tcPr>
            <w:tcW w:w="16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32,269</w:t>
            </w:r>
          </w:p>
        </w:tc>
        <w:tc>
          <w:tcPr>
            <w:tcW w:w="1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31,788</w:t>
            </w:r>
          </w:p>
        </w:tc>
        <w:tc>
          <w:tcPr>
            <w:tcW w:w="18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280" w:type="dxa"/>
            <w:vAlign w:val="bottom"/>
            <w:tcBorders>
              <w:top w:val="single" w:sz="8" w:color="auto"/>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481</w:t>
            </w:r>
          </w:p>
        </w:tc>
        <w:tc>
          <w:tcPr>
            <w:tcW w:w="20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18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3"/>
              </w:rPr>
              <w:t>%</w:t>
            </w:r>
          </w:p>
        </w:tc>
        <w:tc>
          <w:tcPr>
            <w:tcW w:w="0" w:type="dxa"/>
            <w:vAlign w:val="bottom"/>
          </w:tcPr>
          <w:p>
            <w:pPr>
              <w:spacing w:after="0"/>
              <w:rPr>
                <w:sz w:val="1"/>
                <w:szCs w:val="1"/>
                <w:color w:val="auto"/>
              </w:rPr>
            </w:pPr>
          </w:p>
        </w:tc>
      </w:tr>
    </w:tbl>
    <w:p>
      <w:pPr>
        <w:spacing w:after="0" w:line="198" w:lineRule="exact"/>
        <w:rPr>
          <w:sz w:val="20"/>
          <w:szCs w:val="20"/>
          <w:color w:val="auto"/>
        </w:rPr>
      </w:pPr>
    </w:p>
    <w:p>
      <w:pPr>
        <w:ind w:left="60" w:right="199" w:firstLine="324"/>
        <w:spacing w:after="0" w:line="282" w:lineRule="auto"/>
        <w:rPr>
          <w:sz w:val="20"/>
          <w:szCs w:val="20"/>
          <w:color w:val="auto"/>
        </w:rPr>
      </w:pPr>
      <w:r>
        <w:rPr>
          <w:rFonts w:ascii="Times New Roman" w:cs="Times New Roman" w:eastAsia="Times New Roman" w:hAnsi="Times New Roman"/>
          <w:sz w:val="18"/>
          <w:szCs w:val="18"/>
          <w:color w:val="auto"/>
        </w:rPr>
        <w:t>Sales and marketing expenses in the three months ended March 31, 2026 were relatively flat as compared to the three months ended March 31, 2025.</w:t>
      </w:r>
    </w:p>
    <w:p>
      <w:pPr>
        <w:spacing w:after="0" w:line="162" w:lineRule="exact"/>
        <w:rPr>
          <w:sz w:val="20"/>
          <w:szCs w:val="20"/>
          <w:color w:val="auto"/>
        </w:rPr>
      </w:pPr>
    </w:p>
    <w:p>
      <w:pPr>
        <w:ind w:left="60" w:right="199" w:firstLine="324"/>
        <w:spacing w:after="0" w:line="282" w:lineRule="auto"/>
        <w:rPr>
          <w:sz w:val="20"/>
          <w:szCs w:val="20"/>
          <w:color w:val="auto"/>
        </w:rPr>
      </w:pPr>
      <w:r>
        <w:rPr>
          <w:rFonts w:ascii="Times New Roman" w:cs="Times New Roman" w:eastAsia="Times New Roman" w:hAnsi="Times New Roman"/>
          <w:sz w:val="18"/>
          <w:szCs w:val="18"/>
          <w:color w:val="auto"/>
        </w:rPr>
        <w:t>We expect sales and marketing expenses will remain relatively flat in 2026 compared to 2025, with higher employee-related variable compensation expenses, partially driven by a weakening dollar, offset by cost efficiencies.</w:t>
      </w:r>
    </w:p>
    <w:p>
      <w:pPr>
        <w:spacing w:after="0" w:line="158" w:lineRule="exact"/>
        <w:rPr>
          <w:sz w:val="20"/>
          <w:szCs w:val="20"/>
          <w:color w:val="auto"/>
        </w:rPr>
      </w:pPr>
    </w:p>
    <w:p>
      <w:pPr>
        <w:ind w:left="60" w:right="239" w:firstLine="324"/>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 xml:space="preserve">General and Administrative Expenses. </w:t>
      </w:r>
      <w:r>
        <w:rPr>
          <w:rFonts w:ascii="Times New Roman" w:cs="Times New Roman" w:eastAsia="Times New Roman" w:hAnsi="Times New Roman"/>
          <w:sz w:val="18"/>
          <w:szCs w:val="18"/>
          <w:color w:val="auto"/>
        </w:rPr>
        <w:t>General and administrative expenses consist primarily of salaries and related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personnel costs for executive and administrative personnel, and audit, legal and other professional fees. General and administrative expenses for the three months ended March 31, 2026 and 2025 were as follows (in thousands, except percentages):</w:t>
      </w:r>
    </w:p>
    <w:p>
      <w:pPr>
        <w:spacing w:after="0" w:line="175"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3040" w:type="dxa"/>
            <w:vAlign w:val="bottom"/>
          </w:tcPr>
          <w:p>
            <w:pPr>
              <w:spacing w:after="0"/>
              <w:rPr>
                <w:sz w:val="13"/>
                <w:szCs w:val="13"/>
                <w:color w:val="auto"/>
              </w:rPr>
            </w:pPr>
          </w:p>
        </w:tc>
        <w:tc>
          <w:tcPr>
            <w:tcW w:w="16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vMerge w:val="restart"/>
          </w:tcPr>
          <w:p>
            <w:pPr>
              <w:jc w:val="center"/>
              <w:ind w:right="62"/>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vMerge w:val="restart"/>
          </w:tcPr>
          <w:p>
            <w:pPr>
              <w:jc w:val="center"/>
              <w:ind w:right="62"/>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1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720" w:type="dxa"/>
            <w:vAlign w:val="bottom"/>
            <w:gridSpan w:val="3"/>
          </w:tcPr>
          <w:p>
            <w:pPr>
              <w:ind w:left="100"/>
              <w:spacing w:after="0"/>
              <w:rPr>
                <w:sz w:val="20"/>
                <w:szCs w:val="20"/>
                <w:color w:val="auto"/>
              </w:rPr>
            </w:pPr>
            <w:r>
              <w:rPr>
                <w:rFonts w:ascii="Times New Roman" w:cs="Times New Roman" w:eastAsia="Times New Roman" w:hAnsi="Times New Roman"/>
                <w:sz w:val="14"/>
                <w:szCs w:val="14"/>
                <w:b w:val="1"/>
                <w:bCs w:val="1"/>
                <w:color w:val="auto"/>
              </w:rPr>
              <w:t>Increase</w:t>
            </w:r>
          </w:p>
        </w:tc>
        <w:tc>
          <w:tcPr>
            <w:tcW w:w="5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3"/>
        </w:trPr>
        <w:tc>
          <w:tcPr>
            <w:tcW w:w="3040" w:type="dxa"/>
            <w:vAlign w:val="bottom"/>
          </w:tcPr>
          <w:p>
            <w:pPr>
              <w:spacing w:after="0"/>
              <w:rPr>
                <w:sz w:val="15"/>
                <w:szCs w:val="15"/>
                <w:color w:val="auto"/>
              </w:rPr>
            </w:pPr>
          </w:p>
        </w:tc>
        <w:tc>
          <w:tcPr>
            <w:tcW w:w="16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vMerge w:val="continue"/>
          </w:tcPr>
          <w:p>
            <w:pPr>
              <w:spacing w:after="0"/>
              <w:rPr>
                <w:sz w:val="15"/>
                <w:szCs w:val="15"/>
                <w:color w:val="auto"/>
              </w:rPr>
            </w:pP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vMerge w:val="continue"/>
          </w:tcPr>
          <w:p>
            <w:pPr>
              <w:spacing w:after="0"/>
              <w:rPr>
                <w:sz w:val="15"/>
                <w:szCs w:val="15"/>
                <w:color w:val="auto"/>
              </w:rPr>
            </w:pPr>
          </w:p>
        </w:tc>
        <w:tc>
          <w:tcPr>
            <w:tcW w:w="1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800" w:type="dxa"/>
            <w:vAlign w:val="bottom"/>
            <w:gridSpan w:val="6"/>
          </w:tcPr>
          <w:p>
            <w:pPr>
              <w:ind w:left="200"/>
              <w:spacing w:after="0"/>
              <w:rPr>
                <w:sz w:val="20"/>
                <w:szCs w:val="20"/>
                <w:color w:val="auto"/>
              </w:rPr>
            </w:pPr>
            <w:r>
              <w:rPr>
                <w:rFonts w:ascii="Times New Roman" w:cs="Times New Roman" w:eastAsia="Times New Roman" w:hAnsi="Times New Roman"/>
                <w:sz w:val="14"/>
                <w:szCs w:val="14"/>
                <w:b w:val="1"/>
                <w:bCs w:val="1"/>
                <w:color w:val="auto"/>
              </w:rPr>
              <w:t>from prior year</w:t>
            </w:r>
          </w:p>
        </w:tc>
        <w:tc>
          <w:tcPr>
            <w:tcW w:w="0" w:type="dxa"/>
            <w:vAlign w:val="bottom"/>
          </w:tcPr>
          <w:p>
            <w:pPr>
              <w:spacing w:after="0"/>
              <w:rPr>
                <w:sz w:val="1"/>
                <w:szCs w:val="1"/>
                <w:color w:val="auto"/>
              </w:rPr>
            </w:pPr>
          </w:p>
        </w:tc>
      </w:tr>
      <w:tr>
        <w:trPr>
          <w:trHeight w:val="142"/>
        </w:trPr>
        <w:tc>
          <w:tcPr>
            <w:tcW w:w="3040" w:type="dxa"/>
            <w:vAlign w:val="bottom"/>
          </w:tcPr>
          <w:p>
            <w:pPr>
              <w:spacing w:after="0"/>
              <w:rPr>
                <w:sz w:val="12"/>
                <w:szCs w:val="12"/>
                <w:color w:val="auto"/>
              </w:rPr>
            </w:pPr>
          </w:p>
        </w:tc>
        <w:tc>
          <w:tcPr>
            <w:tcW w:w="1740" w:type="dxa"/>
            <w:vAlign w:val="bottom"/>
            <w:gridSpan w:val="2"/>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800" w:type="dxa"/>
            <w:vAlign w:val="bottom"/>
          </w:tcPr>
          <w:p>
            <w:pPr>
              <w:jc w:val="right"/>
              <w:ind w:right="222"/>
              <w:spacing w:after="0" w:line="142" w:lineRule="exact"/>
              <w:rPr>
                <w:sz w:val="20"/>
                <w:szCs w:val="20"/>
                <w:color w:val="auto"/>
              </w:rPr>
            </w:pPr>
            <w:r>
              <w:rPr>
                <w:rFonts w:ascii="Times New Roman" w:cs="Times New Roman" w:eastAsia="Times New Roman" w:hAnsi="Times New Roman"/>
                <w:sz w:val="14"/>
                <w:szCs w:val="14"/>
                <w:b w:val="1"/>
                <w:bCs w:val="1"/>
                <w:color w:val="auto"/>
              </w:rPr>
              <w:t>2026</w:t>
            </w:r>
          </w:p>
        </w:tc>
        <w:tc>
          <w:tcPr>
            <w:tcW w:w="280" w:type="dxa"/>
            <w:vAlign w:val="bottom"/>
            <w:gridSpan w:val="2"/>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800" w:type="dxa"/>
            <w:vAlign w:val="bottom"/>
          </w:tcPr>
          <w:p>
            <w:pPr>
              <w:jc w:val="right"/>
              <w:ind w:right="222"/>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180" w:type="dxa"/>
            <w:vAlign w:val="bottom"/>
          </w:tcPr>
          <w:p>
            <w:pPr>
              <w:ind w:left="80"/>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260" w:type="dxa"/>
            <w:vAlign w:val="bottom"/>
            <w:tcBorders>
              <w:top w:val="single" w:sz="8" w:color="auto"/>
            </w:tcBorders>
          </w:tcPr>
          <w:p>
            <w:pPr>
              <w:spacing w:after="0"/>
              <w:rPr>
                <w:sz w:val="12"/>
                <w:szCs w:val="12"/>
                <w:color w:val="auto"/>
              </w:rPr>
            </w:pPr>
          </w:p>
        </w:tc>
        <w:tc>
          <w:tcPr>
            <w:tcW w:w="320" w:type="dxa"/>
            <w:vAlign w:val="bottom"/>
            <w:tcBorders>
              <w:top w:val="single" w:sz="8" w:color="auto"/>
            </w:tcBorders>
          </w:tcPr>
          <w:p>
            <w:pPr>
              <w:jc w:val="right"/>
              <w:ind w:right="22"/>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320" w:type="dxa"/>
            <w:vAlign w:val="bottom"/>
            <w:tcBorders>
              <w:top w:val="single" w:sz="8" w:color="auto"/>
            </w:tcBorders>
          </w:tcPr>
          <w:p>
            <w:pPr>
              <w:spacing w:after="0"/>
              <w:rPr>
                <w:sz w:val="12"/>
                <w:szCs w:val="12"/>
                <w:color w:val="auto"/>
              </w:rPr>
            </w:pPr>
          </w:p>
        </w:tc>
        <w:tc>
          <w:tcPr>
            <w:tcW w:w="400" w:type="dxa"/>
            <w:vAlign w:val="bottom"/>
            <w:tcBorders>
              <w:top w:val="single" w:sz="8" w:color="auto"/>
            </w:tcBorders>
            <w:gridSpan w:val="2"/>
          </w:tcPr>
          <w:p>
            <w:pPr>
              <w:ind w:left="100"/>
              <w:spacing w:after="0" w:line="142" w:lineRule="exact"/>
              <w:rPr>
                <w:sz w:val="20"/>
                <w:szCs w:val="20"/>
                <w:color w:val="auto"/>
              </w:rPr>
            </w:pPr>
            <w:r>
              <w:rPr>
                <w:rFonts w:ascii="Times New Roman" w:cs="Times New Roman" w:eastAsia="Times New Roman" w:hAnsi="Times New Roman"/>
                <w:sz w:val="14"/>
                <w:szCs w:val="14"/>
                <w:color w:val="auto"/>
              </w:rPr>
              <w:t>​​​</w:t>
            </w:r>
          </w:p>
        </w:tc>
        <w:tc>
          <w:tcPr>
            <w:tcW w:w="580" w:type="dxa"/>
            <w:vAlign w:val="bottom"/>
            <w:tcBorders>
              <w:top w:val="single" w:sz="8" w:color="auto"/>
            </w:tcBorders>
          </w:tcPr>
          <w:p>
            <w:pPr>
              <w:jc w:val="right"/>
              <w:ind w:right="279"/>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30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Three months ended</w:t>
            </w:r>
          </w:p>
        </w:tc>
        <w:tc>
          <w:tcPr>
            <w:tcW w:w="16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16,978</w:t>
            </w:r>
          </w:p>
        </w:tc>
        <w:tc>
          <w:tcPr>
            <w:tcW w:w="1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15,128</w:t>
            </w:r>
          </w:p>
        </w:tc>
        <w:tc>
          <w:tcPr>
            <w:tcW w:w="18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Borders>
              <w:top w:val="single" w:sz="8" w:color="auto"/>
            </w:tcBorders>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1,850</w:t>
            </w:r>
          </w:p>
        </w:tc>
        <w:tc>
          <w:tcPr>
            <w:tcW w:w="2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w:t>
            </w:r>
          </w:p>
        </w:tc>
        <w:tc>
          <w:tcPr>
            <w:tcW w:w="18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3"/>
              </w:rPr>
              <w:t>%</w:t>
            </w:r>
          </w:p>
        </w:tc>
        <w:tc>
          <w:tcPr>
            <w:tcW w:w="0" w:type="dxa"/>
            <w:vAlign w:val="bottom"/>
          </w:tcPr>
          <w:p>
            <w:pPr>
              <w:spacing w:after="0"/>
              <w:rPr>
                <w:sz w:val="1"/>
                <w:szCs w:val="1"/>
                <w:color w:val="auto"/>
              </w:rPr>
            </w:pPr>
          </w:p>
        </w:tc>
      </w:tr>
    </w:tbl>
    <w:p>
      <w:pPr>
        <w:spacing w:after="0" w:line="198" w:lineRule="exact"/>
        <w:rPr>
          <w:sz w:val="20"/>
          <w:szCs w:val="20"/>
          <w:color w:val="auto"/>
        </w:rPr>
      </w:pPr>
    </w:p>
    <w:p>
      <w:pPr>
        <w:ind w:left="60" w:right="199" w:firstLine="324"/>
        <w:spacing w:after="0" w:line="282" w:lineRule="auto"/>
        <w:rPr>
          <w:sz w:val="20"/>
          <w:szCs w:val="20"/>
          <w:color w:val="auto"/>
        </w:rPr>
      </w:pPr>
      <w:r>
        <w:rPr>
          <w:rFonts w:ascii="Times New Roman" w:cs="Times New Roman" w:eastAsia="Times New Roman" w:hAnsi="Times New Roman"/>
          <w:sz w:val="18"/>
          <w:szCs w:val="18"/>
          <w:color w:val="auto"/>
        </w:rPr>
        <w:t>The increase in general and administrative expenses in the three months ended March 31, 2026 compared to the three months ended March 31, 2025 was primarily attributable to higher stock compensation expense.</w:t>
      </w:r>
    </w:p>
    <w:p>
      <w:pPr>
        <w:sectPr>
          <w:pgSz w:w="11900" w:h="16838" w:orient="portrait"/>
          <w:cols w:equalWidth="0" w:num="1">
            <w:col w:w="9019"/>
          </w:cols>
          <w:pgMar w:left="1440" w:top="513" w:right="1440" w:bottom="1440" w:gutter="0" w:footer="0" w:header="0"/>
        </w:sectPr>
      </w:pP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42" w:name="page43"/>
    <w:bookmarkEnd w:id="42"/>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99" w:firstLine="324"/>
        <w:spacing w:after="0" w:line="266" w:lineRule="auto"/>
        <w:rPr>
          <w:sz w:val="20"/>
          <w:szCs w:val="20"/>
          <w:color w:val="auto"/>
        </w:rPr>
      </w:pPr>
      <w:r>
        <w:rPr>
          <w:rFonts w:ascii="Times New Roman" w:cs="Times New Roman" w:eastAsia="Times New Roman" w:hAnsi="Times New Roman"/>
          <w:sz w:val="18"/>
          <w:szCs w:val="18"/>
          <w:color w:val="auto"/>
        </w:rPr>
        <w:t>We expect that our general and administrative expenses will increase modestly in 2026 as compared to 2025, primarily due to higher employee-related variable compensation associated with stock-based compensation expenses, partially offset by continued cost efficiencies.</w:t>
      </w:r>
    </w:p>
    <w:p>
      <w:pPr>
        <w:spacing w:after="0" w:line="172" w:lineRule="exact"/>
        <w:rPr>
          <w:sz w:val="20"/>
          <w:szCs w:val="20"/>
          <w:color w:val="auto"/>
        </w:rPr>
      </w:pPr>
    </w:p>
    <w:p>
      <w:pPr>
        <w:ind w:left="60" w:right="139" w:firstLine="324"/>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 xml:space="preserve">Amortization of Acquired Intangible Assets included in Operating expenses. </w:t>
      </w:r>
      <w:r>
        <w:rPr>
          <w:rFonts w:ascii="Times New Roman" w:cs="Times New Roman" w:eastAsia="Times New Roman" w:hAnsi="Times New Roman"/>
          <w:sz w:val="18"/>
          <w:szCs w:val="18"/>
          <w:color w:val="auto"/>
        </w:rPr>
        <w:t>Amortization of acquired intangible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assets included in Operating expenses ("Opex Amortization") for the three months ended March 31, 2026 and 2025 was as follows (in thousands, except percentages):</w:t>
      </w:r>
    </w:p>
    <w:p>
      <w:pPr>
        <w:spacing w:after="0" w:line="169"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3040" w:type="dxa"/>
            <w:vAlign w:val="bottom"/>
          </w:tcPr>
          <w:p>
            <w:pPr>
              <w:spacing w:after="0"/>
              <w:rPr>
                <w:sz w:val="13"/>
                <w:szCs w:val="13"/>
                <w:color w:val="auto"/>
              </w:rPr>
            </w:pPr>
          </w:p>
        </w:tc>
        <w:tc>
          <w:tcPr>
            <w:tcW w:w="16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vMerge w:val="restart"/>
          </w:tcPr>
          <w:p>
            <w:pPr>
              <w:jc w:val="center"/>
              <w:ind w:right="62"/>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vMerge w:val="restart"/>
          </w:tcPr>
          <w:p>
            <w:pPr>
              <w:jc w:val="center"/>
              <w:ind w:right="62"/>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1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20" w:type="dxa"/>
            <w:vAlign w:val="bottom"/>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rPr>
              <w:t>Decrease</w:t>
            </w:r>
          </w:p>
        </w:tc>
        <w:tc>
          <w:tcPr>
            <w:tcW w:w="5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3"/>
        </w:trPr>
        <w:tc>
          <w:tcPr>
            <w:tcW w:w="3040" w:type="dxa"/>
            <w:vAlign w:val="bottom"/>
          </w:tcPr>
          <w:p>
            <w:pPr>
              <w:spacing w:after="0"/>
              <w:rPr>
                <w:sz w:val="15"/>
                <w:szCs w:val="15"/>
                <w:color w:val="auto"/>
              </w:rPr>
            </w:pPr>
          </w:p>
        </w:tc>
        <w:tc>
          <w:tcPr>
            <w:tcW w:w="16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vMerge w:val="continue"/>
          </w:tcPr>
          <w:p>
            <w:pPr>
              <w:spacing w:after="0"/>
              <w:rPr>
                <w:sz w:val="15"/>
                <w:szCs w:val="15"/>
                <w:color w:val="auto"/>
              </w:rPr>
            </w:pP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vMerge w:val="continue"/>
          </w:tcPr>
          <w:p>
            <w:pPr>
              <w:spacing w:after="0"/>
              <w:rPr>
                <w:sz w:val="15"/>
                <w:szCs w:val="15"/>
                <w:color w:val="auto"/>
              </w:rPr>
            </w:pPr>
          </w:p>
        </w:tc>
        <w:tc>
          <w:tcPr>
            <w:tcW w:w="1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800" w:type="dxa"/>
            <w:vAlign w:val="bottom"/>
            <w:gridSpan w:val="6"/>
          </w:tcPr>
          <w:p>
            <w:pPr>
              <w:jc w:val="center"/>
              <w:ind w:right="440"/>
              <w:spacing w:after="0"/>
              <w:rPr>
                <w:sz w:val="20"/>
                <w:szCs w:val="20"/>
                <w:color w:val="auto"/>
              </w:rPr>
            </w:pPr>
            <w:r>
              <w:rPr>
                <w:rFonts w:ascii="Times New Roman" w:cs="Times New Roman" w:eastAsia="Times New Roman" w:hAnsi="Times New Roman"/>
                <w:sz w:val="14"/>
                <w:szCs w:val="14"/>
                <w:b w:val="1"/>
                <w:bCs w:val="1"/>
                <w:color w:val="auto"/>
              </w:rPr>
              <w:t>from prior year</w:t>
            </w:r>
          </w:p>
        </w:tc>
        <w:tc>
          <w:tcPr>
            <w:tcW w:w="0" w:type="dxa"/>
            <w:vAlign w:val="bottom"/>
          </w:tcPr>
          <w:p>
            <w:pPr>
              <w:spacing w:after="0"/>
              <w:rPr>
                <w:sz w:val="1"/>
                <w:szCs w:val="1"/>
                <w:color w:val="auto"/>
              </w:rPr>
            </w:pPr>
          </w:p>
        </w:tc>
      </w:tr>
      <w:tr>
        <w:trPr>
          <w:trHeight w:val="142"/>
        </w:trPr>
        <w:tc>
          <w:tcPr>
            <w:tcW w:w="3040" w:type="dxa"/>
            <w:vAlign w:val="bottom"/>
          </w:tcPr>
          <w:p>
            <w:pPr>
              <w:spacing w:after="0"/>
              <w:rPr>
                <w:sz w:val="12"/>
                <w:szCs w:val="12"/>
                <w:color w:val="auto"/>
              </w:rPr>
            </w:pPr>
          </w:p>
        </w:tc>
        <w:tc>
          <w:tcPr>
            <w:tcW w:w="1740" w:type="dxa"/>
            <w:vAlign w:val="bottom"/>
            <w:gridSpan w:val="2"/>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800" w:type="dxa"/>
            <w:vAlign w:val="bottom"/>
          </w:tcPr>
          <w:p>
            <w:pPr>
              <w:jc w:val="right"/>
              <w:ind w:right="222"/>
              <w:spacing w:after="0" w:line="142" w:lineRule="exact"/>
              <w:rPr>
                <w:sz w:val="20"/>
                <w:szCs w:val="20"/>
                <w:color w:val="auto"/>
              </w:rPr>
            </w:pPr>
            <w:r>
              <w:rPr>
                <w:rFonts w:ascii="Times New Roman" w:cs="Times New Roman" w:eastAsia="Times New Roman" w:hAnsi="Times New Roman"/>
                <w:sz w:val="14"/>
                <w:szCs w:val="14"/>
                <w:b w:val="1"/>
                <w:bCs w:val="1"/>
                <w:color w:val="auto"/>
              </w:rPr>
              <w:t>2026</w:t>
            </w:r>
          </w:p>
        </w:tc>
        <w:tc>
          <w:tcPr>
            <w:tcW w:w="280" w:type="dxa"/>
            <w:vAlign w:val="bottom"/>
            <w:gridSpan w:val="2"/>
          </w:tcPr>
          <w:p>
            <w:pPr>
              <w:jc w:val="right"/>
              <w:spacing w:after="0" w:line="142" w:lineRule="exact"/>
              <w:rPr>
                <w:sz w:val="20"/>
                <w:szCs w:val="20"/>
                <w:color w:val="auto"/>
              </w:rPr>
            </w:pPr>
            <w:r>
              <w:rPr>
                <w:rFonts w:ascii="Times New Roman" w:cs="Times New Roman" w:eastAsia="Times New Roman" w:hAnsi="Times New Roman"/>
                <w:sz w:val="14"/>
                <w:szCs w:val="14"/>
                <w:color w:val="auto"/>
              </w:rPr>
              <w:t>​​​</w:t>
            </w:r>
          </w:p>
        </w:tc>
        <w:tc>
          <w:tcPr>
            <w:tcW w:w="800" w:type="dxa"/>
            <w:vAlign w:val="bottom"/>
          </w:tcPr>
          <w:p>
            <w:pPr>
              <w:jc w:val="right"/>
              <w:ind w:right="222"/>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180" w:type="dxa"/>
            <w:vAlign w:val="bottom"/>
          </w:tcPr>
          <w:p>
            <w:pPr>
              <w:ind w:left="80"/>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260" w:type="dxa"/>
            <w:vAlign w:val="bottom"/>
            <w:tcBorders>
              <w:top w:val="single" w:sz="8" w:color="auto"/>
            </w:tcBorders>
          </w:tcPr>
          <w:p>
            <w:pPr>
              <w:spacing w:after="0"/>
              <w:rPr>
                <w:sz w:val="12"/>
                <w:szCs w:val="12"/>
                <w:color w:val="auto"/>
              </w:rPr>
            </w:pPr>
          </w:p>
        </w:tc>
        <w:tc>
          <w:tcPr>
            <w:tcW w:w="240" w:type="dxa"/>
            <w:vAlign w:val="bottom"/>
            <w:tcBorders>
              <w:top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400" w:type="dxa"/>
            <w:vAlign w:val="bottom"/>
            <w:tcBorders>
              <w:top w:val="single" w:sz="8" w:color="auto"/>
            </w:tcBorders>
          </w:tcPr>
          <w:p>
            <w:pPr>
              <w:spacing w:after="0"/>
              <w:rPr>
                <w:sz w:val="12"/>
                <w:szCs w:val="12"/>
                <w:color w:val="auto"/>
              </w:rPr>
            </w:pPr>
          </w:p>
        </w:tc>
        <w:tc>
          <w:tcPr>
            <w:tcW w:w="420" w:type="dxa"/>
            <w:vAlign w:val="bottom"/>
            <w:tcBorders>
              <w:top w:val="single" w:sz="8" w:color="auto"/>
            </w:tcBorders>
            <w:gridSpan w:val="2"/>
          </w:tcPr>
          <w:p>
            <w:pPr>
              <w:ind w:left="100"/>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560" w:type="dxa"/>
            <w:vAlign w:val="bottom"/>
            <w:tcBorders>
              <w:top w:val="single" w:sz="8" w:color="auto"/>
            </w:tcBorders>
          </w:tcPr>
          <w:p>
            <w:pPr>
              <w:jc w:val="right"/>
              <w:ind w:right="239"/>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3040" w:type="dxa"/>
            <w:vAlign w:val="bottom"/>
            <w:vMerge w:val="restart"/>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Three months ended</w:t>
            </w:r>
          </w:p>
        </w:tc>
        <w:tc>
          <w:tcPr>
            <w:tcW w:w="1640" w:type="dxa"/>
            <w:vAlign w:val="bottom"/>
            <w:vMerge w:val="restart"/>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80" w:type="dxa"/>
            <w:vAlign w:val="bottom"/>
            <w:vMerge w:val="restart"/>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80" w:type="dxa"/>
            <w:vAlign w:val="bottom"/>
            <w:vMerge w:val="restart"/>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00" w:type="dxa"/>
            <w:vAlign w:val="bottom"/>
            <w:vMerge w:val="restart"/>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040" w:type="dxa"/>
            <w:vAlign w:val="bottom"/>
            <w:vMerge w:val="continue"/>
            <w:shd w:val="clear" w:color="auto" w:fill="CCEEFF"/>
          </w:tcPr>
          <w:p>
            <w:pPr>
              <w:spacing w:after="0"/>
              <w:rPr>
                <w:sz w:val="18"/>
                <w:szCs w:val="18"/>
                <w:color w:val="auto"/>
              </w:rPr>
            </w:pPr>
          </w:p>
        </w:tc>
        <w:tc>
          <w:tcPr>
            <w:tcW w:w="164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5,656</w:t>
            </w:r>
          </w:p>
        </w:tc>
        <w:tc>
          <w:tcPr>
            <w:tcW w:w="18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6,155</w:t>
            </w:r>
          </w:p>
        </w:tc>
        <w:tc>
          <w:tcPr>
            <w:tcW w:w="180" w:type="dxa"/>
            <w:vAlign w:val="bottom"/>
            <w:vMerge w:val="continue"/>
            <w:shd w:val="clear" w:color="auto" w:fill="CCEEFF"/>
          </w:tcPr>
          <w:p>
            <w:pPr>
              <w:spacing w:after="0"/>
              <w:rPr>
                <w:sz w:val="18"/>
                <w:szCs w:val="18"/>
                <w:color w:val="auto"/>
              </w:rPr>
            </w:pP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24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(499)</w:t>
            </w:r>
          </w:p>
        </w:tc>
        <w:tc>
          <w:tcPr>
            <w:tcW w:w="200" w:type="dxa"/>
            <w:vAlign w:val="bottom"/>
            <w:vMerge w:val="continue"/>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(8.1)%</w:t>
            </w:r>
          </w:p>
        </w:tc>
        <w:tc>
          <w:tcPr>
            <w:tcW w:w="0" w:type="dxa"/>
            <w:vAlign w:val="bottom"/>
          </w:tcPr>
          <w:p>
            <w:pPr>
              <w:spacing w:after="0"/>
              <w:rPr>
                <w:sz w:val="1"/>
                <w:szCs w:val="1"/>
                <w:color w:val="auto"/>
              </w:rPr>
            </w:pPr>
          </w:p>
        </w:tc>
      </w:tr>
    </w:tbl>
    <w:p>
      <w:pPr>
        <w:spacing w:after="0" w:line="19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Opex Amortization was lower for the three months ended March 31, 2026 compared to the three months ended</w:t>
      </w:r>
    </w:p>
    <w:p>
      <w:pPr>
        <w:spacing w:after="0" w:line="2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March 31, 2025. We record our amortization in relation to expected future cash flows rather than on a straight-line basis.</w:t>
      </w:r>
    </w:p>
    <w:p>
      <w:pPr>
        <w:spacing w:after="0" w:line="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Accordingly, such expense may vary from one period to the next.</w:t>
      </w:r>
    </w:p>
    <w:p>
      <w:pPr>
        <w:spacing w:after="0" w:line="203" w:lineRule="exact"/>
        <w:rPr>
          <w:sz w:val="20"/>
          <w:szCs w:val="20"/>
          <w:color w:val="auto"/>
        </w:rPr>
      </w:pPr>
    </w:p>
    <w:p>
      <w:pPr>
        <w:jc w:val="both"/>
        <w:ind w:left="60" w:right="219" w:firstLine="324"/>
        <w:spacing w:after="0" w:line="291" w:lineRule="auto"/>
        <w:rPr>
          <w:sz w:val="20"/>
          <w:szCs w:val="20"/>
          <w:color w:val="auto"/>
        </w:rPr>
      </w:pPr>
      <w:r>
        <w:rPr>
          <w:rFonts w:ascii="Times New Roman" w:cs="Times New Roman" w:eastAsia="Times New Roman" w:hAnsi="Times New Roman"/>
          <w:sz w:val="17"/>
          <w:szCs w:val="17"/>
          <w:b w:val="1"/>
          <w:bCs w:val="1"/>
          <w:i w:val="1"/>
          <w:iCs w:val="1"/>
          <w:color w:val="auto"/>
        </w:rPr>
        <w:t xml:space="preserve">Restructuring and Related. </w:t>
      </w:r>
      <w:r>
        <w:rPr>
          <w:rFonts w:ascii="Times New Roman" w:cs="Times New Roman" w:eastAsia="Times New Roman" w:hAnsi="Times New Roman"/>
          <w:sz w:val="17"/>
          <w:szCs w:val="17"/>
          <w:color w:val="auto"/>
        </w:rPr>
        <w:t>We have been committed to streamlining our operations and reducing operating costs by</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closing and consolidating certain facilities and reducing our worldwide workforce. Please see the additional discussion of our restructuring initiatives in the "Restructuring and Cost Reduction Initiatives" section of the Overview of this MD&amp;A.</w:t>
      </w:r>
    </w:p>
    <w:p>
      <w:pPr>
        <w:spacing w:after="0" w:line="157"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We recorded restructuring and related expense of $2.0 million and $5.3 million in the three months ended</w:t>
      </w:r>
    </w:p>
    <w:p>
      <w:pPr>
        <w:spacing w:after="0" w:line="27" w:lineRule="exact"/>
        <w:rPr>
          <w:sz w:val="20"/>
          <w:szCs w:val="20"/>
          <w:color w:val="auto"/>
        </w:rPr>
      </w:pPr>
    </w:p>
    <w:p>
      <w:pPr>
        <w:jc w:val="both"/>
        <w:ind w:left="60" w:right="239"/>
        <w:spacing w:after="0" w:line="260" w:lineRule="auto"/>
        <w:rPr>
          <w:sz w:val="20"/>
          <w:szCs w:val="20"/>
          <w:color w:val="auto"/>
        </w:rPr>
      </w:pPr>
      <w:r>
        <w:rPr>
          <w:rFonts w:ascii="Times New Roman" w:cs="Times New Roman" w:eastAsia="Times New Roman" w:hAnsi="Times New Roman"/>
          <w:sz w:val="18"/>
          <w:szCs w:val="18"/>
          <w:color w:val="auto"/>
        </w:rPr>
        <w:t>March 31, 2026 and 2025, respectively. Although we have eliminated positions as part of our restructuring initiatives, we continue to hire in certain areas that we believe are important to our future growth.</w:t>
      </w:r>
    </w:p>
    <w:p>
      <w:pPr>
        <w:spacing w:after="0" w:line="177" w:lineRule="exact"/>
        <w:rPr>
          <w:sz w:val="20"/>
          <w:szCs w:val="20"/>
          <w:color w:val="auto"/>
        </w:rPr>
      </w:pPr>
    </w:p>
    <w:p>
      <w:pPr>
        <w:ind w:left="60" w:right="79" w:firstLine="324"/>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 xml:space="preserve">Interest Expense, Net. </w:t>
      </w:r>
      <w:r>
        <w:rPr>
          <w:rFonts w:ascii="Times New Roman" w:cs="Times New Roman" w:eastAsia="Times New Roman" w:hAnsi="Times New Roman"/>
          <w:sz w:val="18"/>
          <w:szCs w:val="18"/>
          <w:color w:val="auto"/>
        </w:rPr>
        <w:t>Interest expense and interest income for the three months ended March 31, 2026 and 2025 were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as follows (in thousands, except percentages):</w:t>
      </w:r>
    </w:p>
    <w:p>
      <w:pPr>
        <w:spacing w:after="0" w:line="153"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3280" w:type="dxa"/>
            <w:vAlign w:val="bottom"/>
          </w:tcPr>
          <w:p>
            <w:pPr>
              <w:spacing w:after="0"/>
              <w:rPr>
                <w:sz w:val="13"/>
                <w:szCs w:val="13"/>
                <w:color w:val="auto"/>
              </w:rPr>
            </w:pPr>
          </w:p>
        </w:tc>
        <w:tc>
          <w:tcPr>
            <w:tcW w:w="17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840" w:type="dxa"/>
            <w:vAlign w:val="bottom"/>
            <w:gridSpan w:val="4"/>
            <w:vMerge w:val="restart"/>
          </w:tcPr>
          <w:p>
            <w:pPr>
              <w:jc w:val="right"/>
              <w:ind w:right="31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60" w:type="dxa"/>
            <w:vAlign w:val="bottom"/>
            <w:vMerge w:val="restart"/>
          </w:tcPr>
          <w:p>
            <w:pPr>
              <w:spacing w:after="0"/>
              <w:rPr>
                <w:sz w:val="13"/>
                <w:szCs w:val="13"/>
                <w:color w:val="auto"/>
              </w:rPr>
            </w:pPr>
          </w:p>
        </w:tc>
        <w:tc>
          <w:tcPr>
            <w:tcW w:w="100" w:type="dxa"/>
            <w:vAlign w:val="bottom"/>
          </w:tcPr>
          <w:p>
            <w:pPr>
              <w:spacing w:after="0"/>
              <w:rPr>
                <w:sz w:val="13"/>
                <w:szCs w:val="13"/>
                <w:color w:val="auto"/>
              </w:rPr>
            </w:pPr>
          </w:p>
        </w:tc>
        <w:tc>
          <w:tcPr>
            <w:tcW w:w="1520" w:type="dxa"/>
            <w:vAlign w:val="bottom"/>
            <w:gridSpan w:val="5"/>
          </w:tcPr>
          <w:p>
            <w:pPr>
              <w:jc w:val="right"/>
              <w:ind w:right="210"/>
              <w:spacing w:after="0"/>
              <w:rPr>
                <w:sz w:val="20"/>
                <w:szCs w:val="20"/>
                <w:color w:val="auto"/>
              </w:rPr>
            </w:pPr>
            <w:r>
              <w:rPr>
                <w:rFonts w:ascii="Times New Roman" w:cs="Times New Roman" w:eastAsia="Times New Roman" w:hAnsi="Times New Roman"/>
                <w:sz w:val="14"/>
                <w:szCs w:val="14"/>
                <w:b w:val="1"/>
                <w:bCs w:val="1"/>
                <w:color w:val="auto"/>
              </w:rPr>
              <w:t>Increase/(decrease)</w:t>
            </w:r>
          </w:p>
        </w:tc>
        <w:tc>
          <w:tcPr>
            <w:tcW w:w="0" w:type="dxa"/>
            <w:vAlign w:val="bottom"/>
          </w:tcPr>
          <w:p>
            <w:pPr>
              <w:spacing w:after="0"/>
              <w:rPr>
                <w:sz w:val="1"/>
                <w:szCs w:val="1"/>
                <w:color w:val="auto"/>
              </w:rPr>
            </w:pPr>
          </w:p>
        </w:tc>
      </w:tr>
      <w:tr>
        <w:trPr>
          <w:trHeight w:val="173"/>
        </w:trPr>
        <w:tc>
          <w:tcPr>
            <w:tcW w:w="3280" w:type="dxa"/>
            <w:vAlign w:val="bottom"/>
          </w:tcPr>
          <w:p>
            <w:pPr>
              <w:spacing w:after="0"/>
              <w:rPr>
                <w:sz w:val="15"/>
                <w:szCs w:val="15"/>
                <w:color w:val="auto"/>
              </w:rPr>
            </w:pPr>
          </w:p>
        </w:tc>
        <w:tc>
          <w:tcPr>
            <w:tcW w:w="178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840" w:type="dxa"/>
            <w:vAlign w:val="bottom"/>
            <w:tcBorders>
              <w:bottom w:val="single" w:sz="8" w:color="auto"/>
            </w:tcBorders>
            <w:gridSpan w:val="4"/>
            <w:vMerge w:val="continue"/>
          </w:tcPr>
          <w:p>
            <w:pPr>
              <w:spacing w:after="0"/>
              <w:rPr>
                <w:sz w:val="15"/>
                <w:szCs w:val="15"/>
                <w:color w:val="auto"/>
              </w:rPr>
            </w:pPr>
          </w:p>
        </w:tc>
        <w:tc>
          <w:tcPr>
            <w:tcW w:w="160" w:type="dxa"/>
            <w:vAlign w:val="bottom"/>
            <w:vMerge w:val="continue"/>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340" w:type="dxa"/>
            <w:vAlign w:val="bottom"/>
            <w:tcBorders>
              <w:bottom w:val="single" w:sz="8" w:color="auto"/>
            </w:tcBorders>
            <w:gridSpan w:val="4"/>
          </w:tcPr>
          <w:p>
            <w:pPr>
              <w:jc w:val="right"/>
              <w:ind w:right="150"/>
              <w:spacing w:after="0"/>
              <w:rPr>
                <w:sz w:val="20"/>
                <w:szCs w:val="20"/>
                <w:color w:val="auto"/>
              </w:rPr>
            </w:pPr>
            <w:r>
              <w:rPr>
                <w:rFonts w:ascii="Times New Roman" w:cs="Times New Roman" w:eastAsia="Times New Roman" w:hAnsi="Times New Roman"/>
                <w:sz w:val="14"/>
                <w:szCs w:val="14"/>
                <w:b w:val="1"/>
                <w:bCs w:val="1"/>
                <w:color w:val="auto"/>
              </w:rPr>
              <w:t>from prior year</w:t>
            </w:r>
          </w:p>
        </w:tc>
        <w:tc>
          <w:tcPr>
            <w:tcW w:w="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3280" w:type="dxa"/>
            <w:vAlign w:val="bottom"/>
          </w:tcPr>
          <w:p>
            <w:pPr>
              <w:spacing w:after="0"/>
              <w:rPr>
                <w:sz w:val="12"/>
                <w:szCs w:val="12"/>
                <w:color w:val="auto"/>
              </w:rPr>
            </w:pPr>
          </w:p>
        </w:tc>
        <w:tc>
          <w:tcPr>
            <w:tcW w:w="4100" w:type="dxa"/>
            <w:vAlign w:val="bottom"/>
            <w:gridSpan w:val="8"/>
          </w:tcPr>
          <w:p>
            <w:pPr>
              <w:jc w:val="right"/>
              <w:spacing w:after="0" w:line="142" w:lineRule="exact"/>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March 31, 2026</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b w:val="1"/>
                <w:bCs w:val="1"/>
                <w:color w:val="auto"/>
              </w:rPr>
              <w:t>March 31, 2025</w:t>
            </w:r>
            <w:r>
              <w:rPr>
                <w:rFonts w:ascii="Times New Roman" w:cs="Times New Roman" w:eastAsia="Times New Roman" w:hAnsi="Times New Roman"/>
                <w:sz w:val="14"/>
                <w:szCs w:val="14"/>
                <w:color w:val="auto"/>
              </w:rPr>
              <w:t xml:space="preserve"> ​​​</w:t>
            </w:r>
          </w:p>
        </w:tc>
        <w:tc>
          <w:tcPr>
            <w:tcW w:w="540" w:type="dxa"/>
            <w:vAlign w:val="bottom"/>
          </w:tcPr>
          <w:p>
            <w:pPr>
              <w:jc w:val="right"/>
              <w:ind w:right="199"/>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40" w:type="dxa"/>
            <w:vAlign w:val="bottom"/>
          </w:tcPr>
          <w:p>
            <w:pPr>
              <w:spacing w:after="0"/>
              <w:rPr>
                <w:sz w:val="12"/>
                <w:szCs w:val="12"/>
                <w:color w:val="auto"/>
              </w:rPr>
            </w:pPr>
          </w:p>
        </w:tc>
        <w:tc>
          <w:tcPr>
            <w:tcW w:w="760" w:type="dxa"/>
            <w:vAlign w:val="bottom"/>
            <w:gridSpan w:val="2"/>
          </w:tcPr>
          <w:p>
            <w:pPr>
              <w:jc w:val="right"/>
              <w:ind w:right="150"/>
              <w:spacing w:after="0" w:line="142" w:lineRule="exact"/>
              <w:rPr>
                <w:sz w:val="20"/>
                <w:szCs w:val="20"/>
                <w:color w:val="auto"/>
              </w:rPr>
            </w:pPr>
            <w:r>
              <w:rPr>
                <w:rFonts w:ascii="Times New Roman" w:cs="Times New Roman" w:eastAsia="Times New Roman" w:hAnsi="Times New Roman"/>
                <w:sz w:val="14"/>
                <w:szCs w:val="14"/>
                <w:b w:val="1"/>
                <w:bCs w:val="1"/>
                <w:color w:val="auto"/>
              </w:rPr>
              <w:t>​​​   %</w:t>
            </w: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32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income</w:t>
            </w:r>
          </w:p>
        </w:tc>
        <w:tc>
          <w:tcPr>
            <w:tcW w:w="178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310</w:t>
            </w:r>
          </w:p>
        </w:tc>
        <w:tc>
          <w:tcPr>
            <w:tcW w:w="14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258</w:t>
            </w:r>
          </w:p>
        </w:tc>
        <w:tc>
          <w:tcPr>
            <w:tcW w:w="1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w:t>
            </w:r>
          </w:p>
        </w:tc>
        <w:tc>
          <w:tcPr>
            <w:tcW w:w="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20.2</w:t>
            </w:r>
          </w:p>
        </w:tc>
        <w:tc>
          <w:tcPr>
            <w:tcW w:w="18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3"/>
              </w:rPr>
              <w:t>%</w:t>
            </w:r>
          </w:p>
        </w:tc>
        <w:tc>
          <w:tcPr>
            <w:tcW w:w="0" w:type="dxa"/>
            <w:vAlign w:val="bottom"/>
          </w:tcPr>
          <w:p>
            <w:pPr>
              <w:spacing w:after="0"/>
              <w:rPr>
                <w:sz w:val="1"/>
                <w:szCs w:val="1"/>
                <w:color w:val="auto"/>
              </w:rPr>
            </w:pPr>
          </w:p>
        </w:tc>
      </w:tr>
      <w:tr>
        <w:trPr>
          <w:trHeight w:val="216"/>
        </w:trPr>
        <w:tc>
          <w:tcPr>
            <w:tcW w:w="3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expense</w:t>
            </w:r>
          </w:p>
        </w:tc>
        <w:tc>
          <w:tcPr>
            <w:tcW w:w="1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(10,066)</w:t>
            </w:r>
          </w:p>
        </w:tc>
        <w:tc>
          <w:tcPr>
            <w:tcW w:w="220" w:type="dxa"/>
            <w:vAlign w:val="bottom"/>
          </w:tcPr>
          <w:p>
            <w:pPr>
              <w:spacing w:after="0"/>
              <w:rPr>
                <w:sz w:val="18"/>
                <w:szCs w:val="18"/>
                <w:color w:val="auto"/>
              </w:rPr>
            </w:pP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(10,758)</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(692)</w:t>
            </w:r>
          </w:p>
        </w:tc>
        <w:tc>
          <w:tcPr>
            <w:tcW w:w="9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(6.4)%</w:t>
            </w:r>
          </w:p>
        </w:tc>
        <w:tc>
          <w:tcPr>
            <w:tcW w:w="0" w:type="dxa"/>
            <w:vAlign w:val="bottom"/>
          </w:tcPr>
          <w:p>
            <w:pPr>
              <w:spacing w:after="0"/>
              <w:rPr>
                <w:sz w:val="1"/>
                <w:szCs w:val="1"/>
                <w:color w:val="auto"/>
              </w:rPr>
            </w:pPr>
          </w:p>
        </w:tc>
      </w:tr>
      <w:tr>
        <w:trPr>
          <w:trHeight w:val="209"/>
        </w:trPr>
        <w:tc>
          <w:tcPr>
            <w:tcW w:w="3280" w:type="dxa"/>
            <w:vAlign w:val="bottom"/>
            <w:tcBorders>
              <w:top w:val="single" w:sz="8" w:color="CCEEFF"/>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Interest expense, net</w:t>
            </w:r>
          </w:p>
        </w:tc>
        <w:tc>
          <w:tcPr>
            <w:tcW w:w="1780" w:type="dxa"/>
            <w:vAlign w:val="bottom"/>
            <w:tcBorders>
              <w:top w:val="single" w:sz="8" w:color="CCEEFF"/>
              <w:bottom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(9,756)</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(10,500)</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80" w:type="dxa"/>
            <w:vAlign w:val="bottom"/>
            <w:tcBorders>
              <w:top w:val="single" w:sz="8" w:color="CCEEFF"/>
              <w:bottom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(744)</w:t>
            </w:r>
          </w:p>
        </w:tc>
        <w:tc>
          <w:tcPr>
            <w:tcW w:w="940" w:type="dxa"/>
            <w:vAlign w:val="bottom"/>
            <w:tcBorders>
              <w:top w:val="single" w:sz="8" w:color="CCEEFF"/>
              <w:bottom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w:t>
            </w:r>
          </w:p>
        </w:tc>
        <w:tc>
          <w:tcPr>
            <w:tcW w:w="0" w:type="dxa"/>
            <w:vAlign w:val="bottom"/>
          </w:tcPr>
          <w:p>
            <w:pPr>
              <w:spacing w:after="0"/>
              <w:rPr>
                <w:sz w:val="1"/>
                <w:szCs w:val="1"/>
                <w:color w:val="auto"/>
              </w:rPr>
            </w:pPr>
          </w:p>
        </w:tc>
      </w:tr>
      <w:tr>
        <w:trPr>
          <w:trHeight w:val="20"/>
        </w:trPr>
        <w:tc>
          <w:tcPr>
            <w:tcW w:w="328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left="60" w:right="279" w:firstLine="324"/>
        <w:spacing w:after="0" w:line="258" w:lineRule="auto"/>
        <w:rPr>
          <w:sz w:val="20"/>
          <w:szCs w:val="20"/>
          <w:color w:val="auto"/>
        </w:rPr>
      </w:pPr>
      <w:r>
        <w:rPr>
          <w:rFonts w:ascii="Times New Roman" w:cs="Times New Roman" w:eastAsia="Times New Roman" w:hAnsi="Times New Roman"/>
          <w:sz w:val="18"/>
          <w:szCs w:val="18"/>
          <w:color w:val="auto"/>
        </w:rPr>
        <w:t>Interest income increased slightly in 2026 as compared to 2025. Our interest expense in the three months ended March 31, 2026 and 2025 primarily represents term debt interest, amortization of debt issuance costs and original issue discount and interest associated with factoring arrangements. Interest expense in the three months ended March 31, 2026 was lower than the same period in 2025 primarily due to lower applicable interest margins and a reduction in the outstanding term debt balance.</w:t>
      </w:r>
    </w:p>
    <w:p>
      <w:pPr>
        <w:spacing w:after="0" w:line="179" w:lineRule="exact"/>
        <w:rPr>
          <w:sz w:val="20"/>
          <w:szCs w:val="20"/>
          <w:color w:val="auto"/>
        </w:rPr>
      </w:pPr>
    </w:p>
    <w:p>
      <w:pPr>
        <w:ind w:left="60" w:right="179" w:firstLine="324"/>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Other Income, Net</w:t>
      </w:r>
      <w:r>
        <w:rPr>
          <w:rFonts w:ascii="Times New Roman" w:cs="Times New Roman" w:eastAsia="Times New Roman" w:hAnsi="Times New Roman"/>
          <w:sz w:val="18"/>
          <w:szCs w:val="18"/>
          <w:color w:val="auto"/>
        </w:rPr>
        <w:t>. We recorded other income, net of $0.5 million and $3.1 million in the three months ended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March 31, 2026 and 2025, respectively. Other income, net in the three months ended March 31, 2026 was primarily comprised of approximately $1.2 million of fair value adjustments of our warrants, partially offset by foreign currency exchange losses of $1.2 million. Other income, net in the three months ended March 31, 2025 was primarily comprised of $1.7 million of the fair value adjustments of our warrants and foreign currency exchange gains of $1.3 million.</w:t>
      </w:r>
    </w:p>
    <w:p>
      <w:pPr>
        <w:spacing w:after="0" w:line="17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b w:val="1"/>
          <w:bCs w:val="1"/>
          <w:i w:val="1"/>
          <w:iCs w:val="1"/>
          <w:color w:val="auto"/>
        </w:rPr>
        <w:t xml:space="preserve">Income Taxes. </w:t>
      </w:r>
      <w:r>
        <w:rPr>
          <w:rFonts w:ascii="Times New Roman" w:cs="Times New Roman" w:eastAsia="Times New Roman" w:hAnsi="Times New Roman"/>
          <w:sz w:val="18"/>
          <w:szCs w:val="18"/>
          <w:color w:val="auto"/>
        </w:rPr>
        <w:t>We recorded an income tax benefit of $6.4 million and $0.8 million in the three months ended</w:t>
      </w:r>
    </w:p>
    <w:p>
      <w:pPr>
        <w:spacing w:after="0" w:line="3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7"/>
          <w:szCs w:val="17"/>
          <w:color w:val="auto"/>
        </w:rPr>
        <w:t>March 31, 2026 and 2025, respectively. These amounts reflect our estimates of the effective rates expected to be applicable</w:t>
      </w:r>
    </w:p>
    <w:p>
      <w:pPr>
        <w:spacing w:after="0" w:line="2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for the respective full fiscal years, adjusted for any discrete events, which are recorded in the period that they occur. These</w:t>
      </w:r>
    </w:p>
    <w:p>
      <w:pPr>
        <w:spacing w:after="0" w:line="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estimates are reevaluated each quarter based on our estimated tax rate for the full year. The estimated effective tax rate</w:t>
      </w:r>
    </w:p>
    <w:p>
      <w:pPr>
        <w:spacing w:after="0" w:line="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includes the impact of valuation allowances in various jurisdictions. We intend to continue to maintain a valuation</w:t>
      </w:r>
    </w:p>
    <w:p>
      <w:pPr>
        <w:spacing w:after="0" w:line="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allowance on our deferred tax assets until there is sufficient evidence to support the reversal of all or some portion of the</w:t>
      </w:r>
    </w:p>
    <w:p>
      <w:pPr>
        <w:spacing w:after="0" w:line="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respective allowances.</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43" w:name="page44"/>
    <w:bookmarkEnd w:id="43"/>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79" w:firstLine="324"/>
        <w:spacing w:after="0" w:line="253" w:lineRule="auto"/>
        <w:rPr>
          <w:sz w:val="20"/>
          <w:szCs w:val="20"/>
          <w:color w:val="auto"/>
        </w:rPr>
      </w:pPr>
      <w:r>
        <w:rPr>
          <w:rFonts w:ascii="Times New Roman" w:cs="Times New Roman" w:eastAsia="Times New Roman" w:hAnsi="Times New Roman"/>
          <w:sz w:val="18"/>
          <w:szCs w:val="18"/>
          <w:color w:val="auto"/>
        </w:rPr>
        <w:t>In October 2021, the Organization for Economic Co-operation and Development (the "OECD") announced the OECD/G20 Inclusive Framework on Base Erosion and Profit Shifting, which agreed to a two-pillar solution to address tax challenges arising from digitalization of the economy. In December 2021, the OECD released Pillar Two Model Rules defining the global minimum tax rules, which contemplate a minimum tax rate of 15% (“Pillar Two”). In addition, the OECD issued administrative guidance providing transition and safe harbor rules that could delay the impact of the minimum tax directive. Certain countries in which we operate have enacted legislation consistent with the OECD model rules effective beginning in 2024. We considered the applicable tax laws in relevant jurisdictions and concluded there was no material effect on our tax provision for the three months ended March 31, 2026 and 2025. We will continue to evaluate the potential effect of Pillar Two rules on our future reporting periods, but we do not expect Pillar Two to have a significant impact on our results of operations, financial position, or cash flows.</w:t>
      </w:r>
    </w:p>
    <w:p>
      <w:pPr>
        <w:spacing w:after="0" w:line="194" w:lineRule="exact"/>
        <w:rPr>
          <w:sz w:val="20"/>
          <w:szCs w:val="20"/>
          <w:color w:val="auto"/>
        </w:rPr>
      </w:pPr>
    </w:p>
    <w:p>
      <w:pPr>
        <w:ind w:left="60" w:right="239" w:firstLine="324"/>
        <w:spacing w:after="0" w:line="261" w:lineRule="auto"/>
        <w:rPr>
          <w:sz w:val="20"/>
          <w:szCs w:val="20"/>
          <w:color w:val="auto"/>
        </w:rPr>
      </w:pPr>
      <w:r>
        <w:rPr>
          <w:rFonts w:ascii="Times New Roman" w:cs="Times New Roman" w:eastAsia="Times New Roman" w:hAnsi="Times New Roman"/>
          <w:sz w:val="18"/>
          <w:szCs w:val="18"/>
          <w:color w:val="auto"/>
        </w:rPr>
        <w:t>The One Big Beautiful Bill Act (the "Act") was signed into law on July 4, 2025. The Act reinstated bonus depreciation, allowed for full expensing of R&amp;D expenses, and increased the limitation of interest deductibility for 2025, amongst many other provisions that are effective January 1, 2026. The tax effects of the Act were reflected in our income tax provision for the year ended December 31, 2025 and the three months ended March 31, 2026.</w:t>
      </w:r>
    </w:p>
    <w:p>
      <w:pPr>
        <w:spacing w:after="0" w:line="17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Off-Balance Sheet Arrangements</w:t>
      </w:r>
    </w:p>
    <w:p>
      <w:pPr>
        <w:spacing w:after="0" w:line="229" w:lineRule="exact"/>
        <w:rPr>
          <w:sz w:val="20"/>
          <w:szCs w:val="20"/>
          <w:color w:val="auto"/>
        </w:rPr>
      </w:pPr>
    </w:p>
    <w:p>
      <w:pPr>
        <w:ind w:left="60" w:right="59" w:firstLine="324"/>
        <w:spacing w:after="0" w:line="266" w:lineRule="auto"/>
        <w:rPr>
          <w:sz w:val="20"/>
          <w:szCs w:val="20"/>
          <w:color w:val="auto"/>
        </w:rPr>
      </w:pPr>
      <w:r>
        <w:rPr>
          <w:rFonts w:ascii="Times New Roman" w:cs="Times New Roman" w:eastAsia="Times New Roman" w:hAnsi="Times New Roman"/>
          <w:sz w:val="18"/>
          <w:szCs w:val="18"/>
          <w:color w:val="auto"/>
        </w:rPr>
        <w:t>We have no off-balance sheet arrangements that have or are reasonably likely to have a current or future material effect on our financial position, changes in financial position, revenues or expenses, results of operations, liquidity, capital expenditures or capital resources.</w:t>
      </w:r>
    </w:p>
    <w:p>
      <w:pPr>
        <w:spacing w:after="0" w:line="1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22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Our condensed consolidated statements of cash flows are summarized as follows (in thousands):</w:t>
      </w:r>
    </w:p>
    <w:p>
      <w:pPr>
        <w:spacing w:after="0" w:line="232" w:lineRule="exact"/>
        <w:rPr>
          <w:sz w:val="20"/>
          <w:szCs w:val="20"/>
          <w:color w:val="auto"/>
        </w:rPr>
      </w:pPr>
    </w:p>
    <w:tbl>
      <w:tblPr>
        <w:tblLayout w:type="fixed"/>
        <w:tblInd w:w="60" w:type="dxa"/>
        <w:tblCellMar>
          <w:top w:w="0" w:type="dxa"/>
          <w:left w:w="0" w:type="dxa"/>
          <w:bottom w:w="0" w:type="dxa"/>
          <w:right w:w="0" w:type="dxa"/>
        </w:tblCellMar>
      </w:tblPr>
      <w:tr>
        <w:trPr>
          <w:trHeight w:val="173"/>
        </w:trPr>
        <w:tc>
          <w:tcPr>
            <w:tcW w:w="5520" w:type="dxa"/>
            <w:vAlign w:val="bottom"/>
          </w:tcPr>
          <w:p>
            <w:pPr>
              <w:spacing w:after="0"/>
              <w:rPr>
                <w:sz w:val="15"/>
                <w:szCs w:val="15"/>
                <w:color w:val="auto"/>
              </w:rPr>
            </w:pPr>
          </w:p>
        </w:tc>
        <w:tc>
          <w:tcPr>
            <w:tcW w:w="34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1900" w:type="dxa"/>
            <w:vAlign w:val="bottom"/>
            <w:gridSpan w:val="4"/>
          </w:tcPr>
          <w:p>
            <w:pPr>
              <w:jc w:val="right"/>
              <w:ind w:right="295"/>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360" w:type="dxa"/>
            <w:vAlign w:val="bottom"/>
            <w:gridSpan w:val="3"/>
          </w:tcPr>
          <w:p>
            <w:pPr>
              <w:jc w:val="center"/>
              <w:spacing w:after="0"/>
              <w:rPr>
                <w:sz w:val="20"/>
                <w:szCs w:val="20"/>
                <w:color w:val="auto"/>
              </w:rPr>
            </w:pPr>
            <w:r>
              <w:rPr>
                <w:rFonts w:ascii="Times New Roman" w:cs="Times New Roman" w:eastAsia="Times New Roman" w:hAnsi="Times New Roman"/>
                <w:sz w:val="14"/>
                <w:szCs w:val="14"/>
                <w:color w:val="auto"/>
              </w:rPr>
              <w:t>​​​ ​​​</w:t>
            </w:r>
          </w:p>
        </w:tc>
        <w:tc>
          <w:tcPr>
            <w:tcW w:w="7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55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7"/>
        </w:trPr>
        <w:tc>
          <w:tcPr>
            <w:tcW w:w="5520" w:type="dxa"/>
            <w:vAlign w:val="bottom"/>
          </w:tcPr>
          <w:p>
            <w:pPr>
              <w:spacing w:after="0"/>
              <w:rPr>
                <w:sz w:val="10"/>
                <w:szCs w:val="10"/>
                <w:color w:val="auto"/>
              </w:rPr>
            </w:pPr>
          </w:p>
        </w:tc>
        <w:tc>
          <w:tcPr>
            <w:tcW w:w="34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820" w:type="dxa"/>
            <w:vAlign w:val="bottom"/>
          </w:tcPr>
          <w:p>
            <w:pPr>
              <w:jc w:val="right"/>
              <w:ind w:right="97"/>
              <w:spacing w:after="0" w:line="118" w:lineRule="exact"/>
              <w:rPr>
                <w:sz w:val="20"/>
                <w:szCs w:val="20"/>
                <w:color w:val="auto"/>
              </w:rPr>
            </w:pPr>
            <w:r>
              <w:rPr>
                <w:rFonts w:ascii="Times New Roman" w:cs="Times New Roman" w:eastAsia="Times New Roman" w:hAnsi="Times New Roman"/>
                <w:sz w:val="13"/>
                <w:szCs w:val="13"/>
                <w:b w:val="1"/>
                <w:bCs w:val="1"/>
                <w:color w:val="auto"/>
              </w:rPr>
              <w:t>March 31,</w:t>
            </w:r>
          </w:p>
        </w:tc>
        <w:tc>
          <w:tcPr>
            <w:tcW w:w="26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820" w:type="dxa"/>
            <w:vAlign w:val="bottom"/>
          </w:tcPr>
          <w:p>
            <w:pPr>
              <w:jc w:val="right"/>
              <w:ind w:right="95"/>
              <w:spacing w:after="0" w:line="118" w:lineRule="exact"/>
              <w:rPr>
                <w:sz w:val="20"/>
                <w:szCs w:val="20"/>
                <w:color w:val="auto"/>
              </w:rPr>
            </w:pPr>
            <w:r>
              <w:rPr>
                <w:rFonts w:ascii="Times New Roman" w:cs="Times New Roman" w:eastAsia="Times New Roman" w:hAnsi="Times New Roman"/>
                <w:sz w:val="13"/>
                <w:szCs w:val="13"/>
                <w:b w:val="1"/>
                <w:bCs w:val="1"/>
                <w:color w:val="auto"/>
              </w:rPr>
              <w:t>March 31,</w:t>
            </w:r>
          </w:p>
        </w:tc>
        <w:tc>
          <w:tcPr>
            <w:tcW w:w="360" w:type="dxa"/>
            <w:vAlign w:val="bottom"/>
            <w:gridSpan w:val="3"/>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w:t>
            </w:r>
          </w:p>
        </w:tc>
        <w:tc>
          <w:tcPr>
            <w:tcW w:w="780" w:type="dxa"/>
            <w:vAlign w:val="bottom"/>
            <w:vMerge w:val="restart"/>
          </w:tcPr>
          <w:p>
            <w:pPr>
              <w:jc w:val="right"/>
              <w:ind w:right="173"/>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0" w:type="dxa"/>
            <w:vAlign w:val="bottom"/>
          </w:tcPr>
          <w:p>
            <w:pPr>
              <w:spacing w:after="0"/>
              <w:rPr>
                <w:sz w:val="1"/>
                <w:szCs w:val="1"/>
                <w:color w:val="auto"/>
              </w:rPr>
            </w:pPr>
          </w:p>
        </w:tc>
      </w:tr>
      <w:tr>
        <w:trPr>
          <w:trHeight w:val="173"/>
        </w:trPr>
        <w:tc>
          <w:tcPr>
            <w:tcW w:w="5520" w:type="dxa"/>
            <w:vAlign w:val="bottom"/>
          </w:tcPr>
          <w:p>
            <w:pPr>
              <w:spacing w:after="0"/>
              <w:rPr>
                <w:sz w:val="15"/>
                <w:szCs w:val="15"/>
                <w:color w:val="auto"/>
              </w:rPr>
            </w:pPr>
          </w:p>
        </w:tc>
        <w:tc>
          <w:tcPr>
            <w:tcW w:w="340" w:type="dxa"/>
            <w:vAlign w:val="bottom"/>
            <w:gridSpan w:val="2"/>
            <w:vMerge w:val="continue"/>
          </w:tcPr>
          <w:p>
            <w:pPr>
              <w:spacing w:after="0"/>
              <w:rPr>
                <w:sz w:val="15"/>
                <w:szCs w:val="15"/>
                <w:color w:val="auto"/>
              </w:rPr>
            </w:pPr>
          </w:p>
        </w:tc>
        <w:tc>
          <w:tcPr>
            <w:tcW w:w="820" w:type="dxa"/>
            <w:vAlign w:val="bottom"/>
          </w:tcPr>
          <w:p>
            <w:pPr>
              <w:jc w:val="right"/>
              <w:ind w:right="237"/>
              <w:spacing w:after="0"/>
              <w:rPr>
                <w:sz w:val="20"/>
                <w:szCs w:val="20"/>
                <w:color w:val="auto"/>
              </w:rPr>
            </w:pPr>
            <w:r>
              <w:rPr>
                <w:rFonts w:ascii="Times New Roman" w:cs="Times New Roman" w:eastAsia="Times New Roman" w:hAnsi="Times New Roman"/>
                <w:sz w:val="14"/>
                <w:szCs w:val="14"/>
                <w:b w:val="1"/>
                <w:bCs w:val="1"/>
                <w:color w:val="auto"/>
              </w:rPr>
              <w:t>2026</w:t>
            </w:r>
          </w:p>
        </w:tc>
        <w:tc>
          <w:tcPr>
            <w:tcW w:w="260" w:type="dxa"/>
            <w:vAlign w:val="bottom"/>
            <w:gridSpan w:val="2"/>
            <w:vMerge w:val="continue"/>
          </w:tcPr>
          <w:p>
            <w:pPr>
              <w:spacing w:after="0"/>
              <w:rPr>
                <w:sz w:val="15"/>
                <w:szCs w:val="15"/>
                <w:color w:val="auto"/>
              </w:rPr>
            </w:pPr>
          </w:p>
        </w:tc>
        <w:tc>
          <w:tcPr>
            <w:tcW w:w="820" w:type="dxa"/>
            <w:vAlign w:val="bottom"/>
          </w:tcPr>
          <w:p>
            <w:pPr>
              <w:jc w:val="right"/>
              <w:ind w:right="255"/>
              <w:spacing w:after="0"/>
              <w:rPr>
                <w:sz w:val="20"/>
                <w:szCs w:val="20"/>
                <w:color w:val="auto"/>
              </w:rPr>
            </w:pPr>
            <w:r>
              <w:rPr>
                <w:rFonts w:ascii="Times New Roman" w:cs="Times New Roman" w:eastAsia="Times New Roman" w:hAnsi="Times New Roman"/>
                <w:sz w:val="14"/>
                <w:szCs w:val="14"/>
                <w:b w:val="1"/>
                <w:bCs w:val="1"/>
                <w:color w:val="auto"/>
              </w:rPr>
              <w:t>2025</w:t>
            </w:r>
          </w:p>
        </w:tc>
        <w:tc>
          <w:tcPr>
            <w:tcW w:w="360" w:type="dxa"/>
            <w:vAlign w:val="bottom"/>
            <w:gridSpan w:val="3"/>
            <w:vMerge w:val="continue"/>
          </w:tcPr>
          <w:p>
            <w:pPr>
              <w:spacing w:after="0"/>
              <w:rPr>
                <w:sz w:val="15"/>
                <w:szCs w:val="15"/>
                <w:color w:val="auto"/>
              </w:rPr>
            </w:pPr>
          </w:p>
        </w:tc>
        <w:tc>
          <w:tcPr>
            <w:tcW w:w="7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55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w:t>
            </w:r>
          </w:p>
        </w:tc>
        <w:tc>
          <w:tcPr>
            <w:tcW w:w="2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(34,489)</w:t>
            </w:r>
          </w:p>
        </w:tc>
        <w:tc>
          <w:tcPr>
            <w:tcW w:w="1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(26,227)</w:t>
            </w:r>
          </w:p>
        </w:tc>
        <w:tc>
          <w:tcPr>
            <w:tcW w:w="160" w:type="dxa"/>
            <w:vAlign w:val="bottom"/>
            <w:tcBorders>
              <w:top w:val="single" w:sz="8" w:color="CCEEFF"/>
            </w:tcBorders>
            <w:gridSpan w:val="2"/>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center"/>
              <w:ind w:right="3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(8,262)</w:t>
            </w:r>
          </w:p>
        </w:tc>
        <w:tc>
          <w:tcPr>
            <w:tcW w:w="0" w:type="dxa"/>
            <w:vAlign w:val="bottom"/>
          </w:tcPr>
          <w:p>
            <w:pPr>
              <w:spacing w:after="0"/>
              <w:rPr>
                <w:sz w:val="1"/>
                <w:szCs w:val="1"/>
                <w:color w:val="auto"/>
              </w:rPr>
            </w:pPr>
          </w:p>
        </w:tc>
      </w:tr>
      <w:tr>
        <w:trPr>
          <w:trHeight w:val="216"/>
        </w:trPr>
        <w:tc>
          <w:tcPr>
            <w:tcW w:w="5520" w:type="dxa"/>
            <w:vAlign w:val="bottom"/>
          </w:tcPr>
          <w:p>
            <w:pPr>
              <w:spacing w:after="0"/>
              <w:rPr>
                <w:sz w:val="20"/>
                <w:szCs w:val="20"/>
                <w:color w:val="auto"/>
              </w:rPr>
            </w:pPr>
            <w:r>
              <w:rPr>
                <w:rFonts w:ascii="Times New Roman" w:cs="Times New Roman" w:eastAsia="Times New Roman" w:hAnsi="Times New Roman"/>
                <w:sz w:val="18"/>
                <w:szCs w:val="18"/>
                <w:color w:val="auto"/>
              </w:rPr>
              <w:t>Adjustments to reconcile net loss to cash flows used in operating activities</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13,644</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12,320</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1,324</w:t>
            </w:r>
          </w:p>
        </w:tc>
        <w:tc>
          <w:tcPr>
            <w:tcW w:w="0" w:type="dxa"/>
            <w:vAlign w:val="bottom"/>
          </w:tcPr>
          <w:p>
            <w:pPr>
              <w:spacing w:after="0"/>
              <w:rPr>
                <w:sz w:val="1"/>
                <w:szCs w:val="1"/>
                <w:color w:val="auto"/>
              </w:rPr>
            </w:pPr>
          </w:p>
        </w:tc>
      </w:tr>
      <w:tr>
        <w:trPr>
          <w:trHeight w:val="216"/>
        </w:trPr>
        <w:tc>
          <w:tcPr>
            <w:tcW w:w="5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Changes in operating assets and liabilities</w:t>
            </w:r>
          </w:p>
        </w:tc>
        <w:tc>
          <w:tcPr>
            <w:tcW w:w="2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(1,151)</w:t>
            </w:r>
          </w:p>
        </w:tc>
        <w:tc>
          <w:tcPr>
            <w:tcW w:w="1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10,372</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(11,523)</w:t>
            </w:r>
          </w:p>
        </w:tc>
        <w:tc>
          <w:tcPr>
            <w:tcW w:w="0" w:type="dxa"/>
            <w:vAlign w:val="bottom"/>
          </w:tcPr>
          <w:p>
            <w:pPr>
              <w:spacing w:after="0"/>
              <w:rPr>
                <w:sz w:val="1"/>
                <w:szCs w:val="1"/>
                <w:color w:val="auto"/>
              </w:rPr>
            </w:pPr>
          </w:p>
        </w:tc>
      </w:tr>
      <w:tr>
        <w:trPr>
          <w:trHeight w:val="250"/>
        </w:trPr>
        <w:tc>
          <w:tcPr>
            <w:tcW w:w="55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Net cash used in operating activities</w:t>
            </w:r>
          </w:p>
        </w:tc>
        <w:tc>
          <w:tcPr>
            <w:tcW w:w="240" w:type="dxa"/>
            <w:vAlign w:val="bottom"/>
            <w:tcBorders>
              <w:bottom w:val="single" w:sz="8" w:color="CCEEFF"/>
            </w:tcBorders>
          </w:tcPr>
          <w:p>
            <w:pPr>
              <w:spacing w:after="0"/>
              <w:rPr>
                <w:sz w:val="21"/>
                <w:szCs w:val="21"/>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(21,996)</w:t>
            </w:r>
          </w:p>
        </w:tc>
        <w:tc>
          <w:tcPr>
            <w:tcW w:w="160" w:type="dxa"/>
            <w:vAlign w:val="bottom"/>
            <w:tcBorders>
              <w:bottom w:val="single" w:sz="8" w:color="CCEEFF"/>
            </w:tcBorders>
          </w:tcPr>
          <w:p>
            <w:pPr>
              <w:spacing w:after="0"/>
              <w:rPr>
                <w:sz w:val="21"/>
                <w:szCs w:val="21"/>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(3,535)</w:t>
            </w:r>
          </w:p>
        </w:tc>
        <w:tc>
          <w:tcPr>
            <w:tcW w:w="160" w:type="dxa"/>
            <w:vAlign w:val="bottom"/>
            <w:tcBorders>
              <w:bottom w:val="single" w:sz="8" w:color="CCEEFF"/>
            </w:tcBorders>
            <w:gridSpan w:val="2"/>
          </w:tcPr>
          <w:p>
            <w:pPr>
              <w:spacing w:after="0"/>
              <w:rPr>
                <w:sz w:val="21"/>
                <w:szCs w:val="21"/>
                <w:color w:val="auto"/>
              </w:rPr>
            </w:pPr>
          </w:p>
        </w:tc>
        <w:tc>
          <w:tcPr>
            <w:tcW w:w="200" w:type="dxa"/>
            <w:vAlign w:val="bottom"/>
            <w:tcBorders>
              <w:bottom w:val="single" w:sz="8" w:color="auto"/>
            </w:tcBorders>
          </w:tcPr>
          <w:p>
            <w:pPr>
              <w:jc w:val="center"/>
              <w:ind w:right="3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(18,461)</w:t>
            </w:r>
          </w:p>
        </w:tc>
        <w:tc>
          <w:tcPr>
            <w:tcW w:w="0" w:type="dxa"/>
            <w:vAlign w:val="bottom"/>
          </w:tcPr>
          <w:p>
            <w:pPr>
              <w:spacing w:after="0"/>
              <w:rPr>
                <w:sz w:val="1"/>
                <w:szCs w:val="1"/>
                <w:color w:val="auto"/>
              </w:rPr>
            </w:pPr>
          </w:p>
        </w:tc>
      </w:tr>
      <w:tr>
        <w:trPr>
          <w:trHeight w:val="196"/>
        </w:trPr>
        <w:tc>
          <w:tcPr>
            <w:tcW w:w="5520" w:type="dxa"/>
            <w:vAlign w:val="bottom"/>
            <w:tcBorders>
              <w:bottom w:val="single" w:sz="8" w:color="CCEEFF"/>
            </w:tcBorders>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Net cash used in investing activities</w:t>
            </w:r>
          </w:p>
        </w:tc>
        <w:tc>
          <w:tcPr>
            <w:tcW w:w="24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(3,072)</w:t>
            </w:r>
          </w:p>
        </w:tc>
        <w:tc>
          <w:tcPr>
            <w:tcW w:w="16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(12,149)</w:t>
            </w:r>
          </w:p>
        </w:tc>
        <w:tc>
          <w:tcPr>
            <w:tcW w:w="160" w:type="dxa"/>
            <w:vAlign w:val="bottom"/>
            <w:tcBorders>
              <w:bottom w:val="single" w:sz="8" w:color="CCEEFF"/>
            </w:tcBorders>
            <w:gridSpan w:val="2"/>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jc w:val="center"/>
              <w:ind w:right="3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9,077</w:t>
            </w:r>
          </w:p>
        </w:tc>
        <w:tc>
          <w:tcPr>
            <w:tcW w:w="0" w:type="dxa"/>
            <w:vAlign w:val="bottom"/>
          </w:tcPr>
          <w:p>
            <w:pPr>
              <w:spacing w:after="0"/>
              <w:rPr>
                <w:sz w:val="1"/>
                <w:szCs w:val="1"/>
                <w:color w:val="auto"/>
              </w:rPr>
            </w:pPr>
          </w:p>
        </w:tc>
      </w:tr>
      <w:tr>
        <w:trPr>
          <w:trHeight w:val="20"/>
        </w:trPr>
        <w:tc>
          <w:tcPr>
            <w:tcW w:w="552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Net cash used in financing activities</w:t>
            </w:r>
          </w:p>
        </w:tc>
        <w:tc>
          <w:tcPr>
            <w:tcW w:w="240" w:type="dxa"/>
            <w:vAlign w:val="bottom"/>
            <w:vMerge w:val="restart"/>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60" w:type="dxa"/>
            <w:vAlign w:val="bottom"/>
            <w:vMerge w:val="restart"/>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60" w:type="dxa"/>
            <w:vAlign w:val="bottom"/>
            <w:gridSpan w:val="2"/>
            <w:vMerge w:val="restart"/>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5520" w:type="dxa"/>
            <w:vAlign w:val="bottom"/>
            <w:vMerge w:val="continue"/>
          </w:tcPr>
          <w:p>
            <w:pPr>
              <w:spacing w:after="0"/>
              <w:rPr>
                <w:sz w:val="17"/>
                <w:szCs w:val="17"/>
                <w:color w:val="auto"/>
              </w:rPr>
            </w:pPr>
          </w:p>
        </w:tc>
        <w:tc>
          <w:tcPr>
            <w:tcW w:w="240" w:type="dxa"/>
            <w:vAlign w:val="bottom"/>
            <w:vMerge w:val="continue"/>
          </w:tcPr>
          <w:p>
            <w:pPr>
              <w:spacing w:after="0"/>
              <w:rPr>
                <w:sz w:val="17"/>
                <w:szCs w:val="17"/>
                <w:color w:val="auto"/>
              </w:rPr>
            </w:pPr>
          </w:p>
        </w:tc>
        <w:tc>
          <w:tcPr>
            <w:tcW w:w="1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(3,114)</w:t>
            </w:r>
          </w:p>
        </w:tc>
        <w:tc>
          <w:tcPr>
            <w:tcW w:w="160" w:type="dxa"/>
            <w:vAlign w:val="bottom"/>
            <w:vMerge w:val="continue"/>
          </w:tcPr>
          <w:p>
            <w:pPr>
              <w:spacing w:after="0"/>
              <w:rPr>
                <w:sz w:val="17"/>
                <w:szCs w:val="17"/>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(1,812)</w:t>
            </w:r>
          </w:p>
        </w:tc>
        <w:tc>
          <w:tcPr>
            <w:tcW w:w="160" w:type="dxa"/>
            <w:vAlign w:val="bottom"/>
            <w:gridSpan w:val="2"/>
            <w:vMerge w:val="continue"/>
          </w:tcPr>
          <w:p>
            <w:pPr>
              <w:spacing w:after="0"/>
              <w:rPr>
                <w:sz w:val="17"/>
                <w:szCs w:val="17"/>
                <w:color w:val="auto"/>
              </w:rPr>
            </w:pPr>
          </w:p>
        </w:tc>
        <w:tc>
          <w:tcPr>
            <w:tcW w:w="200" w:type="dxa"/>
            <w:vAlign w:val="bottom"/>
          </w:tcPr>
          <w:p>
            <w:pPr>
              <w:jc w:val="center"/>
              <w:ind w:right="3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(1,302)</w:t>
            </w:r>
          </w:p>
        </w:tc>
        <w:tc>
          <w:tcPr>
            <w:tcW w:w="0" w:type="dxa"/>
            <w:vAlign w:val="bottom"/>
          </w:tcPr>
          <w:p>
            <w:pPr>
              <w:spacing w:after="0"/>
              <w:rPr>
                <w:sz w:val="1"/>
                <w:szCs w:val="1"/>
                <w:color w:val="auto"/>
              </w:rPr>
            </w:pPr>
          </w:p>
        </w:tc>
      </w:tr>
      <w:tr>
        <w:trPr>
          <w:trHeight w:val="20"/>
        </w:trPr>
        <w:tc>
          <w:tcPr>
            <w:tcW w:w="55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left="60" w:right="159" w:firstLine="324"/>
        <w:spacing w:after="0" w:line="258" w:lineRule="auto"/>
        <w:rPr>
          <w:sz w:val="20"/>
          <w:szCs w:val="20"/>
          <w:color w:val="auto"/>
        </w:rPr>
      </w:pPr>
      <w:r>
        <w:rPr>
          <w:rFonts w:ascii="Times New Roman" w:cs="Times New Roman" w:eastAsia="Times New Roman" w:hAnsi="Times New Roman"/>
          <w:sz w:val="18"/>
          <w:szCs w:val="18"/>
          <w:color w:val="auto"/>
        </w:rPr>
        <w:t>We had cash, cash equivalents, and restricted cash aggregating $70 million and $98 million at March 31, 2026 and December 31, 2025, respectively. We had cash held by our non-U.S. subsidiaries aggregating $46 million and $50 million at March 31, 2026 and December 31, 2025, respectively. If we elect to repatriate all of the funds held by our non-U.S. subsidiaries as of March 31, 2026, we do not believe that the amounts of potential withholding taxes that would arise from the repatriation would have a material effect on our liquidity.</w:t>
      </w:r>
    </w:p>
    <w:p>
      <w:pPr>
        <w:spacing w:after="0" w:line="183" w:lineRule="exact"/>
        <w:rPr>
          <w:sz w:val="20"/>
          <w:szCs w:val="20"/>
          <w:color w:val="auto"/>
        </w:rPr>
      </w:pPr>
    </w:p>
    <w:p>
      <w:pPr>
        <w:ind w:left="60" w:right="399" w:firstLine="324"/>
        <w:spacing w:after="0" w:line="266" w:lineRule="auto"/>
        <w:rPr>
          <w:sz w:val="20"/>
          <w:szCs w:val="20"/>
          <w:color w:val="auto"/>
        </w:rPr>
      </w:pPr>
      <w:r>
        <w:rPr>
          <w:rFonts w:ascii="Times New Roman" w:cs="Times New Roman" w:eastAsia="Times New Roman" w:hAnsi="Times New Roman"/>
          <w:sz w:val="18"/>
          <w:szCs w:val="18"/>
          <w:color w:val="auto"/>
        </w:rPr>
        <w:t>At March 31, 2026, we had an outstanding balance under the current credit facility of $339.9 million at an average interest rate of 9.9%, with no revolver balance and no letters of credit outstanding. We were in compliance with all covenants of the current credit facility at both March 31, 2026 and December 31, 2025.</w:t>
      </w:r>
    </w:p>
    <w:p>
      <w:pPr>
        <w:spacing w:after="0" w:line="176" w:lineRule="exact"/>
        <w:rPr>
          <w:sz w:val="20"/>
          <w:szCs w:val="20"/>
          <w:color w:val="auto"/>
        </w:rPr>
      </w:pPr>
    </w:p>
    <w:p>
      <w:pPr>
        <w:ind w:left="60" w:right="59" w:firstLine="324"/>
        <w:spacing w:after="0" w:line="255" w:lineRule="auto"/>
        <w:rPr>
          <w:sz w:val="20"/>
          <w:szCs w:val="20"/>
          <w:color w:val="auto"/>
        </w:rPr>
      </w:pPr>
      <w:r>
        <w:rPr>
          <w:rFonts w:ascii="Times New Roman" w:cs="Times New Roman" w:eastAsia="Times New Roman" w:hAnsi="Times New Roman"/>
          <w:sz w:val="18"/>
          <w:szCs w:val="18"/>
          <w:color w:val="auto"/>
        </w:rPr>
        <w:t>On May 5, 2026, we entered into the First Amendment, which (1) waives compliance with the maximum consolidated net leverage ratio financial covenant as of and for the period ending June 30, 2026, (2) increases the Maximum Consolidated Net Leverage Ratio (as defined in the 2024 Credit Facility) to 4.50:1.00 as of and for the period ending September 30, 2026, and sets the ratio for all subsequent quarters to 4.00:1.00, and (3) modifies the applicable interest rate margins for any quarter in which the Consolidated Net Leverage Ratio exceeds 3.75:1.00 to 7.00%. Management believes that, together with expected operating cash flows, the First Amendment provides sufficient liquidity to enable the Company to meet its anticipated operating and capital requirements for at least the next twelve months.</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44" w:name="page45"/>
    <w:bookmarkEnd w:id="44"/>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219" w:firstLine="324"/>
        <w:spacing w:after="0" w:line="272" w:lineRule="auto"/>
        <w:rPr>
          <w:sz w:val="20"/>
          <w:szCs w:val="20"/>
          <w:color w:val="auto"/>
        </w:rPr>
      </w:pPr>
      <w:r>
        <w:rPr>
          <w:rFonts w:ascii="Times New Roman" w:cs="Times New Roman" w:eastAsia="Times New Roman" w:hAnsi="Times New Roman"/>
          <w:sz w:val="17"/>
          <w:szCs w:val="17"/>
          <w:color w:val="auto"/>
        </w:rPr>
        <w:t>In the course of our business, we use letters of credit, bank guarantees, and surety bonds (collectively, "Guarantees"). We had $11.2 million and $11.1 million of Guarantees under various uncommitted facilities as of March 31, 2026 and December 31, 2025, respectively. We had no letters of credit outstanding under the current credit facility as of</w:t>
      </w:r>
    </w:p>
    <w:p>
      <w:pPr>
        <w:spacing w:after="0" w:line="2" w:lineRule="exact"/>
        <w:rPr>
          <w:sz w:val="20"/>
          <w:szCs w:val="20"/>
          <w:color w:val="auto"/>
        </w:rPr>
      </w:pPr>
    </w:p>
    <w:p>
      <w:pPr>
        <w:ind w:left="60" w:right="139"/>
        <w:spacing w:after="0" w:line="255" w:lineRule="auto"/>
        <w:rPr>
          <w:sz w:val="20"/>
          <w:szCs w:val="20"/>
          <w:color w:val="auto"/>
        </w:rPr>
      </w:pPr>
      <w:r>
        <w:rPr>
          <w:rFonts w:ascii="Times New Roman" w:cs="Times New Roman" w:eastAsia="Times New Roman" w:hAnsi="Times New Roman"/>
          <w:sz w:val="18"/>
          <w:szCs w:val="18"/>
          <w:color w:val="auto"/>
        </w:rPr>
        <w:t>March 31, 2026 or December 31, 2025. At March 31, 2026 and December 31, 2025, we had cash collateral of $2.0 million and $1.7 million supporting the Guarantees, respectively, which are reported as Restricted cash in our condensed consolidated balance sheets.</w:t>
      </w:r>
    </w:p>
    <w:p>
      <w:pPr>
        <w:spacing w:after="0" w:line="186" w:lineRule="exact"/>
        <w:rPr>
          <w:sz w:val="20"/>
          <w:szCs w:val="20"/>
          <w:color w:val="auto"/>
        </w:rPr>
      </w:pPr>
    </w:p>
    <w:p>
      <w:pPr>
        <w:ind w:left="60" w:right="199" w:firstLine="324"/>
        <w:spacing w:after="0" w:line="256" w:lineRule="auto"/>
        <w:rPr>
          <w:sz w:val="20"/>
          <w:szCs w:val="20"/>
          <w:color w:val="auto"/>
        </w:rPr>
      </w:pPr>
      <w:r>
        <w:rPr>
          <w:rFonts w:ascii="Times New Roman" w:cs="Times New Roman" w:eastAsia="Times New Roman" w:hAnsi="Times New Roman"/>
          <w:sz w:val="18"/>
          <w:szCs w:val="18"/>
          <w:color w:val="auto"/>
        </w:rPr>
        <w:t>We are exposed to financial market risk related to foreign currency fluctuations and changes in interest rates. These exposures are actively monitored by management. To manage the volatility related to the exposure to changes in interest rates, we may enter into a derivative financial instrument. Management’s objective has been to reduce, where it is deemed appropriate to do so, fluctuations in earnings and cash flows associated with changes in interest rates. Our policies and practices are to use derivative financial instruments only to the extent necessary to manage exposures. We do not hold or issue derivative financial instruments for trading or speculative purposes.</w:t>
      </w:r>
    </w:p>
    <w:p>
      <w:pPr>
        <w:spacing w:after="0" w:line="187" w:lineRule="exact"/>
        <w:rPr>
          <w:sz w:val="20"/>
          <w:szCs w:val="20"/>
          <w:color w:val="auto"/>
        </w:rPr>
      </w:pPr>
    </w:p>
    <w:p>
      <w:pPr>
        <w:ind w:left="60" w:right="199" w:firstLine="324"/>
        <w:spacing w:after="0" w:line="222" w:lineRule="exact"/>
        <w:rPr>
          <w:sz w:val="20"/>
          <w:szCs w:val="20"/>
          <w:color w:val="auto"/>
        </w:rPr>
      </w:pPr>
      <w:r>
        <w:rPr>
          <w:rFonts w:ascii="Times New Roman" w:cs="Times New Roman" w:eastAsia="Times New Roman" w:hAnsi="Times New Roman"/>
          <w:sz w:val="18"/>
          <w:szCs w:val="18"/>
          <w:color w:val="auto"/>
        </w:rPr>
        <w:t>As a result of exposure to foreign currency fluctuations, we entered into foreign exchange forward activity in January 2026 which effectively hedges a portion of the Company’s foreign</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currency exposure arising from international transactions.</w:t>
      </w:r>
    </w:p>
    <w:p>
      <w:pPr>
        <w:spacing w:after="0" w:line="199" w:lineRule="exact"/>
        <w:rPr>
          <w:sz w:val="20"/>
          <w:szCs w:val="20"/>
          <w:color w:val="auto"/>
        </w:rPr>
      </w:pPr>
    </w:p>
    <w:p>
      <w:pPr>
        <w:ind w:left="60" w:right="259" w:firstLine="324"/>
        <w:spacing w:after="0" w:line="220" w:lineRule="exact"/>
        <w:rPr>
          <w:sz w:val="20"/>
          <w:szCs w:val="20"/>
          <w:color w:val="auto"/>
        </w:rPr>
      </w:pPr>
      <w:r>
        <w:rPr>
          <w:rFonts w:ascii="Times New Roman" w:cs="Times New Roman" w:eastAsia="Times New Roman" w:hAnsi="Times New Roman"/>
          <w:sz w:val="18"/>
          <w:szCs w:val="18"/>
          <w:color w:val="auto"/>
        </w:rPr>
        <w:t>Our objectives in using foreign exchange derivatives have been to add stability to operating expenses and to manage our exposure to foreign currency movements. To accomplish these objectives, we have used foreign exchange forward contracts as part of our foreign currency risk management strategy. Foreign exchange forwards designated as cash flow hedges involve the exchange of variable foreign</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currency cash flows for fixed rate cash flows over the life of the agreement, without an exchange of the underlying notional amount.</w:t>
      </w:r>
    </w:p>
    <w:p>
      <w:pPr>
        <w:spacing w:after="0" w:line="201" w:lineRule="exact"/>
        <w:rPr>
          <w:sz w:val="20"/>
          <w:szCs w:val="20"/>
          <w:color w:val="auto"/>
        </w:rPr>
      </w:pPr>
    </w:p>
    <w:p>
      <w:pPr>
        <w:ind w:left="60" w:right="99" w:firstLine="324"/>
        <w:spacing w:after="0" w:line="258" w:lineRule="auto"/>
        <w:rPr>
          <w:sz w:val="20"/>
          <w:szCs w:val="20"/>
          <w:color w:val="auto"/>
        </w:rPr>
      </w:pPr>
      <w:r>
        <w:rPr>
          <w:rFonts w:ascii="Times New Roman" w:cs="Times New Roman" w:eastAsia="Times New Roman" w:hAnsi="Times New Roman"/>
          <w:sz w:val="18"/>
          <w:szCs w:val="18"/>
          <w:color w:val="auto"/>
        </w:rPr>
        <w:t>The effective portion of changes in the fair value of designated derivatives that qualify as cash flow hedges is recorded in Accumulated other comprehensive income in the condensed consolidated balance sheet and is subsequently reclassified into earnings in the period that the hedged forecasted transactions affect earnings. Any ineffective portion of the change in the fair value of the derivative would be recognized directly in earnings. We had no derivative assets or liabilities at December 31, 2025.</w:t>
      </w:r>
    </w:p>
    <w:p>
      <w:pPr>
        <w:spacing w:after="0" w:line="183" w:lineRule="exact"/>
        <w:rPr>
          <w:sz w:val="20"/>
          <w:szCs w:val="20"/>
          <w:color w:val="auto"/>
        </w:rPr>
      </w:pPr>
    </w:p>
    <w:p>
      <w:pPr>
        <w:jc w:val="both"/>
        <w:ind w:left="60" w:right="79" w:firstLine="324"/>
        <w:spacing w:after="0" w:line="261" w:lineRule="auto"/>
        <w:rPr>
          <w:sz w:val="20"/>
          <w:szCs w:val="20"/>
          <w:color w:val="auto"/>
        </w:rPr>
      </w:pPr>
      <w:r>
        <w:rPr>
          <w:rFonts w:ascii="Times New Roman" w:cs="Times New Roman" w:eastAsia="Times New Roman" w:hAnsi="Times New Roman"/>
          <w:sz w:val="18"/>
          <w:szCs w:val="18"/>
          <w:color w:val="auto"/>
        </w:rPr>
        <w:t>In the second quarter of 2025, our Board approved a share repurchase program (the "2025 Repurchase Program" or the “Repurchase Program”) pursuant to which we are authorized to repurchase up to $50 million of our common stock prior to December 31, 2027. We repurchased 0.4 million shares in the three months ended March 31, 2026, using $0.8 million. Since the start of the Repurchase Program, the Company has repurchased 2.9 million shares using $9.8 million.</w:t>
      </w:r>
    </w:p>
    <w:p>
      <w:pPr>
        <w:spacing w:after="0" w:line="17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Cash Flows from Operating Activities</w:t>
      </w:r>
    </w:p>
    <w:p>
      <w:pPr>
        <w:spacing w:after="0" w:line="229" w:lineRule="exact"/>
        <w:rPr>
          <w:sz w:val="20"/>
          <w:szCs w:val="20"/>
          <w:color w:val="auto"/>
        </w:rPr>
      </w:pPr>
    </w:p>
    <w:p>
      <w:pPr>
        <w:ind w:left="60" w:right="279" w:firstLine="324"/>
        <w:spacing w:after="0" w:line="258" w:lineRule="auto"/>
        <w:rPr>
          <w:sz w:val="20"/>
          <w:szCs w:val="20"/>
          <w:color w:val="auto"/>
        </w:rPr>
      </w:pPr>
      <w:r>
        <w:rPr>
          <w:rFonts w:ascii="Times New Roman" w:cs="Times New Roman" w:eastAsia="Times New Roman" w:hAnsi="Times New Roman"/>
          <w:sz w:val="18"/>
          <w:szCs w:val="18"/>
          <w:color w:val="auto"/>
        </w:rPr>
        <w:t>Our primary source of cash from operating activities has been from cash collections from our customers. We expect cash flows from operating activities to be affected by increases and decreases in sales volumes and timing of collections, and by purchases and shipments of inventory. Our primary uses of cash for operating activities have been for personnel costs and investment in our research and development and in our sales and marketing, and general and administrative departments.</w:t>
      </w:r>
    </w:p>
    <w:p>
      <w:pPr>
        <w:spacing w:after="0" w:line="183" w:lineRule="exact"/>
        <w:rPr>
          <w:sz w:val="20"/>
          <w:szCs w:val="20"/>
          <w:color w:val="auto"/>
        </w:rPr>
      </w:pPr>
    </w:p>
    <w:p>
      <w:pPr>
        <w:ind w:left="60" w:right="459" w:firstLine="324"/>
        <w:spacing w:after="0" w:line="220" w:lineRule="exact"/>
        <w:rPr>
          <w:sz w:val="20"/>
          <w:szCs w:val="20"/>
          <w:color w:val="auto"/>
        </w:rPr>
      </w:pPr>
      <w:r>
        <w:rPr>
          <w:rFonts w:ascii="Times New Roman" w:cs="Times New Roman" w:eastAsia="Times New Roman" w:hAnsi="Times New Roman"/>
          <w:sz w:val="17"/>
          <w:szCs w:val="17"/>
          <w:color w:val="auto"/>
        </w:rPr>
        <w:t>Our operating activities used $22.0 million of cash in the three months ended March 31, 2026 largely driven by payments of variable employee compensation, decreases in accounts payable, accrued expenses, and other long</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term liabilities reflecting the timing of vendor and other operating payments, and increases in inventory and other operating assets, as well as a result of our net loss adjusted for non-cash expenses. These uses of cash were partially offset by a decrease in accounts receivable. Net loss was adjusted for non</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cash items, including amortization of intangible assets, stock</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based compensation, the decrease in the fair value of the warrant liability, and deferred income tax expense.</w:t>
      </w:r>
    </w:p>
    <w:p>
      <w:pPr>
        <w:spacing w:after="0" w:line="192" w:lineRule="exact"/>
        <w:rPr>
          <w:sz w:val="20"/>
          <w:szCs w:val="20"/>
          <w:color w:val="auto"/>
        </w:rPr>
      </w:pPr>
    </w:p>
    <w:p>
      <w:pPr>
        <w:ind w:left="60" w:right="99" w:firstLine="324"/>
        <w:spacing w:after="0" w:line="261" w:lineRule="auto"/>
        <w:rPr>
          <w:sz w:val="20"/>
          <w:szCs w:val="20"/>
          <w:color w:val="auto"/>
        </w:rPr>
      </w:pPr>
      <w:r>
        <w:rPr>
          <w:rFonts w:ascii="Times New Roman" w:cs="Times New Roman" w:eastAsia="Times New Roman" w:hAnsi="Times New Roman"/>
          <w:sz w:val="18"/>
          <w:szCs w:val="18"/>
          <w:color w:val="auto"/>
        </w:rPr>
        <w:t>Our operating activities used cash of $3.5 million in the three months ended March 31, 2025, largely driven by the payment of variable employee compensation and primarily as a result of our net loss adjusted for non-cash expenses, lower accrued expenses and other long-term liabilities, lower accounts payable, and higher other operating assets and inventory. These amounts were partially offset by lower accounts receivable. Our net loss is adjusted for non-cash</w:t>
      </w:r>
    </w:p>
    <w:p>
      <w:pPr>
        <w:sectPr>
          <w:pgSz w:w="11900" w:h="16838" w:orient="portrait"/>
          <w:cols w:equalWidth="0" w:num="1">
            <w:col w:w="9019"/>
          </w:cols>
          <w:pgMar w:left="1440" w:top="513" w:right="1440" w:bottom="1440" w:gutter="0" w:footer="0" w:header="0"/>
        </w:sectPr>
      </w:pP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45" w:name="page46"/>
    <w:bookmarkEnd w:id="45"/>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159"/>
        <w:spacing w:after="0" w:line="282" w:lineRule="auto"/>
        <w:rPr>
          <w:sz w:val="20"/>
          <w:szCs w:val="20"/>
          <w:color w:val="auto"/>
        </w:rPr>
      </w:pPr>
      <w:r>
        <w:rPr>
          <w:rFonts w:ascii="Times New Roman" w:cs="Times New Roman" w:eastAsia="Times New Roman" w:hAnsi="Times New Roman"/>
          <w:sz w:val="18"/>
          <w:szCs w:val="18"/>
          <w:color w:val="auto"/>
        </w:rPr>
        <w:t>expenses such as amortization of intangible assets, stock-based compensation, the decrease in the fair value of our warrant liability and deferred income tax expense.</w:t>
      </w:r>
    </w:p>
    <w:p>
      <w:pPr>
        <w:spacing w:after="0" w:line="15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Cash Flows from Investing Activities</w:t>
      </w:r>
    </w:p>
    <w:p>
      <w:pPr>
        <w:spacing w:after="0" w:line="229" w:lineRule="exact"/>
        <w:rPr>
          <w:sz w:val="20"/>
          <w:szCs w:val="20"/>
          <w:color w:val="auto"/>
        </w:rPr>
      </w:pPr>
    </w:p>
    <w:p>
      <w:pPr>
        <w:ind w:left="60" w:right="299" w:firstLine="324"/>
        <w:spacing w:after="0" w:line="225" w:lineRule="exact"/>
        <w:rPr>
          <w:sz w:val="20"/>
          <w:szCs w:val="20"/>
          <w:color w:val="auto"/>
        </w:rPr>
      </w:pPr>
      <w:r>
        <w:rPr>
          <w:rFonts w:ascii="Times New Roman" w:cs="Times New Roman" w:eastAsia="Times New Roman" w:hAnsi="Times New Roman"/>
          <w:sz w:val="18"/>
          <w:szCs w:val="18"/>
          <w:color w:val="auto"/>
        </w:rPr>
        <w:t>Our investing activities used $3.1 million and $12.1 million of cash to purchase property and equipment in the three months ended March 31, 2026 and 2025, respectively. The decrease in capital expenditures compared to the prior</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year period was primarily attributable to the completion of the build</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out of our new facility in Israel during 2025.</w:t>
      </w:r>
    </w:p>
    <w:p>
      <w:pPr>
        <w:spacing w:after="0" w:line="18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Cash Flows from Financing Activities</w:t>
      </w:r>
    </w:p>
    <w:p>
      <w:pPr>
        <w:spacing w:after="0" w:line="229" w:lineRule="exact"/>
        <w:rPr>
          <w:sz w:val="20"/>
          <w:szCs w:val="20"/>
          <w:color w:val="auto"/>
        </w:rPr>
      </w:pPr>
    </w:p>
    <w:p>
      <w:pPr>
        <w:ind w:left="60" w:right="199" w:firstLine="324"/>
        <w:spacing w:after="0" w:line="266" w:lineRule="auto"/>
        <w:rPr>
          <w:sz w:val="20"/>
          <w:szCs w:val="20"/>
          <w:color w:val="auto"/>
        </w:rPr>
      </w:pPr>
      <w:r>
        <w:rPr>
          <w:rFonts w:ascii="Times New Roman" w:cs="Times New Roman" w:eastAsia="Times New Roman" w:hAnsi="Times New Roman"/>
          <w:sz w:val="18"/>
          <w:szCs w:val="18"/>
          <w:color w:val="auto"/>
        </w:rPr>
        <w:t>Our financing activities used $3.1 million of cash in the three months ended March 31, 2026. We paid $2.2 million in principal payments on our term debt, $0.1 million of tax obligations related to the vesting of stock awards and units and $0.8 million for the repurchase and retirement of our common stock under the 2025 Repurchase Program.</w:t>
      </w:r>
    </w:p>
    <w:p>
      <w:pPr>
        <w:spacing w:after="0" w:line="176" w:lineRule="exact"/>
        <w:rPr>
          <w:sz w:val="20"/>
          <w:szCs w:val="20"/>
          <w:color w:val="auto"/>
        </w:rPr>
      </w:pPr>
    </w:p>
    <w:p>
      <w:pPr>
        <w:ind w:left="60" w:right="199" w:firstLine="324"/>
        <w:spacing w:after="0" w:line="312" w:lineRule="auto"/>
        <w:rPr>
          <w:sz w:val="20"/>
          <w:szCs w:val="20"/>
          <w:color w:val="auto"/>
        </w:rPr>
      </w:pPr>
      <w:r>
        <w:rPr>
          <w:rFonts w:ascii="Times New Roman" w:cs="Times New Roman" w:eastAsia="Times New Roman" w:hAnsi="Times New Roman"/>
          <w:sz w:val="17"/>
          <w:szCs w:val="17"/>
          <w:color w:val="auto"/>
        </w:rPr>
        <w:t>Our financing activities used $1.8 million of cash in the three months ended March 31, 2025. We paid $0.9 million in principal payments on our term debt and $0.9 million of tax obligations related to the vesting of stock awards and units.</w:t>
      </w:r>
    </w:p>
    <w:p>
      <w:pPr>
        <w:spacing w:after="0" w:line="140" w:lineRule="exact"/>
        <w:rPr>
          <w:sz w:val="20"/>
          <w:szCs w:val="20"/>
          <w:color w:val="auto"/>
        </w:rPr>
      </w:pPr>
    </w:p>
    <w:p>
      <w:pPr>
        <w:ind w:left="60" w:right="239" w:firstLine="324"/>
        <w:spacing w:after="0" w:line="270" w:lineRule="auto"/>
        <w:rPr>
          <w:sz w:val="20"/>
          <w:szCs w:val="20"/>
          <w:color w:val="auto"/>
        </w:rPr>
      </w:pPr>
      <w:r>
        <w:rPr>
          <w:rFonts w:ascii="Times New Roman" w:cs="Times New Roman" w:eastAsia="Times New Roman" w:hAnsi="Times New Roman"/>
          <w:sz w:val="17"/>
          <w:szCs w:val="17"/>
          <w:color w:val="auto"/>
        </w:rPr>
        <w:t>The rate at which we consume cash is dependent upon the cash needs of our future operations, including our contractual obligations at March 31, 2026, primarily comprised of our debt principal and interest obligations as described above, and our operating lease and purchase obligations. Our operating lease obligations totaled $95.4 million at March 31, 2026, with payments to be made aggregating $13.2 million in the remainder of 2026, $16.6 million in 2027,</w:t>
      </w:r>
    </w:p>
    <w:p>
      <w:pPr>
        <w:spacing w:after="0" w:line="3" w:lineRule="exact"/>
        <w:rPr>
          <w:sz w:val="20"/>
          <w:szCs w:val="20"/>
          <w:color w:val="auto"/>
        </w:rPr>
      </w:pPr>
    </w:p>
    <w:p>
      <w:pPr>
        <w:ind w:left="60" w:right="99"/>
        <w:spacing w:after="0" w:line="271" w:lineRule="auto"/>
        <w:rPr>
          <w:sz w:val="20"/>
          <w:szCs w:val="20"/>
          <w:color w:val="auto"/>
        </w:rPr>
      </w:pPr>
      <w:r>
        <w:rPr>
          <w:rFonts w:ascii="Times New Roman" w:cs="Times New Roman" w:eastAsia="Times New Roman" w:hAnsi="Times New Roman"/>
          <w:sz w:val="17"/>
          <w:szCs w:val="17"/>
          <w:color w:val="auto"/>
        </w:rPr>
        <w:t>$13.9 million in 2028 and $51.7 million thereafter. Estimated payments for purchase obligations for the full year 2026 total approximately $102 million. We anticipate devoting substantial capital resources to continue our R&amp;D efforts, to maintain our sales, support and marketing, and for other general corporate activities. We believe that our financial resources, along with managing discretionary expenses, will allow us to manage the ongoing impact of inflation on our business operations. Looking ahead, we have developed contingency plans to reduce costs further if the situation deteriorates.</w:t>
      </w:r>
    </w:p>
    <w:p>
      <w:pPr>
        <w:spacing w:after="0" w:line="174" w:lineRule="exact"/>
        <w:rPr>
          <w:sz w:val="20"/>
          <w:szCs w:val="20"/>
          <w:color w:val="auto"/>
        </w:rPr>
      </w:pPr>
    </w:p>
    <w:p>
      <w:pPr>
        <w:ind w:left="60" w:right="199" w:firstLine="324"/>
        <w:spacing w:after="0" w:line="266" w:lineRule="auto"/>
        <w:rPr>
          <w:sz w:val="20"/>
          <w:szCs w:val="20"/>
          <w:color w:val="auto"/>
        </w:rPr>
      </w:pPr>
      <w:r>
        <w:rPr>
          <w:rFonts w:ascii="Times New Roman" w:cs="Times New Roman" w:eastAsia="Times New Roman" w:hAnsi="Times New Roman"/>
          <w:sz w:val="18"/>
          <w:szCs w:val="18"/>
          <w:color w:val="auto"/>
        </w:rPr>
        <w:t>Based on our current expectations, we believe that our current cash balances and available borrowings under the current credit facility will be sufficient to meet our anticipated cash needs for working capital and capital expenditures for at least twelve months from the date of issuance of these financial statements.</w:t>
      </w:r>
    </w:p>
    <w:p>
      <w:pPr>
        <w:spacing w:after="0" w:line="1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Recent Accounting Pronouncements</w:t>
      </w:r>
    </w:p>
    <w:p>
      <w:pPr>
        <w:spacing w:after="0" w:line="227" w:lineRule="exact"/>
        <w:rPr>
          <w:sz w:val="20"/>
          <w:szCs w:val="20"/>
          <w:color w:val="auto"/>
        </w:rPr>
      </w:pPr>
    </w:p>
    <w:p>
      <w:pPr>
        <w:ind w:left="60" w:right="199" w:firstLine="324"/>
        <w:spacing w:after="0" w:line="256" w:lineRule="auto"/>
        <w:rPr>
          <w:sz w:val="20"/>
          <w:szCs w:val="20"/>
          <w:color w:val="auto"/>
        </w:rPr>
      </w:pPr>
      <w:r>
        <w:rPr>
          <w:rFonts w:ascii="Times New Roman" w:cs="Times New Roman" w:eastAsia="Times New Roman" w:hAnsi="Times New Roman"/>
          <w:sz w:val="18"/>
          <w:szCs w:val="18"/>
          <w:color w:val="auto"/>
        </w:rPr>
        <w:t xml:space="preserve">In December 2025, the Financial Accounting Standards Board (the "FASB") issued ASU 2025-11, </w:t>
      </w:r>
      <w:r>
        <w:rPr>
          <w:rFonts w:ascii="Times New Roman" w:cs="Times New Roman" w:eastAsia="Times New Roman" w:hAnsi="Times New Roman"/>
          <w:sz w:val="18"/>
          <w:szCs w:val="18"/>
          <w:i w:val="1"/>
          <w:iCs w:val="1"/>
          <w:color w:val="auto"/>
        </w:rPr>
        <w:t>Interim Reporting</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(Topic 270): Narrow-Scope Improvements </w:t>
      </w:r>
      <w:r>
        <w:rPr>
          <w:rFonts w:ascii="Times New Roman" w:cs="Times New Roman" w:eastAsia="Times New Roman" w:hAnsi="Times New Roman"/>
          <w:sz w:val="18"/>
          <w:szCs w:val="18"/>
          <w:color w:val="auto"/>
        </w:rPr>
        <w:t>(“ASU 2025-11”), to improve the navigability of the required interim</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disclosures, to clarify when that guidance is applicable and to enhance disclosure requirements. The amendments add to Topic 270 a principle that requires entities to disclose events since the end of the last annual reporting period that have a material impact on the entity. ASU 2025-11 will be effective for the Company beginning with its 2028 interim and annual financial statements, with early adoption permitted. The Company believes this ASU will have no material impact on its consolidated financial statements.</w:t>
      </w:r>
    </w:p>
    <w:p>
      <w:pPr>
        <w:spacing w:after="0" w:line="183" w:lineRule="exact"/>
        <w:rPr>
          <w:sz w:val="20"/>
          <w:szCs w:val="20"/>
          <w:color w:val="auto"/>
        </w:rPr>
      </w:pPr>
    </w:p>
    <w:p>
      <w:pPr>
        <w:ind w:left="60" w:right="159" w:firstLine="324"/>
        <w:spacing w:after="0" w:line="258" w:lineRule="auto"/>
        <w:rPr>
          <w:sz w:val="20"/>
          <w:szCs w:val="20"/>
          <w:color w:val="auto"/>
        </w:rPr>
      </w:pPr>
      <w:r>
        <w:rPr>
          <w:rFonts w:ascii="Times New Roman" w:cs="Times New Roman" w:eastAsia="Times New Roman" w:hAnsi="Times New Roman"/>
          <w:sz w:val="18"/>
          <w:szCs w:val="18"/>
          <w:color w:val="auto"/>
        </w:rPr>
        <w:t xml:space="preserve">In December 2025, the FASB issued ASU 2025-10, </w:t>
      </w:r>
      <w:r>
        <w:rPr>
          <w:rFonts w:ascii="Times New Roman" w:cs="Times New Roman" w:eastAsia="Times New Roman" w:hAnsi="Times New Roman"/>
          <w:sz w:val="18"/>
          <w:szCs w:val="18"/>
          <w:i w:val="1"/>
          <w:iCs w:val="1"/>
          <w:color w:val="auto"/>
        </w:rPr>
        <w:t>Government Grants (Topic 832): Accounting for Government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Grants Received by Business Entities </w:t>
      </w:r>
      <w:r>
        <w:rPr>
          <w:rFonts w:ascii="Times New Roman" w:cs="Times New Roman" w:eastAsia="Times New Roman" w:hAnsi="Times New Roman"/>
          <w:sz w:val="18"/>
          <w:szCs w:val="18"/>
          <w:color w:val="auto"/>
        </w:rPr>
        <w:t>(“ASU 2025-10”), to clarify the appropriate accounting, reduce diversity in practice,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and increase consistency across business entities. ASU 2025-10 will be effective for us beginning with our 2029 interim and annual financial statements, with early adoption permitted. The Company believes this ASU will have no material impact on its consolidated financial statements.</w:t>
      </w:r>
    </w:p>
    <w:p>
      <w:pPr>
        <w:spacing w:after="0" w:line="183" w:lineRule="exact"/>
        <w:rPr>
          <w:sz w:val="20"/>
          <w:szCs w:val="20"/>
          <w:color w:val="auto"/>
        </w:rPr>
      </w:pPr>
    </w:p>
    <w:p>
      <w:pPr>
        <w:ind w:left="60" w:right="179" w:firstLine="324"/>
        <w:spacing w:after="0" w:line="261" w:lineRule="auto"/>
        <w:rPr>
          <w:sz w:val="20"/>
          <w:szCs w:val="20"/>
          <w:color w:val="auto"/>
        </w:rPr>
      </w:pPr>
      <w:r>
        <w:rPr>
          <w:rFonts w:ascii="Times New Roman" w:cs="Times New Roman" w:eastAsia="Times New Roman" w:hAnsi="Times New Roman"/>
          <w:sz w:val="18"/>
          <w:szCs w:val="18"/>
          <w:color w:val="auto"/>
        </w:rPr>
        <w:t xml:space="preserve">In November 2025, the FASB issued ASU 2025-09, </w:t>
      </w:r>
      <w:r>
        <w:rPr>
          <w:rFonts w:ascii="Times New Roman" w:cs="Times New Roman" w:eastAsia="Times New Roman" w:hAnsi="Times New Roman"/>
          <w:sz w:val="18"/>
          <w:szCs w:val="18"/>
          <w:i w:val="1"/>
          <w:iCs w:val="1"/>
          <w:color w:val="auto"/>
        </w:rPr>
        <w:t>Derivatives and Hedging (Topic 815): Hedge Accounting</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Improvements </w:t>
      </w:r>
      <w:r>
        <w:rPr>
          <w:rFonts w:ascii="Times New Roman" w:cs="Times New Roman" w:eastAsia="Times New Roman" w:hAnsi="Times New Roman"/>
          <w:sz w:val="18"/>
          <w:szCs w:val="18"/>
          <w:color w:val="auto"/>
        </w:rPr>
        <w:t>(“ASU 2025-09”), to enhance hedge accounting guidance and better align it with entities’ risk management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activities. The amendments expand eligibility for hedge accounting, simplify certain requirements, and address issues related to reference rate reform. Key changes include allowing cash flow hedge accounting for</w:t>
      </w:r>
    </w:p>
    <w:p>
      <w:pPr>
        <w:sectPr>
          <w:pgSz w:w="11900" w:h="16838" w:orient="portrait"/>
          <w:cols w:equalWidth="0" w:num="1">
            <w:col w:w="9019"/>
          </w:cols>
          <w:pgMar w:left="1440" w:top="513" w:right="1440" w:bottom="1440" w:gutter="0" w:footer="0" w:header="0"/>
        </w:sectPr>
      </w:pPr>
    </w:p>
    <w:p>
      <w:pPr>
        <w:spacing w:after="0" w:line="3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46" w:name="page47"/>
    <w:bookmarkEnd w:id="46"/>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159"/>
        <w:spacing w:after="0" w:line="258" w:lineRule="auto"/>
        <w:rPr>
          <w:sz w:val="20"/>
          <w:szCs w:val="20"/>
          <w:color w:val="auto"/>
        </w:rPr>
      </w:pPr>
      <w:r>
        <w:rPr>
          <w:rFonts w:ascii="Times New Roman" w:cs="Times New Roman" w:eastAsia="Times New Roman" w:hAnsi="Times New Roman"/>
          <w:sz w:val="18"/>
          <w:szCs w:val="18"/>
          <w:color w:val="auto"/>
        </w:rPr>
        <w:t>“choose-your-rate” debt instruments, introducing a principles-based “similar risk exposure” criterion for grouping forecasted transactions, permitting component hedging for nonfinancial forecasted transactions, and clarifying the treatment of certain derivative structures. ASU 2025-09 will be effective for the Company beginning with its 2027 interim and annual financial statements, with early adoption permitted. The Company is currently evaluating the impact of this accounting standard on its consolidated financial statements and related disclosures.</w:t>
      </w:r>
    </w:p>
    <w:p>
      <w:pPr>
        <w:spacing w:after="0" w:line="181" w:lineRule="exact"/>
        <w:rPr>
          <w:sz w:val="20"/>
          <w:szCs w:val="20"/>
          <w:color w:val="auto"/>
        </w:rPr>
      </w:pPr>
    </w:p>
    <w:p>
      <w:pPr>
        <w:ind w:left="60" w:right="139" w:firstLine="324"/>
        <w:spacing w:after="0" w:line="256" w:lineRule="auto"/>
        <w:rPr>
          <w:sz w:val="20"/>
          <w:szCs w:val="20"/>
          <w:color w:val="auto"/>
        </w:rPr>
      </w:pPr>
      <w:r>
        <w:rPr>
          <w:rFonts w:ascii="Times New Roman" w:cs="Times New Roman" w:eastAsia="Times New Roman" w:hAnsi="Times New Roman"/>
          <w:sz w:val="18"/>
          <w:szCs w:val="18"/>
          <w:color w:val="auto"/>
        </w:rPr>
        <w:t xml:space="preserve">In September 2025, the Financial Accounting Standards Board (the "FASB") issued ASU 2025-06, </w:t>
      </w:r>
      <w:r>
        <w:rPr>
          <w:rFonts w:ascii="Times New Roman" w:cs="Times New Roman" w:eastAsia="Times New Roman" w:hAnsi="Times New Roman"/>
          <w:sz w:val="18"/>
          <w:szCs w:val="18"/>
          <w:i w:val="1"/>
          <w:iCs w:val="1"/>
          <w:color w:val="auto"/>
        </w:rPr>
        <w:t xml:space="preserve">Intangibles-Goodwill and Other- Internal-Use Software (Subtopic 350-40): Targeted Improvements to the Accounting for Internal-Use Software </w:t>
      </w:r>
      <w:r>
        <w:rPr>
          <w:rFonts w:ascii="Times New Roman" w:cs="Times New Roman" w:eastAsia="Times New Roman" w:hAnsi="Times New Roman"/>
          <w:sz w:val="18"/>
          <w:szCs w:val="18"/>
          <w:color w:val="auto"/>
        </w:rPr>
        <w:t>(“ASU 2025-06”). To clarify how the accounting guidance applies to both linear and nonlinear software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development, this standard removes all references to “developments stages” from ASC 350-40. ASU 2025-06 will be effective for us beginning with our 2028 interim and annual financial statements, with early adoption permitted as of the beginning of an annual reporting period. We are currently evaluating the impact of this accounting standard on our consolidated financial statements and related disclosures.</w:t>
      </w:r>
    </w:p>
    <w:p>
      <w:pPr>
        <w:spacing w:after="0" w:line="183" w:lineRule="exact"/>
        <w:rPr>
          <w:sz w:val="20"/>
          <w:szCs w:val="20"/>
          <w:color w:val="auto"/>
        </w:rPr>
      </w:pPr>
    </w:p>
    <w:p>
      <w:pPr>
        <w:ind w:left="60" w:right="119" w:firstLine="324"/>
        <w:spacing w:after="0" w:line="255" w:lineRule="auto"/>
        <w:rPr>
          <w:sz w:val="20"/>
          <w:szCs w:val="20"/>
          <w:color w:val="auto"/>
        </w:rPr>
      </w:pPr>
      <w:r>
        <w:rPr>
          <w:rFonts w:ascii="Times New Roman" w:cs="Times New Roman" w:eastAsia="Times New Roman" w:hAnsi="Times New Roman"/>
          <w:sz w:val="18"/>
          <w:szCs w:val="18"/>
          <w:color w:val="auto"/>
        </w:rPr>
        <w:t xml:space="preserve">In July 2025, the FASB issued ASU 2025-05, </w:t>
      </w:r>
      <w:r>
        <w:rPr>
          <w:rFonts w:ascii="Times New Roman" w:cs="Times New Roman" w:eastAsia="Times New Roman" w:hAnsi="Times New Roman"/>
          <w:sz w:val="18"/>
          <w:szCs w:val="18"/>
          <w:i w:val="1"/>
          <w:iCs w:val="1"/>
          <w:color w:val="auto"/>
        </w:rPr>
        <w:t>Financial Instruments-Credit Losses (Topic 326): Measurement of</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Credit Losses for Accounts Receivable and Contract Assets </w:t>
      </w:r>
      <w:r>
        <w:rPr>
          <w:rFonts w:ascii="Times New Roman" w:cs="Times New Roman" w:eastAsia="Times New Roman" w:hAnsi="Times New Roman"/>
          <w:sz w:val="18"/>
          <w:szCs w:val="18"/>
          <w:color w:val="auto"/>
        </w:rPr>
        <w:t>(“ASU 2025-05”), which provides a practical expedient related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to the estimation of expected credit losses for current accounts receivable and current contract assets that arise from transactions accounted for under ASC 606. In developing reasonable and supportable forecasts as part of estimating expected credit losses, all entities may elect a practical expedient that assumes that current conditions as of the balance sheet date do not change for the remaining life of the asset. ASU 2025-05 will be effective for us beginning with our 2026 interim and annual financial statements, with early adoption permitted. We believe this ASU will have no material impact on our consolidated financial statements.</w:t>
      </w:r>
    </w:p>
    <w:p>
      <w:pPr>
        <w:spacing w:after="0" w:line="185" w:lineRule="exact"/>
        <w:rPr>
          <w:sz w:val="20"/>
          <w:szCs w:val="20"/>
          <w:color w:val="auto"/>
        </w:rPr>
      </w:pPr>
    </w:p>
    <w:p>
      <w:pPr>
        <w:ind w:left="60" w:right="79" w:firstLine="324"/>
        <w:spacing w:after="0" w:line="254" w:lineRule="auto"/>
        <w:rPr>
          <w:sz w:val="20"/>
          <w:szCs w:val="20"/>
          <w:color w:val="auto"/>
        </w:rPr>
      </w:pPr>
      <w:r>
        <w:rPr>
          <w:rFonts w:ascii="Times New Roman" w:cs="Times New Roman" w:eastAsia="Times New Roman" w:hAnsi="Times New Roman"/>
          <w:sz w:val="18"/>
          <w:szCs w:val="18"/>
          <w:color w:val="auto"/>
        </w:rPr>
        <w:t xml:space="preserve">In November 2024, the FASB issued ASU 2024-03, </w:t>
      </w:r>
      <w:r>
        <w:rPr>
          <w:rFonts w:ascii="Times New Roman" w:cs="Times New Roman" w:eastAsia="Times New Roman" w:hAnsi="Times New Roman"/>
          <w:sz w:val="18"/>
          <w:szCs w:val="18"/>
          <w:i w:val="1"/>
          <w:iCs w:val="1"/>
          <w:color w:val="auto"/>
        </w:rPr>
        <w:t>Income Statement, Reporting Comprehensive Income: Expense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Disaggregation Disclosures (Subtopic 220-40) </w:t>
      </w:r>
      <w:r>
        <w:rPr>
          <w:rFonts w:ascii="Times New Roman" w:cs="Times New Roman" w:eastAsia="Times New Roman" w:hAnsi="Times New Roman"/>
          <w:sz w:val="18"/>
          <w:szCs w:val="18"/>
          <w:color w:val="auto"/>
        </w:rPr>
        <w:t>(“ASU 2024-03”), which requires disaggregation of certain expense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captions into specified categories in disclosures within the footnotes to the financial statements. The objective of this standard is to provide investors with information to better understand a public entity’s performance and prospects for future cash flows, and to compare its performance over time with that of other entities. ASU 2024-03 will be effective for us beginning with our 2027 annual financial statements and interim financial statements thereafter, with early adoption permitted. The adoption of ASU 2024-03 will require us to provide new footnote disclosure about the types of expenses that are included in certain captions on our Statements of Operations, such as Cost of revenue, Research and development, Sales and marketing, and General and administrative.</w:t>
      </w:r>
    </w:p>
    <w:p>
      <w:pPr>
        <w:spacing w:after="0" w:line="200" w:lineRule="exact"/>
        <w:rPr>
          <w:sz w:val="20"/>
          <w:szCs w:val="20"/>
          <w:color w:val="auto"/>
        </w:rPr>
      </w:pPr>
    </w:p>
    <w:p>
      <w:pPr>
        <w:spacing w:after="0" w:line="20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Item 3.  Quantitative and Qualitative Disclosures About Market Risk</w:t>
      </w:r>
    </w:p>
    <w:p>
      <w:pPr>
        <w:spacing w:after="0" w:line="229" w:lineRule="exact"/>
        <w:rPr>
          <w:sz w:val="20"/>
          <w:szCs w:val="20"/>
          <w:color w:val="auto"/>
        </w:rPr>
      </w:pPr>
    </w:p>
    <w:p>
      <w:pPr>
        <w:ind w:left="60" w:right="439" w:firstLine="324"/>
        <w:spacing w:after="0" w:line="266" w:lineRule="auto"/>
        <w:rPr>
          <w:sz w:val="20"/>
          <w:szCs w:val="20"/>
          <w:color w:val="auto"/>
        </w:rPr>
      </w:pPr>
      <w:r>
        <w:rPr>
          <w:rFonts w:ascii="Times New Roman" w:cs="Times New Roman" w:eastAsia="Times New Roman" w:hAnsi="Times New Roman"/>
          <w:sz w:val="18"/>
          <w:szCs w:val="18"/>
          <w:color w:val="auto"/>
        </w:rPr>
        <w:t>We are exposed to market risk related to changes in interest rates and foreign currency exchange rates. There have been no material changes in market risk from the information provided in Item 7A. Quantitative and Qualitative Disclosures About Market Risk of our Annual Report on Form 10-K, for the year ended December 31, 2025.</w:t>
      </w:r>
    </w:p>
    <w:p>
      <w:pPr>
        <w:spacing w:after="0" w:line="1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Item 4.  Controls and Procedures</w:t>
      </w:r>
    </w:p>
    <w:p>
      <w:pPr>
        <w:spacing w:after="0" w:line="22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Disclosure Controls and Procedures</w:t>
      </w:r>
    </w:p>
    <w:p>
      <w:pPr>
        <w:spacing w:after="0" w:line="227" w:lineRule="exact"/>
        <w:rPr>
          <w:sz w:val="20"/>
          <w:szCs w:val="20"/>
          <w:color w:val="auto"/>
        </w:rPr>
      </w:pPr>
    </w:p>
    <w:p>
      <w:pPr>
        <w:ind w:left="60" w:right="79" w:firstLine="324"/>
        <w:spacing w:after="0" w:line="258" w:lineRule="auto"/>
        <w:rPr>
          <w:sz w:val="20"/>
          <w:szCs w:val="20"/>
          <w:color w:val="auto"/>
        </w:rPr>
      </w:pPr>
      <w:r>
        <w:rPr>
          <w:rFonts w:ascii="Times New Roman" w:cs="Times New Roman" w:eastAsia="Times New Roman" w:hAnsi="Times New Roman"/>
          <w:sz w:val="18"/>
          <w:szCs w:val="18"/>
          <w:i w:val="1"/>
          <w:iCs w:val="1"/>
          <w:color w:val="auto"/>
        </w:rPr>
        <w:t>Evaluation of Disclosure Controls and Procedures</w:t>
      </w:r>
      <w:r>
        <w:rPr>
          <w:rFonts w:ascii="Times New Roman" w:cs="Times New Roman" w:eastAsia="Times New Roman" w:hAnsi="Times New Roman"/>
          <w:sz w:val="18"/>
          <w:szCs w:val="18"/>
          <w:color w:val="auto"/>
        </w:rPr>
        <w:t>. Our management, with the participation of our principal executive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officer and principal financial officer, evaluated the effectiveness of our disclosure controls and procedures (as defined in Rules 13a-15(e) and 15d-15(e) under the Securities Exchange Act of 1934, as amended (the "Exchange Act")) as of the end of the period covered by this Quarterly Report on Form 10-Q. Based on this evaluation, our principal executive officer and principal financial officer concluded that our disclosure controls and procedures were effective as of March 31, 2026.</w:t>
      </w:r>
    </w:p>
    <w:p>
      <w:pPr>
        <w:spacing w:after="0" w:line="183" w:lineRule="exact"/>
        <w:rPr>
          <w:sz w:val="20"/>
          <w:szCs w:val="20"/>
          <w:color w:val="auto"/>
        </w:rPr>
      </w:pPr>
    </w:p>
    <w:p>
      <w:pPr>
        <w:jc w:val="center"/>
        <w:ind w:left="60" w:right="319"/>
        <w:spacing w:after="0" w:line="315" w:lineRule="auto"/>
        <w:rPr>
          <w:sz w:val="20"/>
          <w:szCs w:val="20"/>
          <w:color w:val="auto"/>
        </w:rPr>
      </w:pPr>
      <w:r>
        <w:rPr>
          <w:rFonts w:ascii="Times New Roman" w:cs="Times New Roman" w:eastAsia="Times New Roman" w:hAnsi="Times New Roman"/>
          <w:sz w:val="17"/>
          <w:szCs w:val="17"/>
          <w:i w:val="1"/>
          <w:iCs w:val="1"/>
          <w:color w:val="auto"/>
        </w:rPr>
        <w:t>Changes in Internal Control over Financial Reporting</w:t>
      </w:r>
      <w:r>
        <w:rPr>
          <w:rFonts w:ascii="Times New Roman" w:cs="Times New Roman" w:eastAsia="Times New Roman" w:hAnsi="Times New Roman"/>
          <w:sz w:val="17"/>
          <w:szCs w:val="17"/>
          <w:color w:val="auto"/>
        </w:rPr>
        <w:t>. There have been no changes in our internal control over</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financial reporting (as defined in Rules 13a-15(f) and 15d-15(f) under the Exchange Act) during the fiscal quarter ended</w:t>
      </w:r>
    </w:p>
    <w:p>
      <w:pPr>
        <w:sectPr>
          <w:pgSz w:w="11900" w:h="16838" w:orient="portrait"/>
          <w:cols w:equalWidth="0" w:num="1">
            <w:col w:w="9019"/>
          </w:cols>
          <w:pgMar w:left="1440" w:top="513" w:right="1440" w:bottom="1440" w:gutter="0" w:footer="0" w:header="0"/>
        </w:sectPr>
      </w:pPr>
    </w:p>
    <w:p>
      <w:pPr>
        <w:spacing w:after="0" w:line="3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47" w:name="page48"/>
    <w:bookmarkEnd w:id="47"/>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699"/>
        <w:spacing w:after="0" w:line="282" w:lineRule="auto"/>
        <w:rPr>
          <w:sz w:val="20"/>
          <w:szCs w:val="20"/>
          <w:color w:val="auto"/>
        </w:rPr>
      </w:pPr>
      <w:r>
        <w:rPr>
          <w:rFonts w:ascii="Times New Roman" w:cs="Times New Roman" w:eastAsia="Times New Roman" w:hAnsi="Times New Roman"/>
          <w:sz w:val="18"/>
          <w:szCs w:val="18"/>
          <w:color w:val="auto"/>
        </w:rPr>
        <w:t>March 31, 2026 that have materially affected, or are reasonably likely to materially affect, our internal control over financial reporting.</w:t>
      </w:r>
    </w:p>
    <w:p>
      <w:pPr>
        <w:spacing w:after="0" w:line="15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PART II OTHER INFORMATION</w:t>
      </w:r>
    </w:p>
    <w:p>
      <w:pPr>
        <w:spacing w:after="0" w:line="22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Item 1.  Legal Proceedings</w:t>
      </w:r>
    </w:p>
    <w:p>
      <w:pPr>
        <w:spacing w:after="0" w:line="229" w:lineRule="exact"/>
        <w:rPr>
          <w:sz w:val="20"/>
          <w:szCs w:val="20"/>
          <w:color w:val="auto"/>
        </w:rPr>
      </w:pPr>
    </w:p>
    <w:p>
      <w:pPr>
        <w:ind w:left="60" w:right="299" w:firstLine="324"/>
        <w:spacing w:after="0" w:line="261" w:lineRule="auto"/>
        <w:rPr>
          <w:sz w:val="20"/>
          <w:szCs w:val="20"/>
          <w:color w:val="auto"/>
        </w:rPr>
      </w:pPr>
      <w:r>
        <w:rPr>
          <w:rFonts w:ascii="Times New Roman" w:cs="Times New Roman" w:eastAsia="Times New Roman" w:hAnsi="Times New Roman"/>
          <w:sz w:val="18"/>
          <w:szCs w:val="18"/>
          <w:color w:val="auto"/>
        </w:rPr>
        <w:t>We are subject to legal proceedings and claims that have not been fully resolved and that have arisen in the ordinary course of business. Our material legal proceedings are described in Part I, Item 1 of this Form 10-Q in the Notes to the Condensed Consolidated Financial Statements in Note 20, "Commitments and Contingencies," under the heading "Contingencies."</w:t>
      </w:r>
    </w:p>
    <w:p>
      <w:pPr>
        <w:spacing w:after="0" w:line="180"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The outcome of litigation is inherently uncertain. If one or more legal matters were resolved against the Company in a</w:t>
      </w:r>
    </w:p>
    <w:p>
      <w:pPr>
        <w:spacing w:after="0" w:line="2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reporting period for amounts above management’s expectations, our financial condition and operating results for that</w:t>
      </w:r>
    </w:p>
    <w:p>
      <w:pPr>
        <w:spacing w:after="0" w:line="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reporting period could be materially adversely affected. We settled certain matters during the three months ended</w:t>
      </w:r>
    </w:p>
    <w:p>
      <w:pPr>
        <w:spacing w:after="0" w:line="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March 31, 2026 that did not individually or in the aggregate have a material impact on our financial condition or operating</w:t>
      </w:r>
    </w:p>
    <w:p>
      <w:pPr>
        <w:spacing w:after="0" w:line="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results.</w:t>
      </w:r>
    </w:p>
    <w:p>
      <w:pPr>
        <w:spacing w:after="0" w:line="20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229" w:lineRule="exact"/>
        <w:rPr>
          <w:sz w:val="20"/>
          <w:szCs w:val="20"/>
          <w:color w:val="auto"/>
        </w:rPr>
      </w:pPr>
    </w:p>
    <w:p>
      <w:pPr>
        <w:ind w:left="60" w:right="219" w:firstLine="324"/>
        <w:spacing w:after="0" w:line="261" w:lineRule="auto"/>
        <w:rPr>
          <w:sz w:val="20"/>
          <w:szCs w:val="20"/>
          <w:color w:val="auto"/>
        </w:rPr>
      </w:pPr>
      <w:r>
        <w:rPr>
          <w:rFonts w:ascii="Times New Roman" w:cs="Times New Roman" w:eastAsia="Times New Roman" w:hAnsi="Times New Roman"/>
          <w:sz w:val="18"/>
          <w:szCs w:val="18"/>
          <w:color w:val="auto"/>
        </w:rPr>
        <w:t>Our business faces significant risks and uncertainties, which may have a material adverse effect on our business prospects, financial condition and results of operations, and you should carefully consider them. There have been no material changes in the three months ended March 31, 2026 to the risk factors described in Part I, Item 1A. of our Annual Report on Form 10-K for the year ended December 31, 2025.</w:t>
      </w:r>
    </w:p>
    <w:p>
      <w:pPr>
        <w:spacing w:after="0" w:line="17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Item 2.  Unregistered Sales of Equity Securities and Use of Proceeds</w:t>
      </w:r>
    </w:p>
    <w:p>
      <w:pPr>
        <w:spacing w:after="0" w:line="22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(c)  Issuer Purchases of Equity Securities</w:t>
      </w:r>
    </w:p>
    <w:p>
      <w:pPr>
        <w:spacing w:after="0" w:line="225" w:lineRule="exact"/>
        <w:rPr>
          <w:sz w:val="20"/>
          <w:szCs w:val="20"/>
          <w:color w:val="auto"/>
        </w:rPr>
      </w:pPr>
    </w:p>
    <w:p>
      <w:pPr>
        <w:ind w:left="60" w:right="79" w:firstLine="324"/>
        <w:spacing w:after="0" w:line="282" w:lineRule="auto"/>
        <w:rPr>
          <w:sz w:val="20"/>
          <w:szCs w:val="20"/>
          <w:color w:val="auto"/>
        </w:rPr>
      </w:pPr>
      <w:r>
        <w:rPr>
          <w:rFonts w:ascii="Times New Roman" w:cs="Times New Roman" w:eastAsia="Times New Roman" w:hAnsi="Times New Roman"/>
          <w:sz w:val="18"/>
          <w:szCs w:val="18"/>
          <w:color w:val="auto"/>
        </w:rPr>
        <w:t>The following table provides information with respect to the shares of common stock repurchased by us for the periods indicated:</w:t>
      </w:r>
    </w:p>
    <w:p>
      <w:pPr>
        <w:spacing w:after="0" w:line="156"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2240" w:type="dxa"/>
            <w:vAlign w:val="bottom"/>
          </w:tcPr>
          <w:p>
            <w:pPr>
              <w:spacing w:after="0"/>
              <w:rPr>
                <w:sz w:val="13"/>
                <w:szCs w:val="13"/>
                <w:color w:val="auto"/>
              </w:rPr>
            </w:pPr>
          </w:p>
        </w:tc>
        <w:tc>
          <w:tcPr>
            <w:tcW w:w="1800" w:type="dxa"/>
            <w:vAlign w:val="bottom"/>
          </w:tcPr>
          <w:p>
            <w:pPr>
              <w:spacing w:after="0"/>
              <w:rPr>
                <w:sz w:val="13"/>
                <w:szCs w:val="13"/>
                <w:color w:val="auto"/>
              </w:rPr>
            </w:pPr>
          </w:p>
        </w:tc>
        <w:tc>
          <w:tcPr>
            <w:tcW w:w="1040" w:type="dxa"/>
            <w:vAlign w:val="bottom"/>
            <w:gridSpan w:val="2"/>
          </w:tcPr>
          <w:p>
            <w:pPr>
              <w:jc w:val="right"/>
              <w:ind w:right="779"/>
              <w:spacing w:after="0"/>
              <w:rPr>
                <w:sz w:val="20"/>
                <w:szCs w:val="20"/>
                <w:color w:val="auto"/>
              </w:rPr>
            </w:pPr>
            <w:r>
              <w:rPr>
                <w:rFonts w:ascii="Times New Roman" w:cs="Times New Roman" w:eastAsia="Times New Roman" w:hAnsi="Times New Roman"/>
                <w:sz w:val="14"/>
                <w:szCs w:val="14"/>
                <w:b w:val="1"/>
                <w:bCs w:val="1"/>
                <w:color w:val="auto"/>
              </w:rPr>
              <w:t>​​​</w:t>
            </w:r>
          </w:p>
        </w:tc>
        <w:tc>
          <w:tcPr>
            <w:tcW w:w="140" w:type="dxa"/>
            <w:vAlign w:val="bottom"/>
          </w:tcPr>
          <w:p>
            <w:pPr>
              <w:spacing w:after="0"/>
              <w:rPr>
                <w:sz w:val="13"/>
                <w:szCs w:val="13"/>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820" w:type="dxa"/>
            <w:vAlign w:val="bottom"/>
          </w:tcPr>
          <w:p>
            <w:pPr>
              <w:spacing w:after="0"/>
              <w:rPr>
                <w:sz w:val="13"/>
                <w:szCs w:val="13"/>
                <w:color w:val="auto"/>
              </w:rPr>
            </w:pPr>
          </w:p>
        </w:tc>
        <w:tc>
          <w:tcPr>
            <w:tcW w:w="126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w:t>
            </w:r>
          </w:p>
        </w:tc>
        <w:tc>
          <w:tcPr>
            <w:tcW w:w="160" w:type="dxa"/>
            <w:vAlign w:val="bottom"/>
          </w:tcPr>
          <w:p>
            <w:pPr>
              <w:spacing w:after="0"/>
              <w:rPr>
                <w:sz w:val="13"/>
                <w:szCs w:val="13"/>
                <w:color w:val="auto"/>
              </w:rPr>
            </w:pPr>
          </w:p>
        </w:tc>
        <w:tc>
          <w:tcPr>
            <w:tcW w:w="126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Approximate Dollar</w:t>
            </w:r>
          </w:p>
        </w:tc>
        <w:tc>
          <w:tcPr>
            <w:tcW w:w="0" w:type="dxa"/>
            <w:vAlign w:val="bottom"/>
          </w:tcPr>
          <w:p>
            <w:pPr>
              <w:spacing w:after="0"/>
              <w:rPr>
                <w:sz w:val="1"/>
                <w:szCs w:val="1"/>
                <w:color w:val="auto"/>
              </w:rPr>
            </w:pPr>
          </w:p>
        </w:tc>
      </w:tr>
      <w:tr>
        <w:trPr>
          <w:trHeight w:val="148"/>
        </w:trPr>
        <w:tc>
          <w:tcPr>
            <w:tcW w:w="2240" w:type="dxa"/>
            <w:vAlign w:val="bottom"/>
          </w:tcPr>
          <w:p>
            <w:pPr>
              <w:spacing w:after="0"/>
              <w:rPr>
                <w:sz w:val="12"/>
                <w:szCs w:val="12"/>
                <w:color w:val="auto"/>
              </w:rPr>
            </w:pPr>
          </w:p>
        </w:tc>
        <w:tc>
          <w:tcPr>
            <w:tcW w:w="18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Total Number of</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60" w:type="dxa"/>
            <w:vAlign w:val="bottom"/>
          </w:tcPr>
          <w:p>
            <w:pPr>
              <w:jc w:val="center"/>
              <w:ind w:right="21"/>
              <w:spacing w:after="0" w:line="149" w:lineRule="exact"/>
              <w:rPr>
                <w:sz w:val="20"/>
                <w:szCs w:val="20"/>
                <w:color w:val="auto"/>
              </w:rPr>
            </w:pPr>
            <w:r>
              <w:rPr>
                <w:rFonts w:ascii="Times New Roman" w:cs="Times New Roman" w:eastAsia="Times New Roman" w:hAnsi="Times New Roman"/>
                <w:sz w:val="14"/>
                <w:szCs w:val="14"/>
                <w:b w:val="1"/>
                <w:bCs w:val="1"/>
                <w:color w:val="auto"/>
                <w:w w:val="99"/>
              </w:rPr>
              <w:t>Value of Shares</w:t>
            </w:r>
          </w:p>
        </w:tc>
        <w:tc>
          <w:tcPr>
            <w:tcW w:w="0" w:type="dxa"/>
            <w:vAlign w:val="bottom"/>
          </w:tcPr>
          <w:p>
            <w:pPr>
              <w:spacing w:after="0"/>
              <w:rPr>
                <w:sz w:val="1"/>
                <w:szCs w:val="1"/>
                <w:color w:val="auto"/>
              </w:rPr>
            </w:pPr>
          </w:p>
        </w:tc>
      </w:tr>
      <w:tr>
        <w:trPr>
          <w:trHeight w:val="148"/>
        </w:trPr>
        <w:tc>
          <w:tcPr>
            <w:tcW w:w="2240" w:type="dxa"/>
            <w:vAlign w:val="bottom"/>
          </w:tcPr>
          <w:p>
            <w:pPr>
              <w:spacing w:after="0"/>
              <w:rPr>
                <w:sz w:val="12"/>
                <w:szCs w:val="12"/>
                <w:color w:val="auto"/>
              </w:rPr>
            </w:pPr>
          </w:p>
        </w:tc>
        <w:tc>
          <w:tcPr>
            <w:tcW w:w="18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Shares Purchased</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60" w:type="dxa"/>
            <w:vAlign w:val="bottom"/>
          </w:tcPr>
          <w:p>
            <w:pPr>
              <w:jc w:val="center"/>
              <w:ind w:right="1"/>
              <w:spacing w:after="0" w:line="149" w:lineRule="exact"/>
              <w:rPr>
                <w:sz w:val="20"/>
                <w:szCs w:val="20"/>
                <w:color w:val="auto"/>
              </w:rPr>
            </w:pPr>
            <w:r>
              <w:rPr>
                <w:rFonts w:ascii="Times New Roman" w:cs="Times New Roman" w:eastAsia="Times New Roman" w:hAnsi="Times New Roman"/>
                <w:sz w:val="14"/>
                <w:szCs w:val="14"/>
                <w:b w:val="1"/>
                <w:bCs w:val="1"/>
                <w:color w:val="auto"/>
              </w:rPr>
              <w:t>that May</w:t>
            </w:r>
          </w:p>
        </w:tc>
        <w:tc>
          <w:tcPr>
            <w:tcW w:w="0" w:type="dxa"/>
            <w:vAlign w:val="bottom"/>
          </w:tcPr>
          <w:p>
            <w:pPr>
              <w:spacing w:after="0"/>
              <w:rPr>
                <w:sz w:val="1"/>
                <w:szCs w:val="1"/>
                <w:color w:val="auto"/>
              </w:rPr>
            </w:pPr>
          </w:p>
        </w:tc>
      </w:tr>
      <w:tr>
        <w:trPr>
          <w:trHeight w:val="149"/>
        </w:trPr>
        <w:tc>
          <w:tcPr>
            <w:tcW w:w="2240" w:type="dxa"/>
            <w:vAlign w:val="bottom"/>
          </w:tcPr>
          <w:p>
            <w:pPr>
              <w:spacing w:after="0"/>
              <w:rPr>
                <w:sz w:val="12"/>
                <w:szCs w:val="12"/>
                <w:color w:val="auto"/>
              </w:rPr>
            </w:pPr>
          </w:p>
        </w:tc>
        <w:tc>
          <w:tcPr>
            <w:tcW w:w="18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Total Number</w:t>
            </w:r>
          </w:p>
        </w:tc>
        <w:tc>
          <w:tcPr>
            <w:tcW w:w="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20" w:type="dxa"/>
            <w:vAlign w:val="bottom"/>
            <w:vMerge w:val="restart"/>
          </w:tcPr>
          <w:p>
            <w:pPr>
              <w:jc w:val="right"/>
              <w:ind w:right="156"/>
              <w:spacing w:after="0"/>
              <w:rPr>
                <w:sz w:val="20"/>
                <w:szCs w:val="20"/>
                <w:color w:val="auto"/>
              </w:rPr>
            </w:pPr>
            <w:r>
              <w:rPr>
                <w:rFonts w:ascii="Times New Roman" w:cs="Times New Roman" w:eastAsia="Times New Roman" w:hAnsi="Times New Roman"/>
                <w:sz w:val="14"/>
                <w:szCs w:val="14"/>
                <w:b w:val="1"/>
                <w:bCs w:val="1"/>
                <w:color w:val="auto"/>
              </w:rPr>
              <w:t>Average</w:t>
            </w:r>
          </w:p>
        </w:tc>
        <w:tc>
          <w:tcPr>
            <w:tcW w:w="140" w:type="dxa"/>
            <w:vAlign w:val="bottom"/>
          </w:tcPr>
          <w:p>
            <w:pPr>
              <w:spacing w:after="0"/>
              <w:rPr>
                <w:sz w:val="12"/>
                <w:szCs w:val="12"/>
                <w:color w:val="auto"/>
              </w:rPr>
            </w:pPr>
          </w:p>
        </w:tc>
        <w:tc>
          <w:tcPr>
            <w:tcW w:w="11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as Part of</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60" w:type="dxa"/>
            <w:vAlign w:val="bottom"/>
          </w:tcPr>
          <w:p>
            <w:pPr>
              <w:jc w:val="center"/>
              <w:ind w:right="21"/>
              <w:spacing w:after="0" w:line="149" w:lineRule="exact"/>
              <w:rPr>
                <w:sz w:val="20"/>
                <w:szCs w:val="20"/>
                <w:color w:val="auto"/>
              </w:rPr>
            </w:pPr>
            <w:r>
              <w:rPr>
                <w:rFonts w:ascii="Times New Roman" w:cs="Times New Roman" w:eastAsia="Times New Roman" w:hAnsi="Times New Roman"/>
                <w:sz w:val="14"/>
                <w:szCs w:val="14"/>
                <w:b w:val="1"/>
                <w:bCs w:val="1"/>
                <w:color w:val="auto"/>
              </w:rPr>
              <w:t>Yet be Purchased</w:t>
            </w:r>
          </w:p>
        </w:tc>
        <w:tc>
          <w:tcPr>
            <w:tcW w:w="0" w:type="dxa"/>
            <w:vAlign w:val="bottom"/>
          </w:tcPr>
          <w:p>
            <w:pPr>
              <w:spacing w:after="0"/>
              <w:rPr>
                <w:sz w:val="1"/>
                <w:szCs w:val="1"/>
                <w:color w:val="auto"/>
              </w:rPr>
            </w:pPr>
          </w:p>
        </w:tc>
      </w:tr>
      <w:tr>
        <w:trPr>
          <w:trHeight w:val="148"/>
        </w:trPr>
        <w:tc>
          <w:tcPr>
            <w:tcW w:w="2240" w:type="dxa"/>
            <w:vAlign w:val="bottom"/>
          </w:tcPr>
          <w:p>
            <w:pPr>
              <w:spacing w:after="0"/>
              <w:rPr>
                <w:sz w:val="12"/>
                <w:szCs w:val="12"/>
                <w:color w:val="auto"/>
              </w:rPr>
            </w:pPr>
          </w:p>
        </w:tc>
        <w:tc>
          <w:tcPr>
            <w:tcW w:w="18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00" w:type="dxa"/>
            <w:vAlign w:val="bottom"/>
            <w:vMerge w:val="continue"/>
          </w:tcPr>
          <w:p>
            <w:pPr>
              <w:spacing w:after="0"/>
              <w:rPr>
                <w:sz w:val="12"/>
                <w:szCs w:val="12"/>
                <w:color w:val="auto"/>
              </w:rPr>
            </w:pPr>
          </w:p>
        </w:tc>
        <w:tc>
          <w:tcPr>
            <w:tcW w:w="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20" w:type="dxa"/>
            <w:vAlign w:val="bottom"/>
            <w:vMerge w:val="continue"/>
          </w:tcPr>
          <w:p>
            <w:pPr>
              <w:spacing w:after="0"/>
              <w:rPr>
                <w:sz w:val="12"/>
                <w:szCs w:val="12"/>
                <w:color w:val="auto"/>
              </w:rPr>
            </w:pPr>
          </w:p>
        </w:tc>
        <w:tc>
          <w:tcPr>
            <w:tcW w:w="140" w:type="dxa"/>
            <w:vAlign w:val="bottom"/>
          </w:tcPr>
          <w:p>
            <w:pPr>
              <w:spacing w:after="0"/>
              <w:rPr>
                <w:sz w:val="12"/>
                <w:szCs w:val="12"/>
                <w:color w:val="auto"/>
              </w:rPr>
            </w:pPr>
          </w:p>
        </w:tc>
        <w:tc>
          <w:tcPr>
            <w:tcW w:w="11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Publicly</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60" w:type="dxa"/>
            <w:vAlign w:val="bottom"/>
          </w:tcPr>
          <w:p>
            <w:pPr>
              <w:jc w:val="center"/>
              <w:ind w:right="21"/>
              <w:spacing w:after="0" w:line="149" w:lineRule="exact"/>
              <w:rPr>
                <w:sz w:val="20"/>
                <w:szCs w:val="20"/>
                <w:color w:val="auto"/>
              </w:rPr>
            </w:pPr>
            <w:r>
              <w:rPr>
                <w:rFonts w:ascii="Times New Roman" w:cs="Times New Roman" w:eastAsia="Times New Roman" w:hAnsi="Times New Roman"/>
                <w:sz w:val="14"/>
                <w:szCs w:val="14"/>
                <w:b w:val="1"/>
                <w:bCs w:val="1"/>
                <w:color w:val="auto"/>
                <w:w w:val="99"/>
              </w:rPr>
              <w:t>Under</w:t>
            </w:r>
          </w:p>
        </w:tc>
        <w:tc>
          <w:tcPr>
            <w:tcW w:w="0" w:type="dxa"/>
            <w:vAlign w:val="bottom"/>
          </w:tcPr>
          <w:p>
            <w:pPr>
              <w:spacing w:after="0"/>
              <w:rPr>
                <w:sz w:val="1"/>
                <w:szCs w:val="1"/>
                <w:color w:val="auto"/>
              </w:rPr>
            </w:pPr>
          </w:p>
        </w:tc>
      </w:tr>
      <w:tr>
        <w:trPr>
          <w:trHeight w:val="148"/>
        </w:trPr>
        <w:tc>
          <w:tcPr>
            <w:tcW w:w="404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Period</w:t>
            </w:r>
          </w:p>
        </w:tc>
        <w:tc>
          <w:tcPr>
            <w:tcW w:w="140" w:type="dxa"/>
            <w:vAlign w:val="bottom"/>
          </w:tcPr>
          <w:p>
            <w:pPr>
              <w:spacing w:after="0"/>
              <w:rPr>
                <w:sz w:val="12"/>
                <w:szCs w:val="12"/>
                <w:color w:val="auto"/>
              </w:rPr>
            </w:pPr>
          </w:p>
        </w:tc>
        <w:tc>
          <w:tcPr>
            <w:tcW w:w="900" w:type="dxa"/>
            <w:vAlign w:val="bottom"/>
          </w:tcPr>
          <w:p>
            <w:pPr>
              <w:jc w:val="right"/>
              <w:ind w:right="79"/>
              <w:spacing w:after="0" w:line="149" w:lineRule="exact"/>
              <w:rPr>
                <w:sz w:val="20"/>
                <w:szCs w:val="20"/>
                <w:color w:val="auto"/>
              </w:rPr>
            </w:pPr>
            <w:r>
              <w:rPr>
                <w:rFonts w:ascii="Times New Roman" w:cs="Times New Roman" w:eastAsia="Times New Roman" w:hAnsi="Times New Roman"/>
                <w:sz w:val="14"/>
                <w:szCs w:val="14"/>
                <w:b w:val="1"/>
                <w:bCs w:val="1"/>
                <w:color w:val="auto"/>
              </w:rPr>
              <w:t>of Shares</w:t>
            </w:r>
          </w:p>
        </w:tc>
        <w:tc>
          <w:tcPr>
            <w:tcW w:w="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20" w:type="dxa"/>
            <w:vAlign w:val="bottom"/>
          </w:tcPr>
          <w:p>
            <w:pPr>
              <w:jc w:val="right"/>
              <w:ind w:right="96"/>
              <w:spacing w:after="0" w:line="149" w:lineRule="exact"/>
              <w:rPr>
                <w:sz w:val="20"/>
                <w:szCs w:val="20"/>
                <w:color w:val="auto"/>
              </w:rPr>
            </w:pPr>
            <w:r>
              <w:rPr>
                <w:rFonts w:ascii="Times New Roman" w:cs="Times New Roman" w:eastAsia="Times New Roman" w:hAnsi="Times New Roman"/>
                <w:sz w:val="14"/>
                <w:szCs w:val="14"/>
                <w:b w:val="1"/>
                <w:bCs w:val="1"/>
                <w:color w:val="auto"/>
              </w:rPr>
              <w:t>Price Paid</w:t>
            </w:r>
          </w:p>
        </w:tc>
        <w:tc>
          <w:tcPr>
            <w:tcW w:w="140" w:type="dxa"/>
            <w:vAlign w:val="bottom"/>
          </w:tcPr>
          <w:p>
            <w:pPr>
              <w:spacing w:after="0"/>
              <w:rPr>
                <w:sz w:val="12"/>
                <w:szCs w:val="12"/>
                <w:color w:val="auto"/>
              </w:rPr>
            </w:pPr>
          </w:p>
        </w:tc>
        <w:tc>
          <w:tcPr>
            <w:tcW w:w="11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Announced Plans</w:t>
            </w:r>
          </w:p>
        </w:tc>
        <w:tc>
          <w:tcPr>
            <w:tcW w:w="260" w:type="dxa"/>
            <w:vAlign w:val="bottom"/>
            <w:gridSpan w:val="2"/>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w:t>
            </w:r>
          </w:p>
        </w:tc>
        <w:tc>
          <w:tcPr>
            <w:tcW w:w="1160" w:type="dxa"/>
            <w:vAlign w:val="bottom"/>
          </w:tcPr>
          <w:p>
            <w:pPr>
              <w:jc w:val="center"/>
              <w:ind w:right="1"/>
              <w:spacing w:after="0" w:line="149" w:lineRule="exact"/>
              <w:rPr>
                <w:sz w:val="20"/>
                <w:szCs w:val="20"/>
                <w:color w:val="auto"/>
              </w:rPr>
            </w:pPr>
            <w:r>
              <w:rPr>
                <w:rFonts w:ascii="Times New Roman" w:cs="Times New Roman" w:eastAsia="Times New Roman" w:hAnsi="Times New Roman"/>
                <w:sz w:val="14"/>
                <w:szCs w:val="14"/>
                <w:b w:val="1"/>
                <w:bCs w:val="1"/>
                <w:color w:val="auto"/>
              </w:rPr>
              <w:t>the Plans</w:t>
            </w:r>
          </w:p>
        </w:tc>
        <w:tc>
          <w:tcPr>
            <w:tcW w:w="0" w:type="dxa"/>
            <w:vAlign w:val="bottom"/>
          </w:tcPr>
          <w:p>
            <w:pPr>
              <w:spacing w:after="0"/>
              <w:rPr>
                <w:sz w:val="1"/>
                <w:szCs w:val="1"/>
                <w:color w:val="auto"/>
              </w:rPr>
            </w:pPr>
          </w:p>
        </w:tc>
      </w:tr>
      <w:tr>
        <w:trPr>
          <w:trHeight w:val="173"/>
        </w:trPr>
        <w:tc>
          <w:tcPr>
            <w:tcW w:w="4040" w:type="dxa"/>
            <w:vAlign w:val="bottom"/>
            <w:gridSpan w:val="2"/>
            <w:vMerge w:val="continue"/>
          </w:tcPr>
          <w:p>
            <w:pPr>
              <w:spacing w:after="0"/>
              <w:rPr>
                <w:sz w:val="15"/>
                <w:szCs w:val="15"/>
                <w:color w:val="auto"/>
              </w:rPr>
            </w:pP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 Withheld (1)</w:t>
            </w:r>
          </w:p>
        </w:tc>
        <w:tc>
          <w:tcPr>
            <w:tcW w:w="1140" w:type="dxa"/>
            <w:vAlign w:val="bottom"/>
            <w:gridSpan w:val="3"/>
          </w:tcPr>
          <w:p>
            <w:pPr>
              <w:jc w:val="right"/>
              <w:ind w:right="16"/>
              <w:spacing w:after="0"/>
              <w:rPr>
                <w:sz w:val="20"/>
                <w:szCs w:val="20"/>
                <w:color w:val="auto"/>
              </w:rPr>
            </w:pPr>
            <w:r>
              <w:rPr>
                <w:rFonts w:ascii="Times New Roman" w:cs="Times New Roman" w:eastAsia="Times New Roman" w:hAnsi="Times New Roman"/>
                <w:sz w:val="14"/>
                <w:szCs w:val="14"/>
                <w:b w:val="1"/>
                <w:bCs w:val="1"/>
                <w:color w:val="auto"/>
              </w:rPr>
              <w:t>​​​ per Share (2)</w:t>
            </w:r>
          </w:p>
        </w:tc>
        <w:tc>
          <w:tcPr>
            <w:tcW w:w="126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 or Programs (3)</w:t>
            </w:r>
          </w:p>
        </w:tc>
        <w:tc>
          <w:tcPr>
            <w:tcW w:w="260" w:type="dxa"/>
            <w:vAlign w:val="bottom"/>
            <w:gridSpan w:val="2"/>
            <w:vMerge w:val="continue"/>
          </w:tcPr>
          <w:p>
            <w:pPr>
              <w:spacing w:after="0"/>
              <w:rPr>
                <w:sz w:val="15"/>
                <w:szCs w:val="15"/>
                <w:color w:val="auto"/>
              </w:rPr>
            </w:pPr>
          </w:p>
        </w:tc>
        <w:tc>
          <w:tcPr>
            <w:tcW w:w="1160" w:type="dxa"/>
            <w:vAlign w:val="bottom"/>
          </w:tcPr>
          <w:p>
            <w:pPr>
              <w:jc w:val="center"/>
              <w:ind w:right="21"/>
              <w:spacing w:after="0"/>
              <w:rPr>
                <w:sz w:val="20"/>
                <w:szCs w:val="20"/>
                <w:color w:val="auto"/>
              </w:rPr>
            </w:pPr>
            <w:r>
              <w:rPr>
                <w:rFonts w:ascii="Times New Roman" w:cs="Times New Roman" w:eastAsia="Times New Roman" w:hAnsi="Times New Roman"/>
                <w:sz w:val="14"/>
                <w:szCs w:val="14"/>
                <w:b w:val="1"/>
                <w:bCs w:val="1"/>
                <w:color w:val="auto"/>
              </w:rPr>
              <w:t>or Programs (4)</w:t>
            </w:r>
          </w:p>
        </w:tc>
        <w:tc>
          <w:tcPr>
            <w:tcW w:w="0" w:type="dxa"/>
            <w:vAlign w:val="bottom"/>
          </w:tcPr>
          <w:p>
            <w:pPr>
              <w:spacing w:after="0"/>
              <w:rPr>
                <w:sz w:val="1"/>
                <w:szCs w:val="1"/>
                <w:color w:val="auto"/>
              </w:rPr>
            </w:pPr>
          </w:p>
        </w:tc>
      </w:tr>
      <w:tr>
        <w:trPr>
          <w:trHeight w:val="210"/>
        </w:trPr>
        <w:tc>
          <w:tcPr>
            <w:tcW w:w="4040" w:type="dxa"/>
            <w:vAlign w:val="bottom"/>
            <w:tcBorders>
              <w:top w:val="single" w:sz="8" w:color="auto"/>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January 1, 2026 to January 31, 2026</w:t>
            </w:r>
          </w:p>
        </w:tc>
        <w:tc>
          <w:tcPr>
            <w:tcW w:w="140" w:type="dxa"/>
            <w:vAlign w:val="bottom"/>
            <w:tcBorders>
              <w:top w:val="single" w:sz="8" w:color="CCEEFF"/>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10,526</w:t>
            </w:r>
          </w:p>
        </w:tc>
        <w:tc>
          <w:tcPr>
            <w:tcW w:w="14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2.81</w:t>
            </w:r>
          </w:p>
        </w:tc>
        <w:tc>
          <w:tcPr>
            <w:tcW w:w="14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41,045,333</w:t>
            </w:r>
          </w:p>
        </w:tc>
        <w:tc>
          <w:tcPr>
            <w:tcW w:w="0" w:type="dxa"/>
            <w:vAlign w:val="bottom"/>
          </w:tcPr>
          <w:p>
            <w:pPr>
              <w:spacing w:after="0"/>
              <w:rPr>
                <w:sz w:val="1"/>
                <w:szCs w:val="1"/>
                <w:color w:val="auto"/>
              </w:rPr>
            </w:pPr>
          </w:p>
        </w:tc>
      </w:tr>
      <w:tr>
        <w:trPr>
          <w:trHeight w:val="216"/>
        </w:trPr>
        <w:tc>
          <w:tcPr>
            <w:tcW w:w="40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February 1, 2026 to February 28, 2026</w:t>
            </w: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30,659</w:t>
            </w:r>
          </w:p>
        </w:tc>
        <w:tc>
          <w:tcPr>
            <w:tcW w:w="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2.09</w:t>
            </w:r>
          </w:p>
        </w:tc>
        <w:tc>
          <w:tcPr>
            <w:tcW w:w="1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400,333</w:t>
            </w:r>
          </w:p>
        </w:tc>
        <w:tc>
          <w:tcPr>
            <w:tcW w:w="26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40,221,360</w:t>
            </w:r>
          </w:p>
        </w:tc>
        <w:tc>
          <w:tcPr>
            <w:tcW w:w="0" w:type="dxa"/>
            <w:vAlign w:val="bottom"/>
          </w:tcPr>
          <w:p>
            <w:pPr>
              <w:spacing w:after="0"/>
              <w:rPr>
                <w:sz w:val="1"/>
                <w:szCs w:val="1"/>
                <w:color w:val="auto"/>
              </w:rPr>
            </w:pPr>
          </w:p>
        </w:tc>
      </w:tr>
      <w:tr>
        <w:trPr>
          <w:trHeight w:val="216"/>
        </w:trPr>
        <w:tc>
          <w:tcPr>
            <w:tcW w:w="40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March 1, 2026 to March 31, 2026</w:t>
            </w:r>
          </w:p>
        </w:tc>
        <w:tc>
          <w:tcPr>
            <w:tcW w:w="10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4,270</w:t>
            </w:r>
          </w:p>
        </w:tc>
        <w:tc>
          <w:tcPr>
            <w:tcW w:w="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2.11</w:t>
            </w:r>
          </w:p>
        </w:tc>
        <w:tc>
          <w:tcPr>
            <w:tcW w:w="14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40,221,360</w:t>
            </w:r>
          </w:p>
        </w:tc>
        <w:tc>
          <w:tcPr>
            <w:tcW w:w="0" w:type="dxa"/>
            <w:vAlign w:val="bottom"/>
          </w:tcPr>
          <w:p>
            <w:pPr>
              <w:spacing w:after="0"/>
              <w:rPr>
                <w:sz w:val="1"/>
                <w:szCs w:val="1"/>
                <w:color w:val="auto"/>
              </w:rPr>
            </w:pPr>
          </w:p>
        </w:tc>
      </w:tr>
      <w:tr>
        <w:trPr>
          <w:trHeight w:val="209"/>
        </w:trPr>
        <w:tc>
          <w:tcPr>
            <w:tcW w:w="404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Total</w:t>
            </w:r>
          </w:p>
        </w:tc>
        <w:tc>
          <w:tcPr>
            <w:tcW w:w="140" w:type="dxa"/>
            <w:vAlign w:val="bottom"/>
          </w:tcPr>
          <w:p>
            <w:pPr>
              <w:spacing w:after="0"/>
              <w:rPr>
                <w:sz w:val="18"/>
                <w:szCs w:val="18"/>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45,455</w:t>
            </w:r>
          </w:p>
        </w:tc>
        <w:tc>
          <w:tcPr>
            <w:tcW w:w="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2.26</w:t>
            </w:r>
          </w:p>
        </w:tc>
        <w:tc>
          <w:tcPr>
            <w:tcW w:w="140" w:type="dxa"/>
            <w:vAlign w:val="bottom"/>
          </w:tcPr>
          <w:p>
            <w:pPr>
              <w:spacing w:after="0"/>
              <w:rPr>
                <w:sz w:val="18"/>
                <w:szCs w:val="18"/>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400,333</w:t>
            </w:r>
          </w:p>
        </w:tc>
        <w:tc>
          <w:tcPr>
            <w:tcW w:w="26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40,221,360</w:t>
            </w:r>
          </w:p>
        </w:tc>
        <w:tc>
          <w:tcPr>
            <w:tcW w:w="0" w:type="dxa"/>
            <w:vAlign w:val="bottom"/>
          </w:tcPr>
          <w:p>
            <w:pPr>
              <w:spacing w:after="0"/>
              <w:rPr>
                <w:sz w:val="1"/>
                <w:szCs w:val="1"/>
                <w:color w:val="auto"/>
              </w:rPr>
            </w:pPr>
          </w:p>
        </w:tc>
      </w:tr>
      <w:tr>
        <w:trPr>
          <w:trHeight w:val="20"/>
        </w:trPr>
        <w:tc>
          <w:tcPr>
            <w:tcW w:w="224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5"/>
        </w:trPr>
        <w:tc>
          <w:tcPr>
            <w:tcW w:w="2240" w:type="dxa"/>
            <w:vAlign w:val="bottom"/>
            <w:tcBorders>
              <w:bottom w:val="single" w:sz="8" w:color="auto"/>
            </w:tcBorders>
          </w:tcPr>
          <w:p>
            <w:pPr>
              <w:spacing w:after="0"/>
              <w:rPr>
                <w:sz w:val="8"/>
                <w:szCs w:val="8"/>
                <w:color w:val="auto"/>
              </w:rPr>
            </w:pPr>
          </w:p>
        </w:tc>
        <w:tc>
          <w:tcPr>
            <w:tcW w:w="1800" w:type="dxa"/>
            <w:vAlign w:val="bottom"/>
          </w:tcPr>
          <w:p>
            <w:pPr>
              <w:spacing w:after="0"/>
              <w:rPr>
                <w:sz w:val="8"/>
                <w:szCs w:val="8"/>
                <w:color w:val="auto"/>
              </w:rPr>
            </w:pPr>
          </w:p>
        </w:tc>
        <w:tc>
          <w:tcPr>
            <w:tcW w:w="140" w:type="dxa"/>
            <w:vAlign w:val="bottom"/>
          </w:tcPr>
          <w:p>
            <w:pPr>
              <w:spacing w:after="0"/>
              <w:rPr>
                <w:sz w:val="8"/>
                <w:szCs w:val="8"/>
                <w:color w:val="auto"/>
              </w:rPr>
            </w:pPr>
          </w:p>
        </w:tc>
        <w:tc>
          <w:tcPr>
            <w:tcW w:w="900" w:type="dxa"/>
            <w:vAlign w:val="bottom"/>
          </w:tcPr>
          <w:p>
            <w:pPr>
              <w:spacing w:after="0"/>
              <w:rPr>
                <w:sz w:val="8"/>
                <w:szCs w:val="8"/>
                <w:color w:val="auto"/>
              </w:rPr>
            </w:pPr>
          </w:p>
        </w:tc>
        <w:tc>
          <w:tcPr>
            <w:tcW w:w="140" w:type="dxa"/>
            <w:vAlign w:val="bottom"/>
          </w:tcPr>
          <w:p>
            <w:pPr>
              <w:spacing w:after="0"/>
              <w:rPr>
                <w:sz w:val="8"/>
                <w:szCs w:val="8"/>
                <w:color w:val="auto"/>
              </w:rPr>
            </w:pPr>
          </w:p>
        </w:tc>
        <w:tc>
          <w:tcPr>
            <w:tcW w:w="180" w:type="dxa"/>
            <w:vAlign w:val="bottom"/>
          </w:tcPr>
          <w:p>
            <w:pPr>
              <w:spacing w:after="0"/>
              <w:rPr>
                <w:sz w:val="8"/>
                <w:szCs w:val="8"/>
                <w:color w:val="auto"/>
              </w:rPr>
            </w:pPr>
          </w:p>
        </w:tc>
        <w:tc>
          <w:tcPr>
            <w:tcW w:w="820" w:type="dxa"/>
            <w:vAlign w:val="bottom"/>
          </w:tcPr>
          <w:p>
            <w:pPr>
              <w:spacing w:after="0"/>
              <w:rPr>
                <w:sz w:val="8"/>
                <w:szCs w:val="8"/>
                <w:color w:val="auto"/>
              </w:rPr>
            </w:pPr>
          </w:p>
        </w:tc>
        <w:tc>
          <w:tcPr>
            <w:tcW w:w="14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0" w:type="dxa"/>
            <w:vAlign w:val="bottom"/>
          </w:tcPr>
          <w:p>
            <w:pPr>
              <w:spacing w:after="0"/>
              <w:rPr>
                <w:sz w:val="8"/>
                <w:szCs w:val="8"/>
                <w:color w:val="auto"/>
              </w:rPr>
            </w:pPr>
          </w:p>
        </w:tc>
        <w:tc>
          <w:tcPr>
            <w:tcW w:w="116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63" w:lineRule="exact"/>
        <w:rPr>
          <w:sz w:val="20"/>
          <w:szCs w:val="20"/>
          <w:color w:val="auto"/>
        </w:rPr>
      </w:pPr>
    </w:p>
    <w:p>
      <w:pPr>
        <w:ind w:left="380" w:right="179" w:hanging="330"/>
        <w:spacing w:after="0" w:line="261" w:lineRule="auto"/>
        <w:tabs>
          <w:tab w:leader="none" w:pos="3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vesting of restricted stock awards and performance-based stock units, certain of our employees surrender a portion of the newly vested shares of common stock to satisfy the tax withholding obligations that arise in connection with their vesting. During the first quarter of 2026, 45,455 restricted stock awards were surrendered, with no performance-based stock units surrendered.</w:t>
      </w:r>
    </w:p>
    <w:p>
      <w:pPr>
        <w:spacing w:after="0" w:line="52" w:lineRule="exact"/>
        <w:rPr>
          <w:rFonts w:ascii="Times New Roman" w:cs="Times New Roman" w:eastAsia="Times New Roman" w:hAnsi="Times New Roman"/>
          <w:sz w:val="18"/>
          <w:szCs w:val="18"/>
          <w:color w:val="auto"/>
        </w:rPr>
      </w:pPr>
    </w:p>
    <w:p>
      <w:pPr>
        <w:ind w:left="380" w:hanging="330"/>
        <w:spacing w:after="0" w:line="207" w:lineRule="exact"/>
        <w:tabs>
          <w:tab w:leader="none" w:pos="3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a weighted</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average price of shares surrendered by employees to satisfy tax withholding obligations.</w:t>
      </w:r>
    </w:p>
    <w:p>
      <w:pPr>
        <w:spacing w:after="0" w:line="135" w:lineRule="exact"/>
        <w:rPr>
          <w:rFonts w:ascii="Times New Roman" w:cs="Times New Roman" w:eastAsia="Times New Roman" w:hAnsi="Times New Roman"/>
          <w:sz w:val="18"/>
          <w:szCs w:val="18"/>
          <w:color w:val="auto"/>
        </w:rPr>
      </w:pPr>
    </w:p>
    <w:p>
      <w:pPr>
        <w:ind w:left="380" w:right="159" w:hanging="330"/>
        <w:spacing w:after="0" w:line="258" w:lineRule="auto"/>
        <w:tabs>
          <w:tab w:leader="none" w:pos="3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June 2025, we announced a stock repurchase program for the period beginning June 5, 2025 through December 31, 2027, under which our Board of Directors authorized the repurchase of up to $50 million of our common stock at management’s discretion in the open market, in privately negotiated transactions structured through investment banking institutions, or a combination of the foregoing, (the "2025 Repurchase Program" or the “Repurchase Program”). We used $0.8 million to repurchase 400,333 shares of our common stock under the Repurchase Program</w:t>
      </w:r>
    </w:p>
    <w:p>
      <w:pPr>
        <w:sectPr>
          <w:pgSz w:w="11900" w:h="16838" w:orient="portrait"/>
          <w:cols w:equalWidth="0" w:num="1">
            <w:col w:w="9019"/>
          </w:cols>
          <w:pgMar w:left="1440" w:top="513" w:right="1440" w:bottom="1440" w:gutter="0" w:footer="0" w:header="0"/>
        </w:sectPr>
      </w:pP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48" w:name="page49"/>
    <w:bookmarkEnd w:id="48"/>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380" w:right="179"/>
        <w:spacing w:after="0" w:line="254" w:lineRule="auto"/>
        <w:rPr>
          <w:sz w:val="20"/>
          <w:szCs w:val="20"/>
          <w:color w:val="auto"/>
        </w:rPr>
      </w:pPr>
      <w:r>
        <w:rPr>
          <w:rFonts w:ascii="Times New Roman" w:cs="Times New Roman" w:eastAsia="Times New Roman" w:hAnsi="Times New Roman"/>
          <w:sz w:val="18"/>
          <w:szCs w:val="18"/>
          <w:color w:val="auto"/>
        </w:rPr>
        <w:t>during the first quarter of 2026. Repurchases are subject to the terms of the Company’s 2024 Credit Facility, as amended, which limits aggregate share repurchases to $15 million and subjects such repurchases to compliance with specified financial covenants and leverage requirements. Based on the foregoing, the Company has $40.2 million remaining authorized for future repurchases. The amount and timing of repurchases are subject to a variety of factors including liquidity, cash flow, stock price, compliance with our credit facility and general business and market conditions. We may also from time to time, enter into Rule 10b5-1 plans to facilitate repurchases of our shares under this authorization. The Repurchase Program may be modified, increased, suspended, or discontinued at any time. The Repurchase Program is being funded using cash on hand and cash from operations.</w:t>
      </w:r>
    </w:p>
    <w:p>
      <w:pPr>
        <w:spacing w:after="0" w:line="8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(4)  Represents amounts available for repurchases under the Repurchase Program.</w:t>
      </w:r>
    </w:p>
    <w:p>
      <w:pPr>
        <w:spacing w:after="0" w:line="22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Item 5.  Other Information</w:t>
      </w:r>
    </w:p>
    <w:p>
      <w:pPr>
        <w:spacing w:after="0" w:line="22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Credit Facility Waiver</w:t>
      </w:r>
    </w:p>
    <w:p>
      <w:pPr>
        <w:spacing w:after="0" w:line="227" w:lineRule="exact"/>
        <w:rPr>
          <w:sz w:val="20"/>
          <w:szCs w:val="20"/>
          <w:color w:val="auto"/>
        </w:rPr>
      </w:pPr>
    </w:p>
    <w:p>
      <w:pPr>
        <w:ind w:left="60" w:right="119" w:firstLine="369"/>
        <w:spacing w:after="0" w:line="255" w:lineRule="auto"/>
        <w:rPr>
          <w:sz w:val="20"/>
          <w:szCs w:val="20"/>
          <w:color w:val="auto"/>
        </w:rPr>
      </w:pPr>
      <w:r>
        <w:rPr>
          <w:rFonts w:ascii="Times New Roman" w:cs="Times New Roman" w:eastAsia="Times New Roman" w:hAnsi="Times New Roman"/>
          <w:sz w:val="18"/>
          <w:szCs w:val="18"/>
          <w:color w:val="auto"/>
        </w:rPr>
        <w:t>On May 5, 2026, the Company entered into the First Amendment and Limited Waiver to Credit Agreement (the “First Amendment”) with Ribbon Communications Operating Company, Inc., HPS Investment Partners, LLC, as administrative agent, and the consenting lenders. The First Amendment (1) waives compliance with the maximum consolidated net leverage ratio financial covenant as of and for the period ending June 30, 2026, (2) increases the Maximum Consolidated Net Leverage Ratio (as defined in the 2024 Credit Facility) to 4.50:1.00 as of and for the period ending September 30, 2026, and sets the ratio for all subsequent quarters to 4.00:1.00, and (3) modifies the applicable interest rate margins for any quarter in which the Consolidated Net Leverage Ratio exceeds 3.75:1.00 to 7.00%.</w:t>
      </w:r>
    </w:p>
    <w:p>
      <w:pPr>
        <w:spacing w:after="0" w:line="189" w:lineRule="exact"/>
        <w:rPr>
          <w:sz w:val="20"/>
          <w:szCs w:val="20"/>
          <w:color w:val="auto"/>
        </w:rPr>
      </w:pPr>
    </w:p>
    <w:p>
      <w:pPr>
        <w:ind w:left="60" w:right="139" w:firstLine="324"/>
        <w:spacing w:after="0" w:line="266" w:lineRule="auto"/>
        <w:rPr>
          <w:sz w:val="20"/>
          <w:szCs w:val="20"/>
          <w:color w:val="auto"/>
        </w:rPr>
      </w:pPr>
      <w:r>
        <w:rPr>
          <w:rFonts w:ascii="Times New Roman" w:cs="Times New Roman" w:eastAsia="Times New Roman" w:hAnsi="Times New Roman"/>
          <w:sz w:val="18"/>
          <w:szCs w:val="18"/>
          <w:color w:val="auto"/>
        </w:rPr>
        <w:t>The foregoing description of the First Amendment does not purport to be complete and is qualified in its entirety by reference to the full text of the First Amendment, a copy of which is filed as Exhibit 10.1 to this Quarterly Report on Form 10-Q and is incorporated herein by reference.</w:t>
      </w:r>
    </w:p>
    <w:p>
      <w:pPr>
        <w:spacing w:after="0" w:line="17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Insider Trading Arrangements</w:t>
      </w:r>
    </w:p>
    <w:p>
      <w:pPr>
        <w:spacing w:after="0" w:line="227" w:lineRule="exact"/>
        <w:rPr>
          <w:sz w:val="20"/>
          <w:szCs w:val="20"/>
          <w:color w:val="auto"/>
        </w:rPr>
      </w:pPr>
    </w:p>
    <w:p>
      <w:pPr>
        <w:jc w:val="both"/>
        <w:ind w:left="60" w:right="199" w:firstLine="324"/>
        <w:spacing w:after="0" w:line="289" w:lineRule="auto"/>
        <w:rPr>
          <w:sz w:val="20"/>
          <w:szCs w:val="20"/>
          <w:color w:val="auto"/>
        </w:rPr>
      </w:pPr>
      <w:r>
        <w:rPr>
          <w:rFonts w:ascii="Times New Roman" w:cs="Times New Roman" w:eastAsia="Times New Roman" w:hAnsi="Times New Roman"/>
          <w:sz w:val="17"/>
          <w:szCs w:val="17"/>
          <w:color w:val="auto"/>
        </w:rPr>
        <w:t>During the three months ended March 31, 2026, none of the Company’s directors or officers (as defined in Rule 16a-1(f) of the Securities Exchange Act of 1934) adopted, terminated or modified a Rule 10b5-1 trading arrangement or non-Rule 10b5-1 trading arrangement (as such terms are defined in Item 408 of Regulation S-K of the Securities Act of 1933).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49" w:name="page50"/>
    <w:bookmarkEnd w:id="49"/>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tbl>
      <w:tblPr>
        <w:tblLayout w:type="fixed"/>
        <w:tblInd w:w="40" w:type="dxa"/>
        <w:tblCellMar>
          <w:top w:w="0" w:type="dxa"/>
          <w:left w:w="0" w:type="dxa"/>
          <w:bottom w:w="0" w:type="dxa"/>
          <w:right w:w="0" w:type="dxa"/>
        </w:tblCellMar>
      </w:tblPr>
      <w:tr>
        <w:trPr>
          <w:trHeight w:val="238"/>
        </w:trPr>
        <w:tc>
          <w:tcPr>
            <w:tcW w:w="1360" w:type="dxa"/>
            <w:vAlign w:val="bottom"/>
            <w:gridSpan w:val="2"/>
          </w:tcPr>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Item 6.  Exhibits</w:t>
            </w:r>
          </w:p>
        </w:tc>
        <w:tc>
          <w:tcPr>
            <w:tcW w:w="1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35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r>
      <w:tr>
        <w:trPr>
          <w:trHeight w:val="445"/>
        </w:trPr>
        <w:tc>
          <w:tcPr>
            <w:tcW w:w="1360" w:type="dxa"/>
            <w:vAlign w:val="bottom"/>
            <w:gridSpan w:val="2"/>
          </w:tcPr>
          <w:p>
            <w:pPr>
              <w:jc w:val="center"/>
              <w:ind w:right="40"/>
              <w:spacing w:after="0"/>
              <w:rPr>
                <w:sz w:val="20"/>
                <w:szCs w:val="20"/>
                <w:color w:val="auto"/>
              </w:rPr>
            </w:pPr>
            <w:r>
              <w:rPr>
                <w:rFonts w:ascii="Times New Roman" w:cs="Times New Roman" w:eastAsia="Times New Roman" w:hAnsi="Times New Roman"/>
                <w:sz w:val="18"/>
                <w:szCs w:val="18"/>
                <w:b w:val="1"/>
                <w:bCs w:val="1"/>
                <w:color w:val="auto"/>
                <w:w w:val="99"/>
              </w:rPr>
              <w:t>Exhibit No.</w:t>
            </w:r>
          </w:p>
        </w:tc>
        <w:tc>
          <w:tcPr>
            <w:tcW w:w="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5260" w:type="dxa"/>
            <w:vAlign w:val="bottom"/>
            <w:gridSpan w:val="16"/>
          </w:tcPr>
          <w:p>
            <w:pPr>
              <w:ind w:left="1140"/>
              <w:spacing w:after="0"/>
              <w:rPr>
                <w:sz w:val="20"/>
                <w:szCs w:val="20"/>
                <w:color w:val="auto"/>
              </w:rPr>
            </w:pPr>
            <w:r>
              <w:rPr>
                <w:rFonts w:ascii="Times New Roman" w:cs="Times New Roman" w:eastAsia="Times New Roman" w:hAnsi="Times New Roman"/>
                <w:sz w:val="18"/>
                <w:szCs w:val="18"/>
                <w:b w:val="1"/>
                <w:bCs w:val="1"/>
                <w:color w:val="auto"/>
              </w:rPr>
              <w:t>Description</w:t>
            </w:r>
          </w:p>
        </w:tc>
      </w:tr>
      <w:tr>
        <w:trPr>
          <w:trHeight w:val="169"/>
        </w:trPr>
        <w:tc>
          <w:tcPr>
            <w:tcW w:w="1300" w:type="dxa"/>
            <w:vAlign w:val="bottom"/>
            <w:tcBorders>
              <w:top w:val="single" w:sz="8" w:color="auto"/>
            </w:tcBorders>
          </w:tcPr>
          <w:p>
            <w:pPr>
              <w:jc w:val="center"/>
              <w:ind w:left="510"/>
              <w:spacing w:after="0" w:line="169" w:lineRule="exact"/>
              <w:rPr>
                <w:sz w:val="20"/>
                <w:szCs w:val="20"/>
                <w:color w:val="auto"/>
              </w:rPr>
            </w:pPr>
            <w:r>
              <w:rPr>
                <w:rFonts w:ascii="Times New Roman" w:cs="Times New Roman" w:eastAsia="Times New Roman" w:hAnsi="Times New Roman"/>
                <w:sz w:val="18"/>
                <w:szCs w:val="18"/>
                <w:color w:val="auto"/>
                <w:w w:val="97"/>
              </w:rPr>
              <w:t>2.1</w:t>
            </w:r>
          </w:p>
        </w:tc>
        <w:tc>
          <w:tcPr>
            <w:tcW w:w="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360" w:type="dxa"/>
            <w:vAlign w:val="bottom"/>
            <w:tcBorders>
              <w:top w:val="single" w:sz="8" w:color="auto"/>
              <w:bottom w:val="single" w:sz="8" w:color="0000EE"/>
            </w:tcBorders>
            <w:gridSpan w:val="19"/>
          </w:tcPr>
          <w:p>
            <w:pPr>
              <w:spacing w:after="0" w:line="169" w:lineRule="exact"/>
              <w:rPr>
                <w:rFonts w:ascii="Times New Roman" w:cs="Times New Roman" w:eastAsia="Times New Roman" w:hAnsi="Times New Roman"/>
                <w:sz w:val="18"/>
                <w:szCs w:val="18"/>
                <w:color w:val="0000EE"/>
                <w:w w:val="99"/>
              </w:rPr>
            </w:pPr>
            <w:hyperlink r:id="rId60">
              <w:r>
                <w:rPr>
                  <w:rFonts w:ascii="Times New Roman" w:cs="Times New Roman" w:eastAsia="Times New Roman" w:hAnsi="Times New Roman"/>
                  <w:sz w:val="18"/>
                  <w:szCs w:val="18"/>
                  <w:color w:val="0000EE"/>
                  <w:w w:val="99"/>
                </w:rPr>
                <w:t>Agreement and Plan of Merger, dated as of November 14, 2019, by and among the Registrant, Ribbon</w:t>
              </w:r>
            </w:hyperlink>
          </w:p>
        </w:tc>
      </w:tr>
      <w:tr>
        <w:trPr>
          <w:trHeight w:val="196"/>
        </w:trPr>
        <w:tc>
          <w:tcPr>
            <w:tcW w:w="13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360" w:type="dxa"/>
            <w:vAlign w:val="bottom"/>
            <w:gridSpan w:val="19"/>
          </w:tcPr>
          <w:p>
            <w:pPr>
              <w:spacing w:after="0" w:line="196" w:lineRule="exact"/>
              <w:rPr>
                <w:rFonts w:ascii="Times New Roman" w:cs="Times New Roman" w:eastAsia="Times New Roman" w:hAnsi="Times New Roman"/>
                <w:sz w:val="18"/>
                <w:szCs w:val="18"/>
                <w:color w:val="0000EE"/>
              </w:rPr>
            </w:pPr>
            <w:hyperlink r:id="rId60">
              <w:r>
                <w:rPr>
                  <w:rFonts w:ascii="Times New Roman" w:cs="Times New Roman" w:eastAsia="Times New Roman" w:hAnsi="Times New Roman"/>
                  <w:sz w:val="18"/>
                  <w:szCs w:val="18"/>
                  <w:color w:val="0000EE"/>
                </w:rPr>
                <w:t>Communications Israel Ltd., Eclipse Communications Ltd., ECI Telecom Group Ltd. and ECI</w:t>
              </w:r>
            </w:hyperlink>
          </w:p>
        </w:tc>
      </w:tr>
      <w:tr>
        <w:trPr>
          <w:trHeight w:val="20"/>
        </w:trPr>
        <w:tc>
          <w:tcPr>
            <w:tcW w:w="13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1040" w:type="dxa"/>
            <w:vAlign w:val="bottom"/>
            <w:shd w:val="clear" w:color="auto" w:fill="0000EE"/>
          </w:tcPr>
          <w:p>
            <w:pPr>
              <w:spacing w:after="0" w:line="20" w:lineRule="exact"/>
              <w:rPr>
                <w:sz w:val="1"/>
                <w:szCs w:val="1"/>
                <w:color w:val="auto"/>
              </w:rPr>
            </w:pPr>
          </w:p>
        </w:tc>
        <w:tc>
          <w:tcPr>
            <w:tcW w:w="3560" w:type="dxa"/>
            <w:vAlign w:val="bottom"/>
            <w:shd w:val="clear" w:color="auto" w:fill="0000EE"/>
          </w:tcPr>
          <w:p>
            <w:pPr>
              <w:spacing w:after="0" w:line="20" w:lineRule="exact"/>
              <w:rPr>
                <w:sz w:val="1"/>
                <w:szCs w:val="1"/>
                <w:color w:val="auto"/>
              </w:rPr>
            </w:pPr>
          </w:p>
        </w:tc>
        <w:tc>
          <w:tcPr>
            <w:tcW w:w="40" w:type="dxa"/>
            <w:vAlign w:val="bottom"/>
            <w:tcBorders>
              <w:left w:val="single" w:sz="8" w:color="0000EE"/>
            </w:tcBorders>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96"/>
        </w:trPr>
        <w:tc>
          <w:tcPr>
            <w:tcW w:w="13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940" w:type="dxa"/>
            <w:vAlign w:val="bottom"/>
            <w:tcBorders>
              <w:bottom w:val="single" w:sz="8" w:color="0000EE"/>
            </w:tcBorders>
            <w:gridSpan w:val="10"/>
          </w:tcPr>
          <w:p>
            <w:pPr>
              <w:spacing w:after="0" w:line="196" w:lineRule="exact"/>
              <w:rPr>
                <w:rFonts w:ascii="Times New Roman" w:cs="Times New Roman" w:eastAsia="Times New Roman" w:hAnsi="Times New Roman"/>
                <w:sz w:val="18"/>
                <w:szCs w:val="18"/>
                <w:color w:val="0000EE"/>
                <w:w w:val="99"/>
              </w:rPr>
            </w:pPr>
            <w:hyperlink r:id="rId60">
              <w:r>
                <w:rPr>
                  <w:rFonts w:ascii="Times New Roman" w:cs="Times New Roman" w:eastAsia="Times New Roman" w:hAnsi="Times New Roman"/>
                  <w:sz w:val="18"/>
                  <w:szCs w:val="18"/>
                  <w:color w:val="0000EE"/>
                  <w:w w:val="99"/>
                </w:rPr>
                <w:t>Holding (Hungary) Korlátolt Felelősségű Társág (incorporated by reference to Exhibit 2.1 to the</w:t>
              </w:r>
            </w:hyperlink>
          </w:p>
        </w:tc>
        <w:tc>
          <w:tcPr>
            <w:tcW w:w="420" w:type="dxa"/>
            <w:vAlign w:val="bottom"/>
            <w:gridSpan w:val="9"/>
          </w:tcPr>
          <w:p>
            <w:pPr>
              <w:spacing w:after="0"/>
              <w:rPr>
                <w:sz w:val="17"/>
                <w:szCs w:val="17"/>
                <w:color w:val="auto"/>
              </w:rPr>
            </w:pPr>
          </w:p>
        </w:tc>
      </w:tr>
      <w:tr>
        <w:trPr>
          <w:trHeight w:val="196"/>
        </w:trPr>
        <w:tc>
          <w:tcPr>
            <w:tcW w:w="13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980" w:type="dxa"/>
            <w:vAlign w:val="bottom"/>
            <w:tcBorders>
              <w:bottom w:val="single" w:sz="8" w:color="0000EE"/>
            </w:tcBorders>
            <w:gridSpan w:val="6"/>
          </w:tcPr>
          <w:p>
            <w:pPr>
              <w:spacing w:after="0" w:line="196" w:lineRule="exact"/>
              <w:rPr>
                <w:rFonts w:ascii="Times New Roman" w:cs="Times New Roman" w:eastAsia="Times New Roman" w:hAnsi="Times New Roman"/>
                <w:sz w:val="18"/>
                <w:szCs w:val="18"/>
                <w:color w:val="0000EE"/>
                <w:w w:val="99"/>
              </w:rPr>
            </w:pPr>
            <w:hyperlink r:id="rId60">
              <w:r>
                <w:rPr>
                  <w:rFonts w:ascii="Times New Roman" w:cs="Times New Roman" w:eastAsia="Times New Roman" w:hAnsi="Times New Roman"/>
                  <w:sz w:val="18"/>
                  <w:szCs w:val="18"/>
                  <w:color w:val="0000EE"/>
                  <w:w w:val="99"/>
                </w:rPr>
                <w:t>Registrant’s Current Report on Form 8-K, filed November 14, 2019 with the SEC).</w:t>
              </w:r>
            </w:hyperlink>
          </w:p>
        </w:tc>
        <w:tc>
          <w:tcPr>
            <w:tcW w:w="1380" w:type="dxa"/>
            <w:vAlign w:val="bottom"/>
            <w:gridSpan w:val="13"/>
          </w:tcPr>
          <w:p>
            <w:pPr>
              <w:spacing w:after="0"/>
              <w:rPr>
                <w:sz w:val="17"/>
                <w:szCs w:val="17"/>
                <w:color w:val="auto"/>
              </w:rPr>
            </w:pPr>
          </w:p>
        </w:tc>
      </w:tr>
      <w:tr>
        <w:trPr>
          <w:trHeight w:val="196"/>
        </w:trPr>
        <w:tc>
          <w:tcPr>
            <w:tcW w:w="1300" w:type="dxa"/>
            <w:vAlign w:val="bottom"/>
          </w:tcPr>
          <w:p>
            <w:pPr>
              <w:jc w:val="center"/>
              <w:ind w:left="510"/>
              <w:spacing w:after="0" w:line="196" w:lineRule="exact"/>
              <w:rPr>
                <w:sz w:val="20"/>
                <w:szCs w:val="20"/>
                <w:color w:val="auto"/>
              </w:rPr>
            </w:pPr>
            <w:r>
              <w:rPr>
                <w:rFonts w:ascii="Times New Roman" w:cs="Times New Roman" w:eastAsia="Times New Roman" w:hAnsi="Times New Roman"/>
                <w:sz w:val="18"/>
                <w:szCs w:val="18"/>
                <w:color w:val="auto"/>
                <w:w w:val="97"/>
              </w:rPr>
              <w:t>2.2</w:t>
            </w: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360" w:type="dxa"/>
            <w:vAlign w:val="bottom"/>
            <w:gridSpan w:val="19"/>
          </w:tcPr>
          <w:p>
            <w:pPr>
              <w:spacing w:after="0" w:line="196" w:lineRule="exact"/>
              <w:rPr>
                <w:rFonts w:ascii="Times New Roman" w:cs="Times New Roman" w:eastAsia="Times New Roman" w:hAnsi="Times New Roman"/>
                <w:sz w:val="18"/>
                <w:szCs w:val="18"/>
                <w:color w:val="0000EE"/>
              </w:rPr>
            </w:pPr>
            <w:hyperlink r:id="rId61">
              <w:r>
                <w:rPr>
                  <w:rFonts w:ascii="Times New Roman" w:cs="Times New Roman" w:eastAsia="Times New Roman" w:hAnsi="Times New Roman"/>
                  <w:sz w:val="18"/>
                  <w:szCs w:val="18"/>
                  <w:color w:val="0000EE"/>
                </w:rPr>
                <w:t>Amended and Restated Purchase Agreement, dated December 1, 2020, among Ribbon</w:t>
              </w:r>
            </w:hyperlink>
          </w:p>
        </w:tc>
      </w:tr>
      <w:tr>
        <w:trPr>
          <w:trHeight w:val="20"/>
        </w:trPr>
        <w:tc>
          <w:tcPr>
            <w:tcW w:w="13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1040" w:type="dxa"/>
            <w:vAlign w:val="bottom"/>
            <w:shd w:val="clear" w:color="auto" w:fill="0000EE"/>
          </w:tcPr>
          <w:p>
            <w:pPr>
              <w:spacing w:after="0" w:line="20" w:lineRule="exact"/>
              <w:rPr>
                <w:sz w:val="1"/>
                <w:szCs w:val="1"/>
                <w:color w:val="auto"/>
              </w:rPr>
            </w:pPr>
          </w:p>
        </w:tc>
        <w:tc>
          <w:tcPr>
            <w:tcW w:w="3560" w:type="dxa"/>
            <w:vAlign w:val="bottom"/>
            <w:shd w:val="clear" w:color="auto" w:fill="0000EE"/>
          </w:tcPr>
          <w:p>
            <w:pPr>
              <w:spacing w:after="0" w:line="20" w:lineRule="exact"/>
              <w:rPr>
                <w:sz w:val="1"/>
                <w:szCs w:val="1"/>
                <w:color w:val="auto"/>
              </w:rPr>
            </w:pPr>
          </w:p>
        </w:tc>
        <w:tc>
          <w:tcPr>
            <w:tcW w:w="40" w:type="dxa"/>
            <w:vAlign w:val="bottom"/>
            <w:tcBorders>
              <w:left w:val="single" w:sz="8" w:color="0000EE"/>
            </w:tcBorders>
            <w:shd w:val="clear" w:color="auto" w:fill="0000EE"/>
          </w:tcPr>
          <w:p>
            <w:pPr>
              <w:spacing w:after="0" w:line="20" w:lineRule="exact"/>
              <w:rPr>
                <w:sz w:val="1"/>
                <w:szCs w:val="1"/>
                <w:color w:val="auto"/>
              </w:rPr>
            </w:pPr>
          </w:p>
        </w:tc>
        <w:tc>
          <w:tcPr>
            <w:tcW w:w="400" w:type="dxa"/>
            <w:vAlign w:val="bottom"/>
            <w:gridSpan w:val="2"/>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4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96"/>
        </w:trPr>
        <w:tc>
          <w:tcPr>
            <w:tcW w:w="13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0" w:type="dxa"/>
            <w:vAlign w:val="bottom"/>
            <w:tcBorders>
              <w:bottom w:val="single" w:sz="8" w:color="0000EE"/>
            </w:tcBorders>
            <w:gridSpan w:val="14"/>
          </w:tcPr>
          <w:p>
            <w:pPr>
              <w:spacing w:after="0" w:line="196" w:lineRule="exact"/>
              <w:rPr>
                <w:rFonts w:ascii="Times New Roman" w:cs="Times New Roman" w:eastAsia="Times New Roman" w:hAnsi="Times New Roman"/>
                <w:sz w:val="18"/>
                <w:szCs w:val="18"/>
                <w:color w:val="0000EE"/>
                <w:w w:val="99"/>
              </w:rPr>
            </w:pPr>
            <w:hyperlink r:id="rId61">
              <w:r>
                <w:rPr>
                  <w:rFonts w:ascii="Times New Roman" w:cs="Times New Roman" w:eastAsia="Times New Roman" w:hAnsi="Times New Roman"/>
                  <w:sz w:val="18"/>
                  <w:szCs w:val="18"/>
                  <w:color w:val="0000EE"/>
                  <w:w w:val="99"/>
                </w:rPr>
                <w:t>Communications Inc., Ribbon Communications Operating Company, Inc., Ribbon Communications</w:t>
              </w:r>
            </w:hyperlink>
          </w:p>
        </w:tc>
        <w:tc>
          <w:tcPr>
            <w:tcW w:w="160" w:type="dxa"/>
            <w:vAlign w:val="bottom"/>
            <w:gridSpan w:val="5"/>
          </w:tcPr>
          <w:p>
            <w:pPr>
              <w:spacing w:after="0"/>
              <w:rPr>
                <w:sz w:val="17"/>
                <w:szCs w:val="17"/>
                <w:color w:val="auto"/>
              </w:rPr>
            </w:pPr>
          </w:p>
        </w:tc>
      </w:tr>
      <w:tr>
        <w:trPr>
          <w:trHeight w:val="196"/>
        </w:trPr>
        <w:tc>
          <w:tcPr>
            <w:tcW w:w="13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360" w:type="dxa"/>
            <w:vAlign w:val="bottom"/>
            <w:gridSpan w:val="19"/>
          </w:tcPr>
          <w:p>
            <w:pPr>
              <w:spacing w:after="0" w:line="196" w:lineRule="exact"/>
              <w:rPr>
                <w:rFonts w:ascii="Times New Roman" w:cs="Times New Roman" w:eastAsia="Times New Roman" w:hAnsi="Times New Roman"/>
                <w:sz w:val="18"/>
                <w:szCs w:val="18"/>
                <w:color w:val="0000EE"/>
              </w:rPr>
            </w:pPr>
            <w:hyperlink r:id="rId61">
              <w:r>
                <w:rPr>
                  <w:rFonts w:ascii="Times New Roman" w:cs="Times New Roman" w:eastAsia="Times New Roman" w:hAnsi="Times New Roman"/>
                  <w:sz w:val="18"/>
                  <w:szCs w:val="18"/>
                  <w:color w:val="0000EE"/>
                </w:rPr>
                <w:t>International Limited and American Virtual Cloud Technologies, Inc. (incorporated by reference to</w:t>
              </w:r>
            </w:hyperlink>
          </w:p>
        </w:tc>
      </w:tr>
      <w:tr>
        <w:trPr>
          <w:trHeight w:val="20"/>
        </w:trPr>
        <w:tc>
          <w:tcPr>
            <w:tcW w:w="13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1040" w:type="dxa"/>
            <w:vAlign w:val="bottom"/>
            <w:shd w:val="clear" w:color="auto" w:fill="0000EE"/>
          </w:tcPr>
          <w:p>
            <w:pPr>
              <w:spacing w:after="0" w:line="20" w:lineRule="exact"/>
              <w:rPr>
                <w:sz w:val="1"/>
                <w:szCs w:val="1"/>
                <w:color w:val="auto"/>
              </w:rPr>
            </w:pPr>
          </w:p>
        </w:tc>
        <w:tc>
          <w:tcPr>
            <w:tcW w:w="3560" w:type="dxa"/>
            <w:vAlign w:val="bottom"/>
            <w:shd w:val="clear" w:color="auto" w:fill="0000EE"/>
          </w:tcPr>
          <w:p>
            <w:pPr>
              <w:spacing w:after="0" w:line="20" w:lineRule="exact"/>
              <w:rPr>
                <w:sz w:val="1"/>
                <w:szCs w:val="1"/>
                <w:color w:val="auto"/>
              </w:rPr>
            </w:pPr>
          </w:p>
        </w:tc>
        <w:tc>
          <w:tcPr>
            <w:tcW w:w="40" w:type="dxa"/>
            <w:vAlign w:val="bottom"/>
            <w:tcBorders>
              <w:left w:val="single" w:sz="8" w:color="0000EE"/>
            </w:tcBorders>
            <w:shd w:val="clear" w:color="auto" w:fill="0000EE"/>
          </w:tcPr>
          <w:p>
            <w:pPr>
              <w:spacing w:after="0" w:line="20" w:lineRule="exact"/>
              <w:rPr>
                <w:sz w:val="1"/>
                <w:szCs w:val="1"/>
                <w:color w:val="auto"/>
              </w:rPr>
            </w:pPr>
          </w:p>
        </w:tc>
        <w:tc>
          <w:tcPr>
            <w:tcW w:w="400" w:type="dxa"/>
            <w:vAlign w:val="bottom"/>
            <w:gridSpan w:val="2"/>
            <w:shd w:val="clear" w:color="auto" w:fill="0000EE"/>
          </w:tcPr>
          <w:p>
            <w:pPr>
              <w:spacing w:after="0" w:line="20" w:lineRule="exact"/>
              <w:rPr>
                <w:sz w:val="1"/>
                <w:szCs w:val="1"/>
                <w:color w:val="auto"/>
              </w:rPr>
            </w:pPr>
          </w:p>
        </w:tc>
        <w:tc>
          <w:tcPr>
            <w:tcW w:w="940" w:type="dxa"/>
            <w:vAlign w:val="bottom"/>
            <w:gridSpan w:val="4"/>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96"/>
        </w:trPr>
        <w:tc>
          <w:tcPr>
            <w:tcW w:w="13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360" w:type="dxa"/>
            <w:vAlign w:val="bottom"/>
            <w:gridSpan w:val="19"/>
          </w:tcPr>
          <w:p>
            <w:pPr>
              <w:spacing w:after="0" w:line="196" w:lineRule="exact"/>
              <w:rPr>
                <w:rFonts w:ascii="Times New Roman" w:cs="Times New Roman" w:eastAsia="Times New Roman" w:hAnsi="Times New Roman"/>
                <w:sz w:val="18"/>
                <w:szCs w:val="18"/>
                <w:color w:val="0000EE"/>
              </w:rPr>
            </w:pPr>
            <w:hyperlink r:id="rId61">
              <w:r>
                <w:rPr>
                  <w:rFonts w:ascii="Times New Roman" w:cs="Times New Roman" w:eastAsia="Times New Roman" w:hAnsi="Times New Roman"/>
                  <w:sz w:val="18"/>
                  <w:szCs w:val="18"/>
                  <w:color w:val="0000EE"/>
                </w:rPr>
                <w:t>Exhibit 2.1 to the Registrant’s Current Report on Form 8-K, filed December 7, 2020 with the SEC).</w:t>
              </w:r>
            </w:hyperlink>
          </w:p>
        </w:tc>
      </w:tr>
      <w:tr>
        <w:trPr>
          <w:trHeight w:val="20"/>
        </w:trPr>
        <w:tc>
          <w:tcPr>
            <w:tcW w:w="13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1040" w:type="dxa"/>
            <w:vAlign w:val="bottom"/>
            <w:shd w:val="clear" w:color="auto" w:fill="0000EE"/>
          </w:tcPr>
          <w:p>
            <w:pPr>
              <w:spacing w:after="0" w:line="20" w:lineRule="exact"/>
              <w:rPr>
                <w:sz w:val="1"/>
                <w:szCs w:val="1"/>
                <w:color w:val="auto"/>
              </w:rPr>
            </w:pPr>
          </w:p>
        </w:tc>
        <w:tc>
          <w:tcPr>
            <w:tcW w:w="3560" w:type="dxa"/>
            <w:vAlign w:val="bottom"/>
            <w:shd w:val="clear" w:color="auto" w:fill="0000EE"/>
          </w:tcPr>
          <w:p>
            <w:pPr>
              <w:spacing w:after="0" w:line="20" w:lineRule="exact"/>
              <w:rPr>
                <w:sz w:val="1"/>
                <w:szCs w:val="1"/>
                <w:color w:val="auto"/>
              </w:rPr>
            </w:pPr>
          </w:p>
        </w:tc>
        <w:tc>
          <w:tcPr>
            <w:tcW w:w="40" w:type="dxa"/>
            <w:vAlign w:val="bottom"/>
            <w:tcBorders>
              <w:left w:val="single" w:sz="8" w:color="0000EE"/>
            </w:tcBorders>
            <w:shd w:val="clear" w:color="auto" w:fill="0000EE"/>
          </w:tcPr>
          <w:p>
            <w:pPr>
              <w:spacing w:after="0" w:line="20" w:lineRule="exact"/>
              <w:rPr>
                <w:sz w:val="1"/>
                <w:szCs w:val="1"/>
                <w:color w:val="auto"/>
              </w:rPr>
            </w:pPr>
          </w:p>
        </w:tc>
        <w:tc>
          <w:tcPr>
            <w:tcW w:w="400" w:type="dxa"/>
            <w:vAlign w:val="bottom"/>
            <w:gridSpan w:val="2"/>
            <w:shd w:val="clear" w:color="auto" w:fill="0000EE"/>
          </w:tcPr>
          <w:p>
            <w:pPr>
              <w:spacing w:after="0" w:line="20" w:lineRule="exact"/>
              <w:rPr>
                <w:sz w:val="1"/>
                <w:szCs w:val="1"/>
                <w:color w:val="auto"/>
              </w:rPr>
            </w:pPr>
          </w:p>
        </w:tc>
        <w:tc>
          <w:tcPr>
            <w:tcW w:w="940" w:type="dxa"/>
            <w:vAlign w:val="bottom"/>
            <w:gridSpan w:val="4"/>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100" w:type="dxa"/>
            <w:vAlign w:val="bottom"/>
            <w:tcBorders>
              <w:left w:val="single" w:sz="8" w:color="0000EE"/>
            </w:tcBorders>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96"/>
        </w:trPr>
        <w:tc>
          <w:tcPr>
            <w:tcW w:w="1300" w:type="dxa"/>
            <w:vAlign w:val="bottom"/>
          </w:tcPr>
          <w:p>
            <w:pPr>
              <w:jc w:val="center"/>
              <w:ind w:left="510"/>
              <w:spacing w:after="0" w:line="196" w:lineRule="exact"/>
              <w:rPr>
                <w:sz w:val="20"/>
                <w:szCs w:val="20"/>
                <w:color w:val="auto"/>
              </w:rPr>
            </w:pPr>
            <w:r>
              <w:rPr>
                <w:rFonts w:ascii="Times New Roman" w:cs="Times New Roman" w:eastAsia="Times New Roman" w:hAnsi="Times New Roman"/>
                <w:sz w:val="18"/>
                <w:szCs w:val="18"/>
                <w:color w:val="auto"/>
                <w:w w:val="97"/>
              </w:rPr>
              <w:t>3.1</w:t>
            </w: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320" w:type="dxa"/>
            <w:vAlign w:val="bottom"/>
            <w:tcBorders>
              <w:bottom w:val="single" w:sz="8" w:color="0000EE"/>
            </w:tcBorders>
            <w:gridSpan w:val="18"/>
          </w:tcPr>
          <w:p>
            <w:pPr>
              <w:spacing w:after="0" w:line="196" w:lineRule="exact"/>
              <w:rPr>
                <w:rFonts w:ascii="Times New Roman" w:cs="Times New Roman" w:eastAsia="Times New Roman" w:hAnsi="Times New Roman"/>
                <w:sz w:val="18"/>
                <w:szCs w:val="18"/>
                <w:color w:val="0000EE"/>
                <w:w w:val="99"/>
              </w:rPr>
            </w:pPr>
            <w:hyperlink r:id="rId62">
              <w:r>
                <w:rPr>
                  <w:rFonts w:ascii="Times New Roman" w:cs="Times New Roman" w:eastAsia="Times New Roman" w:hAnsi="Times New Roman"/>
                  <w:sz w:val="18"/>
                  <w:szCs w:val="18"/>
                  <w:color w:val="0000EE"/>
                  <w:w w:val="99"/>
                </w:rPr>
                <w:t>Restated Certificate of Incorporation of the Registrant (incorporated by reference to Exhibit 3.2 to the</w:t>
              </w:r>
            </w:hyperlink>
          </w:p>
        </w:tc>
        <w:tc>
          <w:tcPr>
            <w:tcW w:w="40" w:type="dxa"/>
            <w:vAlign w:val="bottom"/>
          </w:tcPr>
          <w:p>
            <w:pPr>
              <w:spacing w:after="0"/>
              <w:rPr>
                <w:sz w:val="17"/>
                <w:szCs w:val="17"/>
                <w:color w:val="auto"/>
              </w:rPr>
            </w:pPr>
          </w:p>
        </w:tc>
      </w:tr>
      <w:tr>
        <w:trPr>
          <w:trHeight w:val="196"/>
        </w:trPr>
        <w:tc>
          <w:tcPr>
            <w:tcW w:w="13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100" w:type="dxa"/>
            <w:vAlign w:val="bottom"/>
            <w:tcBorders>
              <w:bottom w:val="single" w:sz="8" w:color="0000EE"/>
            </w:tcBorders>
            <w:gridSpan w:val="7"/>
          </w:tcPr>
          <w:p>
            <w:pPr>
              <w:spacing w:after="0" w:line="196" w:lineRule="exact"/>
              <w:rPr>
                <w:rFonts w:ascii="Times New Roman" w:cs="Times New Roman" w:eastAsia="Times New Roman" w:hAnsi="Times New Roman"/>
                <w:sz w:val="18"/>
                <w:szCs w:val="18"/>
                <w:color w:val="0000EE"/>
                <w:w w:val="99"/>
              </w:rPr>
            </w:pPr>
            <w:hyperlink r:id="rId62">
              <w:r>
                <w:rPr>
                  <w:rFonts w:ascii="Times New Roman" w:cs="Times New Roman" w:eastAsia="Times New Roman" w:hAnsi="Times New Roman"/>
                  <w:sz w:val="18"/>
                  <w:szCs w:val="18"/>
                  <w:color w:val="0000EE"/>
                  <w:w w:val="99"/>
                </w:rPr>
                <w:t>Registrant’s Current Report on Form 8-K12B, filed October 30, 2017 with the SEC).</w:t>
              </w:r>
            </w:hyperlink>
          </w:p>
        </w:tc>
        <w:tc>
          <w:tcPr>
            <w:tcW w:w="1260" w:type="dxa"/>
            <w:vAlign w:val="bottom"/>
            <w:gridSpan w:val="12"/>
          </w:tcPr>
          <w:p>
            <w:pPr>
              <w:spacing w:after="0"/>
              <w:rPr>
                <w:sz w:val="17"/>
                <w:szCs w:val="17"/>
                <w:color w:val="auto"/>
              </w:rPr>
            </w:pPr>
          </w:p>
        </w:tc>
      </w:tr>
      <w:tr>
        <w:trPr>
          <w:trHeight w:val="196"/>
        </w:trPr>
        <w:tc>
          <w:tcPr>
            <w:tcW w:w="1300" w:type="dxa"/>
            <w:vAlign w:val="bottom"/>
          </w:tcPr>
          <w:p>
            <w:pPr>
              <w:jc w:val="center"/>
              <w:ind w:left="510"/>
              <w:spacing w:after="0" w:line="196" w:lineRule="exact"/>
              <w:rPr>
                <w:sz w:val="20"/>
                <w:szCs w:val="20"/>
                <w:color w:val="auto"/>
              </w:rPr>
            </w:pPr>
            <w:r>
              <w:rPr>
                <w:rFonts w:ascii="Times New Roman" w:cs="Times New Roman" w:eastAsia="Times New Roman" w:hAnsi="Times New Roman"/>
                <w:sz w:val="18"/>
                <w:szCs w:val="18"/>
                <w:color w:val="auto"/>
                <w:w w:val="97"/>
              </w:rPr>
              <w:t>3.2</w:t>
            </w: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300" w:type="dxa"/>
            <w:vAlign w:val="bottom"/>
            <w:tcBorders>
              <w:bottom w:val="single" w:sz="8" w:color="0000EE"/>
            </w:tcBorders>
            <w:gridSpan w:val="17"/>
          </w:tcPr>
          <w:p>
            <w:pPr>
              <w:spacing w:after="0" w:line="196" w:lineRule="exact"/>
              <w:rPr>
                <w:rFonts w:ascii="Times New Roman" w:cs="Times New Roman" w:eastAsia="Times New Roman" w:hAnsi="Times New Roman"/>
                <w:sz w:val="18"/>
                <w:szCs w:val="18"/>
                <w:color w:val="0000EE"/>
                <w:w w:val="99"/>
              </w:rPr>
            </w:pPr>
            <w:hyperlink r:id="rId63">
              <w:r>
                <w:rPr>
                  <w:rFonts w:ascii="Times New Roman" w:cs="Times New Roman" w:eastAsia="Times New Roman" w:hAnsi="Times New Roman"/>
                  <w:sz w:val="18"/>
                  <w:szCs w:val="18"/>
                  <w:color w:val="0000EE"/>
                  <w:w w:val="99"/>
                </w:rPr>
                <w:t>Certificate of Amendment of the Restated Certificate of Incorporation of the Registrant (incorporated</w:t>
              </w:r>
            </w:hyperlink>
          </w:p>
        </w:tc>
        <w:tc>
          <w:tcPr>
            <w:tcW w:w="60" w:type="dxa"/>
            <w:vAlign w:val="bottom"/>
            <w:gridSpan w:val="2"/>
          </w:tcPr>
          <w:p>
            <w:pPr>
              <w:spacing w:after="0"/>
              <w:rPr>
                <w:sz w:val="17"/>
                <w:szCs w:val="17"/>
                <w:color w:val="auto"/>
              </w:rPr>
            </w:pPr>
          </w:p>
        </w:tc>
      </w:tr>
      <w:tr>
        <w:trPr>
          <w:trHeight w:val="196"/>
        </w:trPr>
        <w:tc>
          <w:tcPr>
            <w:tcW w:w="13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360" w:type="dxa"/>
            <w:vAlign w:val="bottom"/>
            <w:gridSpan w:val="19"/>
          </w:tcPr>
          <w:p>
            <w:pPr>
              <w:spacing w:after="0" w:line="196" w:lineRule="exact"/>
              <w:rPr>
                <w:rFonts w:ascii="Times New Roman" w:cs="Times New Roman" w:eastAsia="Times New Roman" w:hAnsi="Times New Roman"/>
                <w:sz w:val="18"/>
                <w:szCs w:val="18"/>
                <w:color w:val="0000EE"/>
              </w:rPr>
            </w:pPr>
            <w:hyperlink r:id="rId63">
              <w:r>
                <w:rPr>
                  <w:rFonts w:ascii="Times New Roman" w:cs="Times New Roman" w:eastAsia="Times New Roman" w:hAnsi="Times New Roman"/>
                  <w:sz w:val="18"/>
                  <w:szCs w:val="18"/>
                  <w:color w:val="0000EE"/>
                </w:rPr>
                <w:t>by reference to Exhibit 3.1 to the Registrant’s Current Report on Form 8-K, filed November 28, 2017</w:t>
              </w:r>
            </w:hyperlink>
          </w:p>
        </w:tc>
      </w:tr>
      <w:tr>
        <w:trPr>
          <w:trHeight w:val="196"/>
        </w:trPr>
        <w:tc>
          <w:tcPr>
            <w:tcW w:w="13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80" w:type="dxa"/>
            <w:vAlign w:val="bottom"/>
            <w:tcBorders>
              <w:top w:val="single" w:sz="8" w:color="0000EE"/>
            </w:tcBorders>
            <w:gridSpan w:val="16"/>
          </w:tcPr>
          <w:p>
            <w:pPr>
              <w:spacing w:after="0" w:line="196" w:lineRule="exact"/>
              <w:rPr>
                <w:rFonts w:ascii="Times New Roman" w:cs="Times New Roman" w:eastAsia="Times New Roman" w:hAnsi="Times New Roman"/>
                <w:sz w:val="18"/>
                <w:szCs w:val="18"/>
                <w:color w:val="0000EE"/>
              </w:rPr>
            </w:pPr>
            <w:hyperlink r:id="rId63">
              <w:r>
                <w:rPr>
                  <w:rFonts w:ascii="Times New Roman" w:cs="Times New Roman" w:eastAsia="Times New Roman" w:hAnsi="Times New Roman"/>
                  <w:sz w:val="18"/>
                  <w:szCs w:val="18"/>
                  <w:color w:val="0000EE"/>
                </w:rPr>
                <w:t>with the SEC).</w:t>
              </w:r>
            </w:hyperlink>
          </w:p>
        </w:tc>
        <w:tc>
          <w:tcPr>
            <w:tcW w:w="80" w:type="dxa"/>
            <w:vAlign w:val="bottom"/>
            <w:gridSpan w:val="3"/>
          </w:tcPr>
          <w:p>
            <w:pPr>
              <w:spacing w:after="0"/>
              <w:rPr>
                <w:sz w:val="17"/>
                <w:szCs w:val="17"/>
                <w:color w:val="auto"/>
              </w:rPr>
            </w:pPr>
          </w:p>
        </w:tc>
      </w:tr>
      <w:tr>
        <w:trPr>
          <w:trHeight w:val="20"/>
        </w:trPr>
        <w:tc>
          <w:tcPr>
            <w:tcW w:w="13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35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340" w:type="dxa"/>
            <w:vAlign w:val="bottom"/>
            <w:gridSpan w:val="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96"/>
        </w:trPr>
        <w:tc>
          <w:tcPr>
            <w:tcW w:w="1300" w:type="dxa"/>
            <w:vAlign w:val="bottom"/>
          </w:tcPr>
          <w:p>
            <w:pPr>
              <w:jc w:val="center"/>
              <w:ind w:left="510"/>
              <w:spacing w:after="0" w:line="196" w:lineRule="exact"/>
              <w:rPr>
                <w:sz w:val="20"/>
                <w:szCs w:val="20"/>
                <w:color w:val="auto"/>
              </w:rPr>
            </w:pPr>
            <w:r>
              <w:rPr>
                <w:rFonts w:ascii="Times New Roman" w:cs="Times New Roman" w:eastAsia="Times New Roman" w:hAnsi="Times New Roman"/>
                <w:sz w:val="18"/>
                <w:szCs w:val="18"/>
                <w:color w:val="auto"/>
                <w:w w:val="97"/>
              </w:rPr>
              <w:t>3.3</w:t>
            </w: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360" w:type="dxa"/>
            <w:vAlign w:val="bottom"/>
            <w:gridSpan w:val="19"/>
          </w:tcPr>
          <w:p>
            <w:pPr>
              <w:spacing w:after="0" w:line="196" w:lineRule="exact"/>
              <w:rPr>
                <w:rFonts w:ascii="Times New Roman" w:cs="Times New Roman" w:eastAsia="Times New Roman" w:hAnsi="Times New Roman"/>
                <w:sz w:val="18"/>
                <w:szCs w:val="18"/>
                <w:color w:val="0000EE"/>
              </w:rPr>
            </w:pPr>
            <w:hyperlink r:id="rId64">
              <w:r>
                <w:rPr>
                  <w:rFonts w:ascii="Times New Roman" w:cs="Times New Roman" w:eastAsia="Times New Roman" w:hAnsi="Times New Roman"/>
                  <w:sz w:val="18"/>
                  <w:szCs w:val="18"/>
                  <w:color w:val="0000EE"/>
                </w:rPr>
                <w:t>Certificate of Designation of Series A Preferred Stock (incorporated by reference to Exhibit 3.1 to the</w:t>
              </w:r>
            </w:hyperlink>
          </w:p>
        </w:tc>
      </w:tr>
      <w:tr>
        <w:trPr>
          <w:trHeight w:val="196"/>
        </w:trPr>
        <w:tc>
          <w:tcPr>
            <w:tcW w:w="13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320" w:type="dxa"/>
            <w:vAlign w:val="bottom"/>
            <w:tcBorders>
              <w:top w:val="single" w:sz="8" w:color="0000EE"/>
            </w:tcBorders>
            <w:gridSpan w:val="18"/>
          </w:tcPr>
          <w:p>
            <w:pPr>
              <w:spacing w:after="0" w:line="196" w:lineRule="exact"/>
              <w:rPr>
                <w:rFonts w:ascii="Times New Roman" w:cs="Times New Roman" w:eastAsia="Times New Roman" w:hAnsi="Times New Roman"/>
                <w:sz w:val="18"/>
                <w:szCs w:val="18"/>
                <w:color w:val="0000EE"/>
              </w:rPr>
            </w:pPr>
            <w:hyperlink r:id="rId64">
              <w:r>
                <w:rPr>
                  <w:rFonts w:ascii="Times New Roman" w:cs="Times New Roman" w:eastAsia="Times New Roman" w:hAnsi="Times New Roman"/>
                  <w:sz w:val="18"/>
                  <w:szCs w:val="18"/>
                  <w:color w:val="0000EE"/>
                </w:rPr>
                <w:t>Registrant’s Current Report on Form 8-K, filed March 30, 2023 with the SEC).</w:t>
              </w:r>
            </w:hyperlink>
          </w:p>
        </w:tc>
        <w:tc>
          <w:tcPr>
            <w:tcW w:w="40" w:type="dxa"/>
            <w:vAlign w:val="bottom"/>
          </w:tcPr>
          <w:p>
            <w:pPr>
              <w:spacing w:after="0"/>
              <w:rPr>
                <w:sz w:val="17"/>
                <w:szCs w:val="17"/>
                <w:color w:val="auto"/>
              </w:rPr>
            </w:pPr>
          </w:p>
        </w:tc>
      </w:tr>
      <w:tr>
        <w:trPr>
          <w:trHeight w:val="20"/>
        </w:trPr>
        <w:tc>
          <w:tcPr>
            <w:tcW w:w="13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1400" w:type="dxa"/>
            <w:vAlign w:val="bottom"/>
            <w:gridSpan w:val="2"/>
            <w:shd w:val="clear" w:color="auto" w:fill="0000EE"/>
          </w:tcPr>
          <w:p>
            <w:pPr>
              <w:spacing w:after="0" w:line="20" w:lineRule="exact"/>
              <w:rPr>
                <w:sz w:val="1"/>
                <w:szCs w:val="1"/>
                <w:color w:val="auto"/>
              </w:rPr>
            </w:pPr>
          </w:p>
        </w:tc>
        <w:tc>
          <w:tcPr>
            <w:tcW w:w="3560" w:type="dxa"/>
            <w:vAlign w:val="bottom"/>
            <w:shd w:val="clear" w:color="auto" w:fill="0000EE"/>
          </w:tcPr>
          <w:p>
            <w:pPr>
              <w:spacing w:after="0" w:line="20" w:lineRule="exact"/>
              <w:rPr>
                <w:sz w:val="1"/>
                <w:szCs w:val="1"/>
                <w:color w:val="auto"/>
              </w:rPr>
            </w:pPr>
          </w:p>
        </w:tc>
        <w:tc>
          <w:tcPr>
            <w:tcW w:w="40" w:type="dxa"/>
            <w:vAlign w:val="bottom"/>
            <w:tcBorders>
              <w:left w:val="single" w:sz="8" w:color="0000EE"/>
            </w:tcBorders>
          </w:tcPr>
          <w:p>
            <w:pPr>
              <w:spacing w:after="0" w:line="20" w:lineRule="exact"/>
              <w:rPr>
                <w:sz w:val="1"/>
                <w:szCs w:val="1"/>
                <w:color w:val="auto"/>
              </w:rPr>
            </w:pPr>
          </w:p>
        </w:tc>
        <w:tc>
          <w:tcPr>
            <w:tcW w:w="1340" w:type="dxa"/>
            <w:vAlign w:val="bottom"/>
            <w:gridSpan w:val="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96"/>
        </w:trPr>
        <w:tc>
          <w:tcPr>
            <w:tcW w:w="1300" w:type="dxa"/>
            <w:vAlign w:val="bottom"/>
          </w:tcPr>
          <w:p>
            <w:pPr>
              <w:jc w:val="center"/>
              <w:ind w:left="510"/>
              <w:spacing w:after="0" w:line="196" w:lineRule="exact"/>
              <w:rPr>
                <w:sz w:val="20"/>
                <w:szCs w:val="20"/>
                <w:color w:val="auto"/>
              </w:rPr>
            </w:pPr>
            <w:r>
              <w:rPr>
                <w:rFonts w:ascii="Times New Roman" w:cs="Times New Roman" w:eastAsia="Times New Roman" w:hAnsi="Times New Roman"/>
                <w:sz w:val="18"/>
                <w:szCs w:val="18"/>
                <w:color w:val="auto"/>
                <w:w w:val="97"/>
              </w:rPr>
              <w:t>3.4</w:t>
            </w: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300" w:type="dxa"/>
            <w:vAlign w:val="bottom"/>
            <w:tcBorders>
              <w:bottom w:val="single" w:sz="8" w:color="0000EE"/>
            </w:tcBorders>
            <w:gridSpan w:val="17"/>
          </w:tcPr>
          <w:p>
            <w:pPr>
              <w:spacing w:after="0" w:line="196" w:lineRule="exact"/>
              <w:rPr>
                <w:rFonts w:ascii="Times New Roman" w:cs="Times New Roman" w:eastAsia="Times New Roman" w:hAnsi="Times New Roman"/>
                <w:sz w:val="18"/>
                <w:szCs w:val="18"/>
                <w:color w:val="0000EE"/>
                <w:w w:val="99"/>
              </w:rPr>
            </w:pPr>
            <w:hyperlink r:id="rId65">
              <w:r>
                <w:rPr>
                  <w:rFonts w:ascii="Times New Roman" w:cs="Times New Roman" w:eastAsia="Times New Roman" w:hAnsi="Times New Roman"/>
                  <w:sz w:val="18"/>
                  <w:szCs w:val="18"/>
                  <w:color w:val="0000EE"/>
                  <w:w w:val="99"/>
                </w:rPr>
                <w:t>Certificate of Amendment of the Restated Certificate of Incorporation of the Registrant (incorporated</w:t>
              </w:r>
            </w:hyperlink>
          </w:p>
        </w:tc>
        <w:tc>
          <w:tcPr>
            <w:tcW w:w="60" w:type="dxa"/>
            <w:vAlign w:val="bottom"/>
            <w:gridSpan w:val="2"/>
          </w:tcPr>
          <w:p>
            <w:pPr>
              <w:spacing w:after="0"/>
              <w:rPr>
                <w:sz w:val="17"/>
                <w:szCs w:val="17"/>
                <w:color w:val="auto"/>
              </w:rPr>
            </w:pPr>
          </w:p>
        </w:tc>
      </w:tr>
      <w:tr>
        <w:trPr>
          <w:trHeight w:val="196"/>
        </w:trPr>
        <w:tc>
          <w:tcPr>
            <w:tcW w:w="13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360" w:type="dxa"/>
            <w:vAlign w:val="bottom"/>
            <w:gridSpan w:val="19"/>
          </w:tcPr>
          <w:p>
            <w:pPr>
              <w:spacing w:after="0" w:line="196" w:lineRule="exact"/>
              <w:rPr>
                <w:rFonts w:ascii="Times New Roman" w:cs="Times New Roman" w:eastAsia="Times New Roman" w:hAnsi="Times New Roman"/>
                <w:sz w:val="18"/>
                <w:szCs w:val="18"/>
                <w:color w:val="0000EE"/>
              </w:rPr>
            </w:pPr>
            <w:hyperlink r:id="rId65">
              <w:r>
                <w:rPr>
                  <w:rFonts w:ascii="Times New Roman" w:cs="Times New Roman" w:eastAsia="Times New Roman" w:hAnsi="Times New Roman"/>
                  <w:sz w:val="18"/>
                  <w:szCs w:val="18"/>
                  <w:color w:val="0000EE"/>
                </w:rPr>
                <w:t>by reference to Exhibit 3.1 to the Registrant’s Current Report on Form 8-K, filed August 4, 2023 with</w:t>
              </w:r>
            </w:hyperlink>
          </w:p>
        </w:tc>
      </w:tr>
      <w:tr>
        <w:trPr>
          <w:trHeight w:val="196"/>
        </w:trPr>
        <w:tc>
          <w:tcPr>
            <w:tcW w:w="13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00" w:type="dxa"/>
            <w:vAlign w:val="bottom"/>
            <w:tcBorders>
              <w:top w:val="single" w:sz="8" w:color="0000EE"/>
              <w:bottom w:val="single" w:sz="8" w:color="0000EE"/>
            </w:tcBorders>
          </w:tcPr>
          <w:p>
            <w:pPr>
              <w:spacing w:after="0" w:line="196" w:lineRule="exact"/>
              <w:rPr>
                <w:rFonts w:ascii="Times New Roman" w:cs="Times New Roman" w:eastAsia="Times New Roman" w:hAnsi="Times New Roman"/>
                <w:sz w:val="18"/>
                <w:szCs w:val="18"/>
                <w:color w:val="0000EE"/>
                <w:w w:val="97"/>
              </w:rPr>
            </w:pPr>
            <w:hyperlink r:id="rId65">
              <w:r>
                <w:rPr>
                  <w:rFonts w:ascii="Times New Roman" w:cs="Times New Roman" w:eastAsia="Times New Roman" w:hAnsi="Times New Roman"/>
                  <w:sz w:val="18"/>
                  <w:szCs w:val="18"/>
                  <w:color w:val="0000EE"/>
                  <w:w w:val="97"/>
                </w:rPr>
                <w:t>the SEC).</w:t>
              </w:r>
            </w:hyperlink>
          </w:p>
        </w:tc>
        <w:tc>
          <w:tcPr>
            <w:tcW w:w="6620" w:type="dxa"/>
            <w:vAlign w:val="bottom"/>
            <w:tcBorders>
              <w:top w:val="single" w:sz="8" w:color="0000EE"/>
            </w:tcBorders>
            <w:gridSpan w:val="17"/>
          </w:tcPr>
          <w:p>
            <w:pPr>
              <w:spacing w:after="0"/>
              <w:rPr>
                <w:sz w:val="17"/>
                <w:szCs w:val="17"/>
                <w:color w:val="auto"/>
              </w:rPr>
            </w:pPr>
          </w:p>
        </w:tc>
        <w:tc>
          <w:tcPr>
            <w:tcW w:w="40" w:type="dxa"/>
            <w:vAlign w:val="bottom"/>
          </w:tcPr>
          <w:p>
            <w:pPr>
              <w:spacing w:after="0"/>
              <w:rPr>
                <w:sz w:val="17"/>
                <w:szCs w:val="17"/>
                <w:color w:val="auto"/>
              </w:rPr>
            </w:pPr>
          </w:p>
        </w:tc>
      </w:tr>
      <w:tr>
        <w:trPr>
          <w:trHeight w:val="196"/>
        </w:trPr>
        <w:tc>
          <w:tcPr>
            <w:tcW w:w="1300" w:type="dxa"/>
            <w:vAlign w:val="bottom"/>
          </w:tcPr>
          <w:p>
            <w:pPr>
              <w:jc w:val="center"/>
              <w:ind w:left="510"/>
              <w:spacing w:after="0" w:line="196" w:lineRule="exact"/>
              <w:rPr>
                <w:sz w:val="20"/>
                <w:szCs w:val="20"/>
                <w:color w:val="auto"/>
              </w:rPr>
            </w:pPr>
            <w:r>
              <w:rPr>
                <w:rFonts w:ascii="Times New Roman" w:cs="Times New Roman" w:eastAsia="Times New Roman" w:hAnsi="Times New Roman"/>
                <w:sz w:val="18"/>
                <w:szCs w:val="18"/>
                <w:color w:val="auto"/>
                <w:w w:val="97"/>
              </w:rPr>
              <w:t>3.5</w:t>
            </w: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300" w:type="dxa"/>
            <w:vAlign w:val="bottom"/>
            <w:tcBorders>
              <w:bottom w:val="single" w:sz="8" w:color="0000EE"/>
            </w:tcBorders>
            <w:gridSpan w:val="17"/>
          </w:tcPr>
          <w:p>
            <w:pPr>
              <w:spacing w:after="0" w:line="196" w:lineRule="exact"/>
              <w:rPr>
                <w:rFonts w:ascii="Times New Roman" w:cs="Times New Roman" w:eastAsia="Times New Roman" w:hAnsi="Times New Roman"/>
                <w:sz w:val="18"/>
                <w:szCs w:val="18"/>
                <w:color w:val="0000EE"/>
                <w:w w:val="99"/>
              </w:rPr>
            </w:pPr>
            <w:hyperlink r:id="rId66">
              <w:r>
                <w:rPr>
                  <w:rFonts w:ascii="Times New Roman" w:cs="Times New Roman" w:eastAsia="Times New Roman" w:hAnsi="Times New Roman"/>
                  <w:sz w:val="18"/>
                  <w:szCs w:val="18"/>
                  <w:color w:val="0000EE"/>
                  <w:w w:val="99"/>
                </w:rPr>
                <w:t>Certificate of Amendment of the Restated Certificate of Incorporation of the Registrant (incorporated</w:t>
              </w:r>
            </w:hyperlink>
          </w:p>
        </w:tc>
        <w:tc>
          <w:tcPr>
            <w:tcW w:w="60" w:type="dxa"/>
            <w:vAlign w:val="bottom"/>
            <w:gridSpan w:val="2"/>
          </w:tcPr>
          <w:p>
            <w:pPr>
              <w:spacing w:after="0"/>
              <w:rPr>
                <w:sz w:val="17"/>
                <w:szCs w:val="17"/>
                <w:color w:val="auto"/>
              </w:rPr>
            </w:pPr>
          </w:p>
        </w:tc>
      </w:tr>
      <w:tr>
        <w:trPr>
          <w:trHeight w:val="196"/>
        </w:trPr>
        <w:tc>
          <w:tcPr>
            <w:tcW w:w="13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360" w:type="dxa"/>
            <w:vAlign w:val="bottom"/>
            <w:gridSpan w:val="19"/>
          </w:tcPr>
          <w:p>
            <w:pPr>
              <w:spacing w:after="0" w:line="196" w:lineRule="exact"/>
              <w:rPr>
                <w:rFonts w:ascii="Times New Roman" w:cs="Times New Roman" w:eastAsia="Times New Roman" w:hAnsi="Times New Roman"/>
                <w:sz w:val="18"/>
                <w:szCs w:val="18"/>
                <w:color w:val="0000EE"/>
              </w:rPr>
            </w:pPr>
            <w:hyperlink r:id="rId66">
              <w:r>
                <w:rPr>
                  <w:rFonts w:ascii="Times New Roman" w:cs="Times New Roman" w:eastAsia="Times New Roman" w:hAnsi="Times New Roman"/>
                  <w:sz w:val="18"/>
                  <w:szCs w:val="18"/>
                  <w:color w:val="0000EE"/>
                </w:rPr>
                <w:t>by reference to Exhibit 3.1 to the Registrant’s Current Report on Form 8-K, filed May 30, 2025 with</w:t>
              </w:r>
            </w:hyperlink>
          </w:p>
        </w:tc>
      </w:tr>
      <w:tr>
        <w:trPr>
          <w:trHeight w:val="196"/>
        </w:trPr>
        <w:tc>
          <w:tcPr>
            <w:tcW w:w="13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00" w:type="dxa"/>
            <w:vAlign w:val="bottom"/>
            <w:tcBorders>
              <w:top w:val="single" w:sz="8" w:color="0000EE"/>
              <w:bottom w:val="single" w:sz="8" w:color="0000EE"/>
            </w:tcBorders>
          </w:tcPr>
          <w:p>
            <w:pPr>
              <w:spacing w:after="0" w:line="196" w:lineRule="exact"/>
              <w:rPr>
                <w:rFonts w:ascii="Times New Roman" w:cs="Times New Roman" w:eastAsia="Times New Roman" w:hAnsi="Times New Roman"/>
                <w:sz w:val="18"/>
                <w:szCs w:val="18"/>
                <w:color w:val="0000EE"/>
                <w:w w:val="97"/>
              </w:rPr>
            </w:pPr>
            <w:hyperlink r:id="rId66">
              <w:r>
                <w:rPr>
                  <w:rFonts w:ascii="Times New Roman" w:cs="Times New Roman" w:eastAsia="Times New Roman" w:hAnsi="Times New Roman"/>
                  <w:sz w:val="18"/>
                  <w:szCs w:val="18"/>
                  <w:color w:val="0000EE"/>
                  <w:w w:val="97"/>
                </w:rPr>
                <w:t>the SEC).</w:t>
              </w:r>
            </w:hyperlink>
          </w:p>
        </w:tc>
        <w:tc>
          <w:tcPr>
            <w:tcW w:w="6520" w:type="dxa"/>
            <w:vAlign w:val="bottom"/>
            <w:tcBorders>
              <w:top w:val="single" w:sz="8" w:color="0000EE"/>
            </w:tcBorders>
            <w:gridSpan w:val="14"/>
          </w:tcPr>
          <w:p>
            <w:pPr>
              <w:spacing w:after="0"/>
              <w:rPr>
                <w:sz w:val="17"/>
                <w:szCs w:val="17"/>
                <w:color w:val="auto"/>
              </w:rPr>
            </w:pPr>
          </w:p>
        </w:tc>
        <w:tc>
          <w:tcPr>
            <w:tcW w:w="140" w:type="dxa"/>
            <w:vAlign w:val="bottom"/>
            <w:gridSpan w:val="4"/>
          </w:tcPr>
          <w:p>
            <w:pPr>
              <w:spacing w:after="0"/>
              <w:rPr>
                <w:sz w:val="17"/>
                <w:szCs w:val="17"/>
                <w:color w:val="auto"/>
              </w:rPr>
            </w:pPr>
          </w:p>
        </w:tc>
      </w:tr>
      <w:tr>
        <w:trPr>
          <w:trHeight w:val="196"/>
        </w:trPr>
        <w:tc>
          <w:tcPr>
            <w:tcW w:w="1300" w:type="dxa"/>
            <w:vAlign w:val="bottom"/>
          </w:tcPr>
          <w:p>
            <w:pPr>
              <w:jc w:val="center"/>
              <w:ind w:left="510"/>
              <w:spacing w:after="0" w:line="196" w:lineRule="exact"/>
              <w:rPr>
                <w:sz w:val="20"/>
                <w:szCs w:val="20"/>
                <w:color w:val="auto"/>
              </w:rPr>
            </w:pPr>
            <w:r>
              <w:rPr>
                <w:rFonts w:ascii="Times New Roman" w:cs="Times New Roman" w:eastAsia="Times New Roman" w:hAnsi="Times New Roman"/>
                <w:sz w:val="18"/>
                <w:szCs w:val="18"/>
                <w:color w:val="auto"/>
                <w:w w:val="97"/>
              </w:rPr>
              <w:t>3.6</w:t>
            </w: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360" w:type="dxa"/>
            <w:vAlign w:val="bottom"/>
            <w:gridSpan w:val="19"/>
          </w:tcPr>
          <w:p>
            <w:pPr>
              <w:spacing w:after="0" w:line="196" w:lineRule="exact"/>
              <w:rPr>
                <w:rFonts w:ascii="Times New Roman" w:cs="Times New Roman" w:eastAsia="Times New Roman" w:hAnsi="Times New Roman"/>
                <w:sz w:val="18"/>
                <w:szCs w:val="18"/>
                <w:color w:val="0000EE"/>
              </w:rPr>
            </w:pPr>
            <w:hyperlink r:id="rId67">
              <w:r>
                <w:rPr>
                  <w:rFonts w:ascii="Times New Roman" w:cs="Times New Roman" w:eastAsia="Times New Roman" w:hAnsi="Times New Roman"/>
                  <w:sz w:val="18"/>
                  <w:szCs w:val="18"/>
                  <w:color w:val="0000EE"/>
                </w:rPr>
                <w:t>Amended and Restated By-Laws of the Registrant (incorporated by reference to Exhibit 3.3 to the</w:t>
              </w:r>
            </w:hyperlink>
          </w:p>
        </w:tc>
      </w:tr>
      <w:tr>
        <w:trPr>
          <w:trHeight w:val="196"/>
        </w:trPr>
        <w:tc>
          <w:tcPr>
            <w:tcW w:w="13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040" w:type="dxa"/>
            <w:vAlign w:val="bottom"/>
            <w:tcBorders>
              <w:top w:val="single" w:sz="8" w:color="0000EE"/>
            </w:tcBorders>
            <w:gridSpan w:val="11"/>
          </w:tcPr>
          <w:p>
            <w:pPr>
              <w:spacing w:after="0" w:line="196" w:lineRule="exact"/>
              <w:rPr>
                <w:rFonts w:ascii="Times New Roman" w:cs="Times New Roman" w:eastAsia="Times New Roman" w:hAnsi="Times New Roman"/>
                <w:sz w:val="18"/>
                <w:szCs w:val="18"/>
                <w:color w:val="0000EE"/>
              </w:rPr>
            </w:pPr>
            <w:hyperlink r:id="rId67">
              <w:r>
                <w:rPr>
                  <w:rFonts w:ascii="Times New Roman" w:cs="Times New Roman" w:eastAsia="Times New Roman" w:hAnsi="Times New Roman"/>
                  <w:sz w:val="18"/>
                  <w:szCs w:val="18"/>
                  <w:color w:val="0000EE"/>
                </w:rPr>
                <w:t>Registrant’s Annual Report on Form 10-K, filed March 8, 2018 with the SEC).</w:t>
              </w:r>
            </w:hyperlink>
          </w:p>
        </w:tc>
        <w:tc>
          <w:tcPr>
            <w:tcW w:w="320" w:type="dxa"/>
            <w:vAlign w:val="bottom"/>
            <w:gridSpan w:val="8"/>
          </w:tcPr>
          <w:p>
            <w:pPr>
              <w:spacing w:after="0"/>
              <w:rPr>
                <w:sz w:val="17"/>
                <w:szCs w:val="17"/>
                <w:color w:val="auto"/>
              </w:rPr>
            </w:pPr>
          </w:p>
        </w:tc>
      </w:tr>
      <w:tr>
        <w:trPr>
          <w:trHeight w:val="20"/>
        </w:trPr>
        <w:tc>
          <w:tcPr>
            <w:tcW w:w="13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100" w:type="dxa"/>
            <w:vAlign w:val="bottom"/>
            <w:gridSpan w:val="3"/>
            <w:shd w:val="clear" w:color="auto" w:fill="0000EE"/>
          </w:tcPr>
          <w:p>
            <w:pPr>
              <w:spacing w:after="0" w:line="20" w:lineRule="exact"/>
              <w:rPr>
                <w:sz w:val="1"/>
                <w:szCs w:val="1"/>
                <w:color w:val="auto"/>
              </w:rPr>
            </w:pPr>
          </w:p>
        </w:tc>
        <w:tc>
          <w:tcPr>
            <w:tcW w:w="356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360" w:type="dxa"/>
            <w:vAlign w:val="bottom"/>
            <w:gridSpan w:val="7"/>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gridSpan w:val="6"/>
          </w:tcPr>
          <w:p>
            <w:pPr>
              <w:spacing w:after="0" w:line="20" w:lineRule="exact"/>
              <w:rPr>
                <w:sz w:val="1"/>
                <w:szCs w:val="1"/>
                <w:color w:val="auto"/>
              </w:rPr>
            </w:pPr>
          </w:p>
        </w:tc>
      </w:tr>
      <w:tr>
        <w:trPr>
          <w:trHeight w:val="196"/>
        </w:trPr>
        <w:tc>
          <w:tcPr>
            <w:tcW w:w="1300" w:type="dxa"/>
            <w:vAlign w:val="bottom"/>
          </w:tcPr>
          <w:p>
            <w:pPr>
              <w:jc w:val="center"/>
              <w:ind w:left="510"/>
              <w:spacing w:after="0" w:line="196" w:lineRule="exact"/>
              <w:rPr>
                <w:sz w:val="20"/>
                <w:szCs w:val="20"/>
                <w:color w:val="auto"/>
              </w:rPr>
            </w:pPr>
            <w:r>
              <w:rPr>
                <w:rFonts w:ascii="Times New Roman" w:cs="Times New Roman" w:eastAsia="Times New Roman" w:hAnsi="Times New Roman"/>
                <w:sz w:val="18"/>
                <w:szCs w:val="18"/>
                <w:color w:val="auto"/>
              </w:rPr>
              <w:t>10.1*</w:t>
            </w: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360" w:type="dxa"/>
            <w:vAlign w:val="bottom"/>
            <w:gridSpan w:val="19"/>
          </w:tcPr>
          <w:p>
            <w:pPr>
              <w:spacing w:after="0" w:line="196" w:lineRule="exact"/>
              <w:rPr>
                <w:sz w:val="20"/>
                <w:szCs w:val="20"/>
                <w:color w:val="auto"/>
              </w:rPr>
            </w:pPr>
            <w:r>
              <w:rPr>
                <w:rFonts w:ascii="Times New Roman" w:cs="Times New Roman" w:eastAsia="Times New Roman" w:hAnsi="Times New Roman"/>
                <w:sz w:val="18"/>
                <w:szCs w:val="18"/>
                <w:color w:val="0000EE"/>
              </w:rPr>
              <w:t>First Amendment and Limited Waiver to Credit Agreement, dated May 5, 2026</w:t>
            </w:r>
          </w:p>
        </w:tc>
      </w:tr>
      <w:tr>
        <w:trPr>
          <w:trHeight w:val="20"/>
        </w:trPr>
        <w:tc>
          <w:tcPr>
            <w:tcW w:w="13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100" w:type="dxa"/>
            <w:vAlign w:val="bottom"/>
            <w:gridSpan w:val="3"/>
            <w:shd w:val="clear" w:color="auto" w:fill="0000EE"/>
          </w:tcPr>
          <w:p>
            <w:pPr>
              <w:spacing w:after="0" w:line="20" w:lineRule="exact"/>
              <w:rPr>
                <w:sz w:val="1"/>
                <w:szCs w:val="1"/>
                <w:color w:val="auto"/>
              </w:rPr>
            </w:pPr>
          </w:p>
        </w:tc>
        <w:tc>
          <w:tcPr>
            <w:tcW w:w="3600" w:type="dxa"/>
            <w:vAlign w:val="bottom"/>
            <w:gridSpan w:val="2"/>
            <w:shd w:val="clear" w:color="auto" w:fill="0000EE"/>
          </w:tcPr>
          <w:p>
            <w:pPr>
              <w:spacing w:after="0" w:line="20" w:lineRule="exact"/>
              <w:rPr>
                <w:sz w:val="1"/>
                <w:szCs w:val="1"/>
                <w:color w:val="auto"/>
              </w:rPr>
            </w:pPr>
          </w:p>
        </w:tc>
        <w:tc>
          <w:tcPr>
            <w:tcW w:w="1360" w:type="dxa"/>
            <w:vAlign w:val="bottom"/>
            <w:gridSpan w:val="7"/>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gridSpan w:val="6"/>
          </w:tcPr>
          <w:p>
            <w:pPr>
              <w:spacing w:after="0" w:line="20" w:lineRule="exact"/>
              <w:rPr>
                <w:sz w:val="1"/>
                <w:szCs w:val="1"/>
                <w:color w:val="auto"/>
              </w:rPr>
            </w:pPr>
          </w:p>
        </w:tc>
      </w:tr>
      <w:tr>
        <w:trPr>
          <w:trHeight w:val="196"/>
        </w:trPr>
        <w:tc>
          <w:tcPr>
            <w:tcW w:w="1300" w:type="dxa"/>
            <w:vAlign w:val="bottom"/>
          </w:tcPr>
          <w:p>
            <w:pPr>
              <w:jc w:val="center"/>
              <w:ind w:left="510"/>
              <w:spacing w:after="0" w:line="196" w:lineRule="exact"/>
              <w:rPr>
                <w:sz w:val="20"/>
                <w:szCs w:val="20"/>
                <w:color w:val="auto"/>
              </w:rPr>
            </w:pPr>
            <w:r>
              <w:rPr>
                <w:rFonts w:ascii="Times New Roman" w:cs="Times New Roman" w:eastAsia="Times New Roman" w:hAnsi="Times New Roman"/>
                <w:sz w:val="18"/>
                <w:szCs w:val="18"/>
                <w:color w:val="auto"/>
              </w:rPr>
              <w:t>31.1*</w:t>
            </w: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360" w:type="dxa"/>
            <w:vAlign w:val="bottom"/>
            <w:gridSpan w:val="19"/>
          </w:tcPr>
          <w:p>
            <w:pPr>
              <w:spacing w:after="0" w:line="196" w:lineRule="exact"/>
              <w:rPr>
                <w:sz w:val="20"/>
                <w:szCs w:val="20"/>
                <w:color w:val="auto"/>
              </w:rPr>
            </w:pPr>
            <w:r>
              <w:rPr>
                <w:rFonts w:ascii="Times New Roman" w:cs="Times New Roman" w:eastAsia="Times New Roman" w:hAnsi="Times New Roman"/>
                <w:sz w:val="18"/>
                <w:szCs w:val="18"/>
                <w:color w:val="0000EE"/>
              </w:rPr>
              <w:t>Certificate of Ribbon Communications Inc. Chief Executive Officer Pursuant to Section 302 of the</w:t>
            </w:r>
          </w:p>
        </w:tc>
      </w:tr>
      <w:tr>
        <w:trPr>
          <w:trHeight w:val="196"/>
        </w:trPr>
        <w:tc>
          <w:tcPr>
            <w:tcW w:w="13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100" w:type="dxa"/>
            <w:vAlign w:val="bottom"/>
            <w:tcBorders>
              <w:top w:val="single" w:sz="8" w:color="0000EE"/>
              <w:bottom w:val="single" w:sz="8" w:color="0000EE"/>
            </w:tcBorders>
            <w:gridSpan w:val="3"/>
          </w:tcPr>
          <w:p>
            <w:pPr>
              <w:spacing w:after="0" w:line="196" w:lineRule="exact"/>
              <w:rPr>
                <w:sz w:val="20"/>
                <w:szCs w:val="20"/>
                <w:color w:val="auto"/>
              </w:rPr>
            </w:pPr>
            <w:r>
              <w:rPr>
                <w:rFonts w:ascii="Times New Roman" w:cs="Times New Roman" w:eastAsia="Times New Roman" w:hAnsi="Times New Roman"/>
                <w:sz w:val="18"/>
                <w:szCs w:val="18"/>
                <w:color w:val="0000EE"/>
                <w:w w:val="99"/>
              </w:rPr>
              <w:t>Sarbanes-Oxley Act of 2002.</w:t>
            </w:r>
          </w:p>
        </w:tc>
        <w:tc>
          <w:tcPr>
            <w:tcW w:w="5020" w:type="dxa"/>
            <w:vAlign w:val="bottom"/>
            <w:tcBorders>
              <w:top w:val="single" w:sz="8" w:color="0000EE"/>
            </w:tcBorders>
            <w:gridSpan w:val="10"/>
          </w:tcPr>
          <w:p>
            <w:pPr>
              <w:spacing w:after="0"/>
              <w:rPr>
                <w:sz w:val="17"/>
                <w:szCs w:val="17"/>
                <w:color w:val="auto"/>
              </w:rPr>
            </w:pPr>
          </w:p>
        </w:tc>
        <w:tc>
          <w:tcPr>
            <w:tcW w:w="240" w:type="dxa"/>
            <w:vAlign w:val="bottom"/>
            <w:gridSpan w:val="6"/>
          </w:tcPr>
          <w:p>
            <w:pPr>
              <w:spacing w:after="0"/>
              <w:rPr>
                <w:sz w:val="17"/>
                <w:szCs w:val="17"/>
                <w:color w:val="auto"/>
              </w:rPr>
            </w:pPr>
          </w:p>
        </w:tc>
      </w:tr>
      <w:tr>
        <w:trPr>
          <w:trHeight w:val="196"/>
        </w:trPr>
        <w:tc>
          <w:tcPr>
            <w:tcW w:w="1300" w:type="dxa"/>
            <w:vAlign w:val="bottom"/>
          </w:tcPr>
          <w:p>
            <w:pPr>
              <w:jc w:val="center"/>
              <w:ind w:left="510"/>
              <w:spacing w:after="0" w:line="196" w:lineRule="exact"/>
              <w:rPr>
                <w:sz w:val="20"/>
                <w:szCs w:val="20"/>
                <w:color w:val="auto"/>
              </w:rPr>
            </w:pPr>
            <w:r>
              <w:rPr>
                <w:rFonts w:ascii="Times New Roman" w:cs="Times New Roman" w:eastAsia="Times New Roman" w:hAnsi="Times New Roman"/>
                <w:sz w:val="18"/>
                <w:szCs w:val="18"/>
                <w:color w:val="auto"/>
              </w:rPr>
              <w:t>31.2*</w:t>
            </w: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060" w:type="dxa"/>
            <w:vAlign w:val="bottom"/>
            <w:tcBorders>
              <w:bottom w:val="single" w:sz="8" w:color="0000EE"/>
            </w:tcBorders>
            <w:gridSpan w:val="12"/>
          </w:tcPr>
          <w:p>
            <w:pPr>
              <w:spacing w:after="0" w:line="196" w:lineRule="exact"/>
              <w:rPr>
                <w:sz w:val="20"/>
                <w:szCs w:val="20"/>
                <w:color w:val="auto"/>
              </w:rPr>
            </w:pPr>
            <w:r>
              <w:rPr>
                <w:rFonts w:ascii="Times New Roman" w:cs="Times New Roman" w:eastAsia="Times New Roman" w:hAnsi="Times New Roman"/>
                <w:sz w:val="18"/>
                <w:szCs w:val="18"/>
                <w:color w:val="0000EE"/>
                <w:w w:val="99"/>
              </w:rPr>
              <w:t>Certificate of Ribbon Communications Inc. Chief Financial Officer Pursuant to Section 302 of the</w:t>
            </w:r>
          </w:p>
        </w:tc>
        <w:tc>
          <w:tcPr>
            <w:tcW w:w="300" w:type="dxa"/>
            <w:vAlign w:val="bottom"/>
            <w:gridSpan w:val="7"/>
          </w:tcPr>
          <w:p>
            <w:pPr>
              <w:spacing w:after="0"/>
              <w:rPr>
                <w:sz w:val="17"/>
                <w:szCs w:val="17"/>
                <w:color w:val="auto"/>
              </w:rPr>
            </w:pPr>
          </w:p>
        </w:tc>
      </w:tr>
      <w:tr>
        <w:trPr>
          <w:trHeight w:val="196"/>
        </w:trPr>
        <w:tc>
          <w:tcPr>
            <w:tcW w:w="13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100" w:type="dxa"/>
            <w:vAlign w:val="bottom"/>
            <w:tcBorders>
              <w:bottom w:val="single" w:sz="8" w:color="0000EE"/>
            </w:tcBorders>
            <w:gridSpan w:val="3"/>
          </w:tcPr>
          <w:p>
            <w:pPr>
              <w:spacing w:after="0" w:line="196" w:lineRule="exact"/>
              <w:rPr>
                <w:sz w:val="20"/>
                <w:szCs w:val="20"/>
                <w:color w:val="auto"/>
              </w:rPr>
            </w:pPr>
            <w:r>
              <w:rPr>
                <w:rFonts w:ascii="Times New Roman" w:cs="Times New Roman" w:eastAsia="Times New Roman" w:hAnsi="Times New Roman"/>
                <w:sz w:val="18"/>
                <w:szCs w:val="18"/>
                <w:color w:val="0000EE"/>
                <w:w w:val="99"/>
              </w:rPr>
              <w:t>Sarbanes-Oxley Act of 2002.</w:t>
            </w:r>
          </w:p>
        </w:tc>
        <w:tc>
          <w:tcPr>
            <w:tcW w:w="5260" w:type="dxa"/>
            <w:vAlign w:val="bottom"/>
            <w:gridSpan w:val="16"/>
          </w:tcPr>
          <w:p>
            <w:pPr>
              <w:spacing w:after="0"/>
              <w:rPr>
                <w:sz w:val="17"/>
                <w:szCs w:val="17"/>
                <w:color w:val="auto"/>
              </w:rPr>
            </w:pPr>
          </w:p>
        </w:tc>
      </w:tr>
      <w:tr>
        <w:trPr>
          <w:trHeight w:val="196"/>
        </w:trPr>
        <w:tc>
          <w:tcPr>
            <w:tcW w:w="1300" w:type="dxa"/>
            <w:vAlign w:val="bottom"/>
          </w:tcPr>
          <w:p>
            <w:pPr>
              <w:jc w:val="center"/>
              <w:ind w:left="510"/>
              <w:spacing w:after="0" w:line="196" w:lineRule="exact"/>
              <w:rPr>
                <w:sz w:val="20"/>
                <w:szCs w:val="20"/>
                <w:color w:val="auto"/>
              </w:rPr>
            </w:pPr>
            <w:r>
              <w:rPr>
                <w:rFonts w:ascii="Times New Roman" w:cs="Times New Roman" w:eastAsia="Times New Roman" w:hAnsi="Times New Roman"/>
                <w:sz w:val="18"/>
                <w:szCs w:val="18"/>
                <w:color w:val="auto"/>
              </w:rPr>
              <w:t>32.1#</w:t>
            </w: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360" w:type="dxa"/>
            <w:vAlign w:val="bottom"/>
            <w:gridSpan w:val="19"/>
          </w:tcPr>
          <w:p>
            <w:pPr>
              <w:spacing w:after="0" w:line="196" w:lineRule="exact"/>
              <w:rPr>
                <w:sz w:val="20"/>
                <w:szCs w:val="20"/>
                <w:color w:val="auto"/>
              </w:rPr>
            </w:pPr>
            <w:r>
              <w:rPr>
                <w:rFonts w:ascii="Times New Roman" w:cs="Times New Roman" w:eastAsia="Times New Roman" w:hAnsi="Times New Roman"/>
                <w:sz w:val="18"/>
                <w:szCs w:val="18"/>
                <w:color w:val="0000EE"/>
              </w:rPr>
              <w:t>Certificate of Ribbon Communications Inc. Chief Executive Officer Pursuant to Section 906 of the</w:t>
            </w:r>
          </w:p>
        </w:tc>
      </w:tr>
      <w:tr>
        <w:trPr>
          <w:trHeight w:val="196"/>
        </w:trPr>
        <w:tc>
          <w:tcPr>
            <w:tcW w:w="13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100" w:type="dxa"/>
            <w:vAlign w:val="bottom"/>
            <w:tcBorders>
              <w:top w:val="single" w:sz="8" w:color="0000EE"/>
              <w:bottom w:val="single" w:sz="8" w:color="0000EE"/>
            </w:tcBorders>
            <w:gridSpan w:val="3"/>
          </w:tcPr>
          <w:p>
            <w:pPr>
              <w:spacing w:after="0" w:line="196" w:lineRule="exact"/>
              <w:rPr>
                <w:sz w:val="20"/>
                <w:szCs w:val="20"/>
                <w:color w:val="auto"/>
              </w:rPr>
            </w:pPr>
            <w:r>
              <w:rPr>
                <w:rFonts w:ascii="Times New Roman" w:cs="Times New Roman" w:eastAsia="Times New Roman" w:hAnsi="Times New Roman"/>
                <w:sz w:val="18"/>
                <w:szCs w:val="18"/>
                <w:color w:val="0000EE"/>
                <w:w w:val="99"/>
              </w:rPr>
              <w:t>Sarbanes-Oxley Act of 2002.</w:t>
            </w:r>
          </w:p>
        </w:tc>
        <w:tc>
          <w:tcPr>
            <w:tcW w:w="5020" w:type="dxa"/>
            <w:vAlign w:val="bottom"/>
            <w:tcBorders>
              <w:top w:val="single" w:sz="8" w:color="0000EE"/>
            </w:tcBorders>
            <w:gridSpan w:val="10"/>
          </w:tcPr>
          <w:p>
            <w:pPr>
              <w:spacing w:after="0"/>
              <w:rPr>
                <w:sz w:val="17"/>
                <w:szCs w:val="17"/>
                <w:color w:val="auto"/>
              </w:rPr>
            </w:pPr>
          </w:p>
        </w:tc>
        <w:tc>
          <w:tcPr>
            <w:tcW w:w="240" w:type="dxa"/>
            <w:vAlign w:val="bottom"/>
            <w:gridSpan w:val="6"/>
          </w:tcPr>
          <w:p>
            <w:pPr>
              <w:spacing w:after="0"/>
              <w:rPr>
                <w:sz w:val="17"/>
                <w:szCs w:val="17"/>
                <w:color w:val="auto"/>
              </w:rPr>
            </w:pPr>
          </w:p>
        </w:tc>
      </w:tr>
      <w:tr>
        <w:trPr>
          <w:trHeight w:val="196"/>
        </w:trPr>
        <w:tc>
          <w:tcPr>
            <w:tcW w:w="1300" w:type="dxa"/>
            <w:vAlign w:val="bottom"/>
          </w:tcPr>
          <w:p>
            <w:pPr>
              <w:jc w:val="center"/>
              <w:ind w:left="510"/>
              <w:spacing w:after="0" w:line="196" w:lineRule="exact"/>
              <w:rPr>
                <w:sz w:val="20"/>
                <w:szCs w:val="20"/>
                <w:color w:val="auto"/>
              </w:rPr>
            </w:pPr>
            <w:r>
              <w:rPr>
                <w:rFonts w:ascii="Times New Roman" w:cs="Times New Roman" w:eastAsia="Times New Roman" w:hAnsi="Times New Roman"/>
                <w:sz w:val="18"/>
                <w:szCs w:val="18"/>
                <w:color w:val="auto"/>
              </w:rPr>
              <w:t>32.2#</w:t>
            </w: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060" w:type="dxa"/>
            <w:vAlign w:val="bottom"/>
            <w:tcBorders>
              <w:bottom w:val="single" w:sz="8" w:color="0000EE"/>
            </w:tcBorders>
            <w:gridSpan w:val="12"/>
          </w:tcPr>
          <w:p>
            <w:pPr>
              <w:spacing w:after="0" w:line="196" w:lineRule="exact"/>
              <w:rPr>
                <w:sz w:val="20"/>
                <w:szCs w:val="20"/>
                <w:color w:val="auto"/>
              </w:rPr>
            </w:pPr>
            <w:r>
              <w:rPr>
                <w:rFonts w:ascii="Times New Roman" w:cs="Times New Roman" w:eastAsia="Times New Roman" w:hAnsi="Times New Roman"/>
                <w:sz w:val="18"/>
                <w:szCs w:val="18"/>
                <w:color w:val="0000EE"/>
                <w:w w:val="99"/>
              </w:rPr>
              <w:t>Certificate of Ribbon Communications Inc. Chief Financial Officer Pursuant to Section 906 of the</w:t>
            </w:r>
          </w:p>
        </w:tc>
        <w:tc>
          <w:tcPr>
            <w:tcW w:w="300" w:type="dxa"/>
            <w:vAlign w:val="bottom"/>
            <w:gridSpan w:val="7"/>
          </w:tcPr>
          <w:p>
            <w:pPr>
              <w:spacing w:after="0"/>
              <w:rPr>
                <w:sz w:val="17"/>
                <w:szCs w:val="17"/>
                <w:color w:val="auto"/>
              </w:rPr>
            </w:pPr>
          </w:p>
        </w:tc>
      </w:tr>
      <w:tr>
        <w:trPr>
          <w:trHeight w:val="196"/>
        </w:trPr>
        <w:tc>
          <w:tcPr>
            <w:tcW w:w="13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100" w:type="dxa"/>
            <w:vAlign w:val="bottom"/>
            <w:tcBorders>
              <w:bottom w:val="single" w:sz="8" w:color="0000EE"/>
            </w:tcBorders>
            <w:gridSpan w:val="3"/>
          </w:tcPr>
          <w:p>
            <w:pPr>
              <w:spacing w:after="0" w:line="196" w:lineRule="exact"/>
              <w:rPr>
                <w:sz w:val="20"/>
                <w:szCs w:val="20"/>
                <w:color w:val="auto"/>
              </w:rPr>
            </w:pPr>
            <w:r>
              <w:rPr>
                <w:rFonts w:ascii="Times New Roman" w:cs="Times New Roman" w:eastAsia="Times New Roman" w:hAnsi="Times New Roman"/>
                <w:sz w:val="18"/>
                <w:szCs w:val="18"/>
                <w:color w:val="0000EE"/>
                <w:w w:val="99"/>
              </w:rPr>
              <w:t>Sarbanes-Oxley Act of 2002.</w:t>
            </w:r>
          </w:p>
        </w:tc>
        <w:tc>
          <w:tcPr>
            <w:tcW w:w="5260" w:type="dxa"/>
            <w:vAlign w:val="bottom"/>
            <w:gridSpan w:val="16"/>
          </w:tcPr>
          <w:p>
            <w:pPr>
              <w:spacing w:after="0"/>
              <w:rPr>
                <w:sz w:val="17"/>
                <w:szCs w:val="17"/>
                <w:color w:val="auto"/>
              </w:rPr>
            </w:pPr>
          </w:p>
        </w:tc>
      </w:tr>
      <w:tr>
        <w:trPr>
          <w:trHeight w:val="218"/>
        </w:trPr>
        <w:tc>
          <w:tcPr>
            <w:tcW w:w="13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101.INS*</w:t>
            </w:r>
          </w:p>
        </w:tc>
        <w:tc>
          <w:tcPr>
            <w:tcW w:w="180" w:type="dxa"/>
            <w:vAlign w:val="bottom"/>
          </w:tcPr>
          <w:p>
            <w:pPr>
              <w:spacing w:after="0"/>
              <w:rPr>
                <w:sz w:val="18"/>
                <w:szCs w:val="18"/>
                <w:color w:val="auto"/>
              </w:rPr>
            </w:pPr>
          </w:p>
        </w:tc>
        <w:tc>
          <w:tcPr>
            <w:tcW w:w="7360" w:type="dxa"/>
            <w:vAlign w:val="bottom"/>
            <w:gridSpan w:val="19"/>
          </w:tcPr>
          <w:p>
            <w:pPr>
              <w:spacing w:after="0"/>
              <w:rPr>
                <w:sz w:val="20"/>
                <w:szCs w:val="20"/>
                <w:color w:val="auto"/>
              </w:rPr>
            </w:pPr>
            <w:r>
              <w:rPr>
                <w:rFonts w:ascii="Times New Roman" w:cs="Times New Roman" w:eastAsia="Times New Roman" w:hAnsi="Times New Roman"/>
                <w:sz w:val="18"/>
                <w:szCs w:val="18"/>
                <w:color w:val="auto"/>
              </w:rPr>
              <w:t>Inline XBRL Instance Document</w:t>
            </w:r>
          </w:p>
        </w:tc>
      </w:tr>
      <w:tr>
        <w:trPr>
          <w:trHeight w:val="216"/>
        </w:trPr>
        <w:tc>
          <w:tcPr>
            <w:tcW w:w="13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101.SCH*</w:t>
            </w:r>
          </w:p>
        </w:tc>
        <w:tc>
          <w:tcPr>
            <w:tcW w:w="180" w:type="dxa"/>
            <w:vAlign w:val="bottom"/>
          </w:tcPr>
          <w:p>
            <w:pPr>
              <w:spacing w:after="0"/>
              <w:rPr>
                <w:sz w:val="18"/>
                <w:szCs w:val="18"/>
                <w:color w:val="auto"/>
              </w:rPr>
            </w:pPr>
          </w:p>
        </w:tc>
        <w:tc>
          <w:tcPr>
            <w:tcW w:w="7360" w:type="dxa"/>
            <w:vAlign w:val="bottom"/>
            <w:gridSpan w:val="19"/>
          </w:tcPr>
          <w:p>
            <w:pPr>
              <w:spacing w:after="0"/>
              <w:rPr>
                <w:sz w:val="20"/>
                <w:szCs w:val="20"/>
                <w:color w:val="auto"/>
              </w:rPr>
            </w:pPr>
            <w:r>
              <w:rPr>
                <w:rFonts w:ascii="Times New Roman" w:cs="Times New Roman" w:eastAsia="Times New Roman" w:hAnsi="Times New Roman"/>
                <w:sz w:val="18"/>
                <w:szCs w:val="18"/>
                <w:color w:val="auto"/>
              </w:rPr>
              <w:t>Inline XBRL Taxonomy Extension Schema</w:t>
            </w:r>
          </w:p>
        </w:tc>
      </w:tr>
      <w:tr>
        <w:trPr>
          <w:trHeight w:val="216"/>
        </w:trPr>
        <w:tc>
          <w:tcPr>
            <w:tcW w:w="13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101.CAL*</w:t>
            </w:r>
          </w:p>
        </w:tc>
        <w:tc>
          <w:tcPr>
            <w:tcW w:w="180" w:type="dxa"/>
            <w:vAlign w:val="bottom"/>
          </w:tcPr>
          <w:p>
            <w:pPr>
              <w:spacing w:after="0"/>
              <w:rPr>
                <w:sz w:val="18"/>
                <w:szCs w:val="18"/>
                <w:color w:val="auto"/>
              </w:rPr>
            </w:pPr>
          </w:p>
        </w:tc>
        <w:tc>
          <w:tcPr>
            <w:tcW w:w="7360" w:type="dxa"/>
            <w:vAlign w:val="bottom"/>
            <w:gridSpan w:val="19"/>
          </w:tcPr>
          <w:p>
            <w:pPr>
              <w:spacing w:after="0"/>
              <w:rPr>
                <w:sz w:val="20"/>
                <w:szCs w:val="20"/>
                <w:color w:val="auto"/>
              </w:rPr>
            </w:pPr>
            <w:r>
              <w:rPr>
                <w:rFonts w:ascii="Times New Roman" w:cs="Times New Roman" w:eastAsia="Times New Roman" w:hAnsi="Times New Roman"/>
                <w:sz w:val="18"/>
                <w:szCs w:val="18"/>
                <w:color w:val="auto"/>
              </w:rPr>
              <w:t>Inline XBRL Taxonomy Extension Calculation Linkbase</w:t>
            </w:r>
          </w:p>
        </w:tc>
      </w:tr>
      <w:tr>
        <w:trPr>
          <w:trHeight w:val="216"/>
        </w:trPr>
        <w:tc>
          <w:tcPr>
            <w:tcW w:w="13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101.DEF*</w:t>
            </w:r>
          </w:p>
        </w:tc>
        <w:tc>
          <w:tcPr>
            <w:tcW w:w="180" w:type="dxa"/>
            <w:vAlign w:val="bottom"/>
          </w:tcPr>
          <w:p>
            <w:pPr>
              <w:spacing w:after="0"/>
              <w:rPr>
                <w:sz w:val="18"/>
                <w:szCs w:val="18"/>
                <w:color w:val="auto"/>
              </w:rPr>
            </w:pPr>
          </w:p>
        </w:tc>
        <w:tc>
          <w:tcPr>
            <w:tcW w:w="7360" w:type="dxa"/>
            <w:vAlign w:val="bottom"/>
            <w:gridSpan w:val="19"/>
          </w:tcPr>
          <w:p>
            <w:pPr>
              <w:spacing w:after="0"/>
              <w:rPr>
                <w:sz w:val="20"/>
                <w:szCs w:val="20"/>
                <w:color w:val="auto"/>
              </w:rPr>
            </w:pPr>
            <w:r>
              <w:rPr>
                <w:rFonts w:ascii="Times New Roman" w:cs="Times New Roman" w:eastAsia="Times New Roman" w:hAnsi="Times New Roman"/>
                <w:sz w:val="18"/>
                <w:szCs w:val="18"/>
                <w:color w:val="auto"/>
              </w:rPr>
              <w:t>Inline XBRL Taxonomy Extension Definition Linkbase</w:t>
            </w:r>
          </w:p>
        </w:tc>
      </w:tr>
      <w:tr>
        <w:trPr>
          <w:trHeight w:val="216"/>
        </w:trPr>
        <w:tc>
          <w:tcPr>
            <w:tcW w:w="13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101.LAB*</w:t>
            </w:r>
          </w:p>
        </w:tc>
        <w:tc>
          <w:tcPr>
            <w:tcW w:w="180" w:type="dxa"/>
            <w:vAlign w:val="bottom"/>
          </w:tcPr>
          <w:p>
            <w:pPr>
              <w:spacing w:after="0"/>
              <w:rPr>
                <w:sz w:val="18"/>
                <w:szCs w:val="18"/>
                <w:color w:val="auto"/>
              </w:rPr>
            </w:pPr>
          </w:p>
        </w:tc>
        <w:tc>
          <w:tcPr>
            <w:tcW w:w="7360" w:type="dxa"/>
            <w:vAlign w:val="bottom"/>
            <w:gridSpan w:val="19"/>
          </w:tcPr>
          <w:p>
            <w:pPr>
              <w:spacing w:after="0"/>
              <w:rPr>
                <w:sz w:val="20"/>
                <w:szCs w:val="20"/>
                <w:color w:val="auto"/>
              </w:rPr>
            </w:pPr>
            <w:r>
              <w:rPr>
                <w:rFonts w:ascii="Times New Roman" w:cs="Times New Roman" w:eastAsia="Times New Roman" w:hAnsi="Times New Roman"/>
                <w:sz w:val="18"/>
                <w:szCs w:val="18"/>
                <w:color w:val="auto"/>
              </w:rPr>
              <w:t>Inline XBRL Taxonomy Extension Label Linkbase</w:t>
            </w:r>
          </w:p>
        </w:tc>
      </w:tr>
      <w:tr>
        <w:trPr>
          <w:trHeight w:val="216"/>
        </w:trPr>
        <w:tc>
          <w:tcPr>
            <w:tcW w:w="13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101.PRE*</w:t>
            </w:r>
          </w:p>
        </w:tc>
        <w:tc>
          <w:tcPr>
            <w:tcW w:w="180" w:type="dxa"/>
            <w:vAlign w:val="bottom"/>
          </w:tcPr>
          <w:p>
            <w:pPr>
              <w:spacing w:after="0"/>
              <w:rPr>
                <w:sz w:val="18"/>
                <w:szCs w:val="18"/>
                <w:color w:val="auto"/>
              </w:rPr>
            </w:pPr>
          </w:p>
        </w:tc>
        <w:tc>
          <w:tcPr>
            <w:tcW w:w="7360" w:type="dxa"/>
            <w:vAlign w:val="bottom"/>
            <w:gridSpan w:val="19"/>
          </w:tcPr>
          <w:p>
            <w:pPr>
              <w:spacing w:after="0"/>
              <w:rPr>
                <w:sz w:val="20"/>
                <w:szCs w:val="20"/>
                <w:color w:val="auto"/>
              </w:rPr>
            </w:pPr>
            <w:r>
              <w:rPr>
                <w:rFonts w:ascii="Times New Roman" w:cs="Times New Roman" w:eastAsia="Times New Roman" w:hAnsi="Times New Roman"/>
                <w:sz w:val="18"/>
                <w:szCs w:val="18"/>
                <w:color w:val="auto"/>
              </w:rPr>
              <w:t>Inline XBRL Taxonomy Extension Presentation Linkbase</w:t>
            </w:r>
          </w:p>
        </w:tc>
      </w:tr>
      <w:tr>
        <w:trPr>
          <w:trHeight w:val="234"/>
        </w:trPr>
        <w:tc>
          <w:tcPr>
            <w:tcW w:w="130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104*</w:t>
            </w: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360" w:type="dxa"/>
            <w:vAlign w:val="bottom"/>
            <w:gridSpan w:val="19"/>
          </w:tcPr>
          <w:p>
            <w:pPr>
              <w:spacing w:after="0"/>
              <w:rPr>
                <w:sz w:val="20"/>
                <w:szCs w:val="20"/>
                <w:color w:val="auto"/>
              </w:rPr>
            </w:pPr>
            <w:r>
              <w:rPr>
                <w:rFonts w:ascii="Times New Roman" w:cs="Times New Roman" w:eastAsia="Times New Roman" w:hAnsi="Times New Roman"/>
                <w:sz w:val="18"/>
                <w:szCs w:val="18"/>
                <w:color w:val="auto"/>
              </w:rPr>
              <w:t>Cover Page Interactive Data File (formatted as Inline XBRL and contained in Exhibit 101)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205740</wp:posOffset>
            </wp:positionV>
            <wp:extent cx="1414145" cy="171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8">
                      <a:extLst>
                        <a:ext uri="{28A0092B-C50C-407E-A947-70E740481C1C}"/>
                      </a:extLst>
                    </a:blip>
                    <a:srcRect/>
                    <a:stretch>
                      <a:fillRect/>
                    </a:stretch>
                  </pic:blipFill>
                  <pic:spPr bwMode="auto">
                    <a:xfrm>
                      <a:off x="0" y="0"/>
                      <a:ext cx="1414145" cy="17145"/>
                    </a:xfrm>
                    <a:prstGeom prst="rect">
                      <a:avLst/>
                    </a:prstGeom>
                    <a:noFill/>
                  </pic:spPr>
                </pic:pic>
              </a:graphicData>
            </a:graphic>
          </wp:anchor>
        </w:drawing>
      </w:r>
    </w:p>
    <w:p>
      <w:pPr>
        <w:spacing w:after="0" w:line="394" w:lineRule="exact"/>
        <w:rPr>
          <w:sz w:val="20"/>
          <w:szCs w:val="20"/>
          <w:color w:val="auto"/>
        </w:rPr>
      </w:pPr>
    </w:p>
    <w:p>
      <w:pPr>
        <w:ind w:left="380" w:hanging="330"/>
        <w:spacing w:after="0"/>
        <w:tabs>
          <w:tab w:leader="none" w:pos="3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Filed herewith.</w:t>
      </w:r>
    </w:p>
    <w:p>
      <w:pPr>
        <w:spacing w:after="0" w:line="77" w:lineRule="exact"/>
        <w:rPr>
          <w:sz w:val="20"/>
          <w:szCs w:val="20"/>
          <w:color w:val="auto"/>
        </w:rPr>
      </w:pPr>
    </w:p>
    <w:p>
      <w:pPr>
        <w:ind w:left="380" w:hanging="330"/>
        <w:spacing w:after="0"/>
        <w:tabs>
          <w:tab w:leader="none" w:pos="3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Furnished herewith.</w:t>
      </w:r>
    </w:p>
    <w:p>
      <w:pPr>
        <w:spacing w:after="0" w:line="200" w:lineRule="exact"/>
        <w:rPr>
          <w:sz w:val="20"/>
          <w:szCs w:val="20"/>
          <w:color w:val="auto"/>
        </w:rPr>
      </w:pPr>
    </w:p>
    <w:p>
      <w:pPr>
        <w:spacing w:after="0" w:line="30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9">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50" w:name="page51"/>
    <w:bookmarkEnd w:id="50"/>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left="60" w:right="319" w:firstLine="324"/>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75" w:lineRule="exact"/>
        <w:rPr>
          <w:sz w:val="20"/>
          <w:szCs w:val="20"/>
          <w:color w:val="auto"/>
        </w:rPr>
      </w:pPr>
    </w:p>
    <w:p>
      <w:pPr>
        <w:ind w:left="4480"/>
        <w:spacing w:after="0"/>
        <w:rPr>
          <w:sz w:val="20"/>
          <w:szCs w:val="20"/>
          <w:color w:val="auto"/>
        </w:rPr>
      </w:pPr>
      <w:r>
        <w:rPr>
          <w:rFonts w:ascii="Times New Roman" w:cs="Times New Roman" w:eastAsia="Times New Roman" w:hAnsi="Times New Roman"/>
          <w:sz w:val="18"/>
          <w:szCs w:val="18"/>
          <w:color w:val="auto"/>
        </w:rPr>
        <w:t>RIBBON COMMUNICATIONS INC.</w:t>
      </w:r>
    </w:p>
    <w:p>
      <w:pPr>
        <w:spacing w:after="0" w:line="200" w:lineRule="exact"/>
        <w:rPr>
          <w:sz w:val="20"/>
          <w:szCs w:val="20"/>
          <w:color w:val="auto"/>
        </w:rPr>
      </w:pPr>
    </w:p>
    <w:p>
      <w:pPr>
        <w:spacing w:after="0" w:line="241" w:lineRule="exact"/>
        <w:rPr>
          <w:sz w:val="20"/>
          <w:szCs w:val="20"/>
          <w:color w:val="auto"/>
        </w:rPr>
      </w:pPr>
    </w:p>
    <w:p>
      <w:pPr>
        <w:ind w:left="4480"/>
        <w:spacing w:after="0"/>
        <w:rPr>
          <w:sz w:val="20"/>
          <w:szCs w:val="20"/>
          <w:color w:val="auto"/>
        </w:rPr>
      </w:pPr>
      <w:r>
        <w:rPr>
          <w:rFonts w:ascii="Times New Roman" w:cs="Times New Roman" w:eastAsia="Times New Roman" w:hAnsi="Times New Roman"/>
          <w:sz w:val="18"/>
          <w:szCs w:val="18"/>
          <w:color w:val="auto"/>
        </w:rPr>
        <w:t>By:/s/ Eric Marmurek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3022600</wp:posOffset>
            </wp:positionH>
            <wp:positionV relativeFrom="paragraph">
              <wp:posOffset>17145</wp:posOffset>
            </wp:positionV>
            <wp:extent cx="2665730"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70">
                      <a:extLst>
                        <a:ext uri="{28A0092B-C50C-407E-A947-70E740481C1C}"/>
                      </a:extLst>
                    </a:blip>
                    <a:srcRect/>
                    <a:stretch>
                      <a:fillRect/>
                    </a:stretch>
                  </pic:blipFill>
                  <pic:spPr bwMode="auto">
                    <a:xfrm>
                      <a:off x="0" y="0"/>
                      <a:ext cx="2665730" cy="8255"/>
                    </a:xfrm>
                    <a:prstGeom prst="rect">
                      <a:avLst/>
                    </a:prstGeom>
                    <a:noFill/>
                  </pic:spPr>
                </pic:pic>
              </a:graphicData>
            </a:graphic>
          </wp:anchor>
        </w:drawing>
      </w:r>
    </w:p>
    <w:p>
      <w:pPr>
        <w:spacing w:after="0" w:line="7" w:lineRule="exact"/>
        <w:rPr>
          <w:sz w:val="20"/>
          <w:szCs w:val="20"/>
          <w:color w:val="auto"/>
        </w:rPr>
      </w:pPr>
    </w:p>
    <w:p>
      <w:pPr>
        <w:ind w:left="4760"/>
        <w:spacing w:after="0"/>
        <w:rPr>
          <w:sz w:val="20"/>
          <w:szCs w:val="20"/>
          <w:color w:val="auto"/>
        </w:rPr>
      </w:pPr>
      <w:r>
        <w:rPr>
          <w:rFonts w:ascii="Times New Roman" w:cs="Times New Roman" w:eastAsia="Times New Roman" w:hAnsi="Times New Roman"/>
          <w:sz w:val="18"/>
          <w:szCs w:val="18"/>
          <w:color w:val="auto"/>
        </w:rPr>
        <w:t>Eric Marmurek</w:t>
      </w:r>
    </w:p>
    <w:p>
      <w:pPr>
        <w:spacing w:after="0" w:line="23" w:lineRule="exact"/>
        <w:rPr>
          <w:sz w:val="20"/>
          <w:szCs w:val="20"/>
          <w:color w:val="auto"/>
        </w:rPr>
      </w:pPr>
    </w:p>
    <w:p>
      <w:pPr>
        <w:ind w:left="4760"/>
        <w:spacing w:after="0"/>
        <w:rPr>
          <w:sz w:val="20"/>
          <w:szCs w:val="20"/>
          <w:color w:val="auto"/>
        </w:rPr>
      </w:pPr>
      <w:r>
        <w:rPr>
          <w:rFonts w:ascii="Times New Roman" w:cs="Times New Roman" w:eastAsia="Times New Roman" w:hAnsi="Times New Roman"/>
          <w:sz w:val="18"/>
          <w:szCs w:val="18"/>
          <w:color w:val="auto"/>
        </w:rPr>
        <w:t>Executive Vice President, Chief Financial Officer and</w:t>
      </w:r>
    </w:p>
    <w:p>
      <w:pPr>
        <w:spacing w:after="0" w:line="9" w:lineRule="exact"/>
        <w:rPr>
          <w:sz w:val="20"/>
          <w:szCs w:val="20"/>
          <w:color w:val="auto"/>
        </w:rPr>
      </w:pPr>
    </w:p>
    <w:p>
      <w:pPr>
        <w:ind w:left="4760"/>
        <w:spacing w:after="0"/>
        <w:rPr>
          <w:sz w:val="20"/>
          <w:szCs w:val="20"/>
          <w:color w:val="auto"/>
        </w:rPr>
      </w:pPr>
      <w:r>
        <w:rPr>
          <w:rFonts w:ascii="Times New Roman" w:cs="Times New Roman" w:eastAsia="Times New Roman" w:hAnsi="Times New Roman"/>
          <w:sz w:val="18"/>
          <w:szCs w:val="18"/>
          <w:color w:val="auto"/>
        </w:rPr>
        <w:t>Chief Accounting Officer</w:t>
      </w:r>
    </w:p>
    <w:p>
      <w:pPr>
        <w:spacing w:after="0" w:line="9" w:lineRule="exact"/>
        <w:rPr>
          <w:sz w:val="20"/>
          <w:szCs w:val="20"/>
          <w:color w:val="auto"/>
        </w:rPr>
      </w:pPr>
    </w:p>
    <w:p>
      <w:pPr>
        <w:ind w:left="4760"/>
        <w:spacing w:after="0"/>
        <w:rPr>
          <w:sz w:val="20"/>
          <w:szCs w:val="20"/>
          <w:color w:val="auto"/>
        </w:rPr>
      </w:pPr>
      <w:r>
        <w:rPr>
          <w:rFonts w:ascii="Times New Roman" w:cs="Times New Roman" w:eastAsia="Times New Roman" w:hAnsi="Times New Roman"/>
          <w:sz w:val="18"/>
          <w:szCs w:val="18"/>
          <w:color w:val="auto"/>
        </w:rPr>
        <w:t>(Principal Financial Officer)</w:t>
      </w:r>
    </w:p>
    <w:p>
      <w:pPr>
        <w:spacing w:after="0" w:line="207" w:lineRule="exact"/>
        <w:rPr>
          <w:sz w:val="20"/>
          <w:szCs w:val="20"/>
          <w:color w:val="auto"/>
        </w:rPr>
      </w:pPr>
    </w:p>
    <w:p>
      <w:pPr>
        <w:ind w:left="4480"/>
        <w:spacing w:after="0"/>
        <w:rPr>
          <w:sz w:val="20"/>
          <w:szCs w:val="20"/>
          <w:color w:val="auto"/>
        </w:rPr>
      </w:pPr>
      <w:r>
        <w:rPr>
          <w:rFonts w:ascii="Times New Roman" w:cs="Times New Roman" w:eastAsia="Times New Roman" w:hAnsi="Times New Roman"/>
          <w:sz w:val="18"/>
          <w:szCs w:val="18"/>
          <w:color w:val="auto"/>
        </w:rPr>
        <w:t>Date: May 6, 2026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71">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51" w:name="page52"/>
    <w:bookmarkEnd w:id="51"/>
    <w:p>
      <w:pPr>
        <w:jc w:val="right"/>
        <w:ind w:right="559"/>
        <w:spacing w:after="0"/>
        <w:rPr>
          <w:sz w:val="20"/>
          <w:szCs w:val="20"/>
          <w:color w:val="auto"/>
        </w:rPr>
      </w:pPr>
      <w:r>
        <w:rPr>
          <w:rFonts w:ascii="Times New Roman" w:cs="Times New Roman" w:eastAsia="Times New Roman" w:hAnsi="Times New Roman"/>
          <w:sz w:val="20"/>
          <w:szCs w:val="20"/>
          <w:b w:val="1"/>
          <w:bCs w:val="1"/>
          <w:color w:val="auto"/>
        </w:rPr>
        <w:t>Exhibit 10.1</w:t>
      </w:r>
    </w:p>
    <w:p>
      <w:pPr>
        <w:spacing w:after="0" w:line="215" w:lineRule="exact"/>
        <w:rPr>
          <w:sz w:val="20"/>
          <w:szCs w:val="20"/>
          <w:color w:val="auto"/>
        </w:rPr>
      </w:pPr>
    </w:p>
    <w:p>
      <w:pPr>
        <w:ind w:left="6960"/>
        <w:spacing w:after="0"/>
        <w:rPr>
          <w:sz w:val="20"/>
          <w:szCs w:val="20"/>
          <w:color w:val="auto"/>
        </w:rPr>
      </w:pPr>
      <w:r>
        <w:rPr>
          <w:rFonts w:ascii="Times New Roman" w:cs="Times New Roman" w:eastAsia="Times New Roman" w:hAnsi="Times New Roman"/>
          <w:sz w:val="19"/>
          <w:szCs w:val="19"/>
          <w:b w:val="1"/>
          <w:bCs w:val="1"/>
          <w:i w:val="1"/>
          <w:iCs w:val="1"/>
          <w:color w:val="auto"/>
        </w:rPr>
        <w:t>Execution Version</w:t>
      </w:r>
    </w:p>
    <w:p>
      <w:pPr>
        <w:spacing w:after="0" w:line="24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FIRST AMENDMENT AND LIMITED WAIVER TO CREDIT AGREEMENT</w:t>
      </w:r>
    </w:p>
    <w:p>
      <w:pPr>
        <w:spacing w:after="0" w:line="229" w:lineRule="exact"/>
        <w:rPr>
          <w:sz w:val="20"/>
          <w:szCs w:val="20"/>
          <w:color w:val="auto"/>
        </w:rPr>
      </w:pPr>
    </w:p>
    <w:p>
      <w:pPr>
        <w:jc w:val="both"/>
        <w:ind w:left="540" w:right="559" w:firstLine="1296"/>
        <w:spacing w:after="0" w:line="242" w:lineRule="auto"/>
        <w:rPr>
          <w:sz w:val="20"/>
          <w:szCs w:val="20"/>
          <w:color w:val="auto"/>
        </w:rPr>
      </w:pPr>
      <w:r>
        <w:rPr>
          <w:rFonts w:ascii="Times New Roman" w:cs="Times New Roman" w:eastAsia="Times New Roman" w:hAnsi="Times New Roman"/>
          <w:sz w:val="20"/>
          <w:szCs w:val="20"/>
          <w:color w:val="auto"/>
        </w:rPr>
        <w:t>This FIRST AMENDMENT AND LIMITED WAIVER TO CREDIT AGREEMENT (this “</w:t>
      </w:r>
      <w:r>
        <w:rPr>
          <w:rFonts w:ascii="Times New Roman" w:cs="Times New Roman" w:eastAsia="Times New Roman" w:hAnsi="Times New Roman"/>
          <w:sz w:val="20"/>
          <w:szCs w:val="20"/>
          <w:u w:val="single" w:color="auto"/>
          <w:color w:val="auto"/>
        </w:rPr>
        <w:t>Agreement</w:t>
      </w:r>
      <w:r>
        <w:rPr>
          <w:rFonts w:ascii="Times New Roman" w:cs="Times New Roman" w:eastAsia="Times New Roman" w:hAnsi="Times New Roman"/>
          <w:sz w:val="20"/>
          <w:szCs w:val="20"/>
          <w:color w:val="auto"/>
        </w:rPr>
        <w:t>”), dated as of May 5, 2026, entered into by and among RIBBON COMMUNICATIONS OPERATING COMPANY, INC., a Delaware corporation (the “</w:t>
      </w:r>
      <w:r>
        <w:rPr>
          <w:rFonts w:ascii="Times New Roman" w:cs="Times New Roman" w:eastAsia="Times New Roman" w:hAnsi="Times New Roman"/>
          <w:sz w:val="20"/>
          <w:szCs w:val="20"/>
          <w:u w:val="single" w:color="auto"/>
          <w:color w:val="auto"/>
        </w:rPr>
        <w:t>Borrower</w:t>
      </w:r>
      <w:r>
        <w:rPr>
          <w:rFonts w:ascii="Times New Roman" w:cs="Times New Roman" w:eastAsia="Times New Roman" w:hAnsi="Times New Roman"/>
          <w:sz w:val="20"/>
          <w:szCs w:val="20"/>
          <w:color w:val="auto"/>
        </w:rPr>
        <w:t>”), RIBBON COMMUNICATIONS INC., a Delaware corporation (“</w:t>
      </w:r>
      <w:r>
        <w:rPr>
          <w:rFonts w:ascii="Times New Roman" w:cs="Times New Roman" w:eastAsia="Times New Roman" w:hAnsi="Times New Roman"/>
          <w:sz w:val="20"/>
          <w:szCs w:val="20"/>
          <w:u w:val="single" w:color="auto"/>
          <w:color w:val="auto"/>
        </w:rPr>
        <w:t>Holdings</w:t>
      </w:r>
      <w:r>
        <w:rPr>
          <w:rFonts w:ascii="Times New Roman" w:cs="Times New Roman" w:eastAsia="Times New Roman" w:hAnsi="Times New Roman"/>
          <w:sz w:val="20"/>
          <w:szCs w:val="20"/>
          <w:color w:val="auto"/>
        </w:rPr>
        <w:t>”), each Lender executing this Agreement as a “Lender” on the signature pages hereto (each such Lender, a “</w:t>
      </w:r>
      <w:r>
        <w:rPr>
          <w:rFonts w:ascii="Times New Roman" w:cs="Times New Roman" w:eastAsia="Times New Roman" w:hAnsi="Times New Roman"/>
          <w:sz w:val="20"/>
          <w:szCs w:val="20"/>
          <w:u w:val="single" w:color="auto"/>
          <w:color w:val="auto"/>
        </w:rPr>
        <w:t>Consenting Lender</w:t>
      </w:r>
      <w:r>
        <w:rPr>
          <w:rFonts w:ascii="Times New Roman" w:cs="Times New Roman" w:eastAsia="Times New Roman" w:hAnsi="Times New Roman"/>
          <w:sz w:val="20"/>
          <w:szCs w:val="20"/>
          <w:color w:val="auto"/>
        </w:rPr>
        <w:t>”, and such Consenting Lenders representing all Lenders under the Credit Agreement on the date hereof) and HPS INVESTMENT PARTNERS, LLC (“</w:t>
      </w:r>
      <w:r>
        <w:rPr>
          <w:rFonts w:ascii="Times New Roman" w:cs="Times New Roman" w:eastAsia="Times New Roman" w:hAnsi="Times New Roman"/>
          <w:sz w:val="20"/>
          <w:szCs w:val="20"/>
          <w:u w:val="single" w:color="auto"/>
          <w:color w:val="auto"/>
        </w:rPr>
        <w:t>HPS</w:t>
      </w:r>
      <w:r>
        <w:rPr>
          <w:rFonts w:ascii="Times New Roman" w:cs="Times New Roman" w:eastAsia="Times New Roman" w:hAnsi="Times New Roman"/>
          <w:sz w:val="20"/>
          <w:szCs w:val="20"/>
          <w:color w:val="auto"/>
        </w:rPr>
        <w:t>”), as administrative agent for the Lenders (in such capacity, together with its permitted successors and assigns in such capacity, the “</w:t>
      </w:r>
      <w:r>
        <w:rPr>
          <w:rFonts w:ascii="Times New Roman" w:cs="Times New Roman" w:eastAsia="Times New Roman" w:hAnsi="Times New Roman"/>
          <w:sz w:val="20"/>
          <w:szCs w:val="20"/>
          <w:u w:val="single" w:color="auto"/>
          <w:color w:val="auto"/>
        </w:rPr>
        <w:t>Administrative Agent</w:t>
      </w:r>
      <w:r>
        <w:rPr>
          <w:rFonts w:ascii="Times New Roman" w:cs="Times New Roman" w:eastAsia="Times New Roman" w:hAnsi="Times New Roman"/>
          <w:sz w:val="20"/>
          <w:szCs w:val="20"/>
          <w:color w:val="auto"/>
        </w:rPr>
        <w:t>”), is in respect of the Credit Agreement referred to below.</w:t>
      </w:r>
    </w:p>
    <w:p>
      <w:pPr>
        <w:spacing w:after="0" w:line="206" w:lineRule="exact"/>
        <w:rPr>
          <w:sz w:val="20"/>
          <w:szCs w:val="20"/>
          <w:color w:val="auto"/>
        </w:rPr>
      </w:pPr>
    </w:p>
    <w:p>
      <w:pPr>
        <w:jc w:val="both"/>
        <w:ind w:left="540" w:right="559" w:firstLine="1296"/>
        <w:spacing w:after="0" w:line="245" w:lineRule="auto"/>
        <w:rPr>
          <w:sz w:val="20"/>
          <w:szCs w:val="20"/>
          <w:color w:val="auto"/>
        </w:rPr>
      </w:pPr>
      <w:r>
        <w:rPr>
          <w:rFonts w:ascii="Times New Roman" w:cs="Times New Roman" w:eastAsia="Times New Roman" w:hAnsi="Times New Roman"/>
          <w:sz w:val="20"/>
          <w:szCs w:val="20"/>
          <w:color w:val="auto"/>
        </w:rPr>
        <w:t>WHEREAS, the Borrower, Holdings, the Lenders party thereto and the Administrative Agent are parties to that certain Credit Agreement, dated as of June 21, 2024 (as amended, restated, supplemented or otherwise modified from time to time and in effect immediately prior to the First Amendment Effective Date (as defined below), the “</w:t>
      </w:r>
      <w:r>
        <w:rPr>
          <w:rFonts w:ascii="Times New Roman" w:cs="Times New Roman" w:eastAsia="Times New Roman" w:hAnsi="Times New Roman"/>
          <w:sz w:val="20"/>
          <w:szCs w:val="20"/>
          <w:u w:val="single" w:color="auto"/>
          <w:color w:val="auto"/>
        </w:rPr>
        <w:t>Credit</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Agreement</w:t>
      </w:r>
      <w:r>
        <w:rPr>
          <w:rFonts w:ascii="Times New Roman" w:cs="Times New Roman" w:eastAsia="Times New Roman" w:hAnsi="Times New Roman"/>
          <w:sz w:val="20"/>
          <w:szCs w:val="20"/>
          <w:color w:val="auto"/>
        </w:rPr>
        <w:t>”; the Credit Agreement as amended, restated, supplemented or otherwise modified by this Agreement is referred to herein as the “Amended Credit Agreement”);</w:t>
      </w:r>
    </w:p>
    <w:p>
      <w:pPr>
        <w:spacing w:after="0" w:line="198" w:lineRule="exact"/>
        <w:rPr>
          <w:sz w:val="20"/>
          <w:szCs w:val="20"/>
          <w:color w:val="auto"/>
        </w:rPr>
      </w:pPr>
    </w:p>
    <w:p>
      <w:pPr>
        <w:jc w:val="both"/>
        <w:ind w:left="540" w:right="559" w:firstLine="1296"/>
        <w:spacing w:after="0" w:line="249" w:lineRule="auto"/>
        <w:rPr>
          <w:sz w:val="20"/>
          <w:szCs w:val="20"/>
          <w:color w:val="auto"/>
        </w:rPr>
      </w:pPr>
      <w:r>
        <w:rPr>
          <w:rFonts w:ascii="Times New Roman" w:cs="Times New Roman" w:eastAsia="Times New Roman" w:hAnsi="Times New Roman"/>
          <w:sz w:val="20"/>
          <w:szCs w:val="20"/>
          <w:color w:val="auto"/>
        </w:rPr>
        <w:t>WHEREAS, the Borrower has notified the Administrative Agent and the Lenders of a potential Event of Default arising under Section 8.1(c) of the Credit Agreement arising from the anticipated failure of Holdings to comply with the financial covenant contained in Section 7.1(a) of the Credit Agreement for the four fiscal quarter period ending on or about June 30, 2026;</w:t>
      </w:r>
    </w:p>
    <w:p>
      <w:pPr>
        <w:spacing w:after="0" w:line="193" w:lineRule="exact"/>
        <w:rPr>
          <w:sz w:val="20"/>
          <w:szCs w:val="20"/>
          <w:color w:val="auto"/>
        </w:rPr>
      </w:pPr>
    </w:p>
    <w:p>
      <w:pPr>
        <w:jc w:val="both"/>
        <w:ind w:left="540" w:right="559" w:firstLine="1296"/>
        <w:spacing w:after="0" w:line="254" w:lineRule="auto"/>
        <w:rPr>
          <w:sz w:val="20"/>
          <w:szCs w:val="20"/>
          <w:color w:val="auto"/>
        </w:rPr>
      </w:pPr>
      <w:r>
        <w:rPr>
          <w:rFonts w:ascii="Times New Roman" w:cs="Times New Roman" w:eastAsia="Times New Roman" w:hAnsi="Times New Roman"/>
          <w:sz w:val="20"/>
          <w:szCs w:val="20"/>
          <w:color w:val="auto"/>
        </w:rPr>
        <w:t>WHEREAS, in connection with the foregoing, the Borrower has requested that the Administrative Agent and the Consenting Lenders waive compliance with Section 7.1(a) of the Credit Agreement for the four fiscal quarter period ending on or about June 30, 2026;</w:t>
      </w:r>
    </w:p>
    <w:p>
      <w:pPr>
        <w:spacing w:after="0" w:line="188" w:lineRule="exact"/>
        <w:rPr>
          <w:sz w:val="20"/>
          <w:szCs w:val="20"/>
          <w:color w:val="auto"/>
        </w:rPr>
      </w:pPr>
    </w:p>
    <w:p>
      <w:pPr>
        <w:jc w:val="both"/>
        <w:ind w:left="540" w:right="559" w:firstLine="1296"/>
        <w:spacing w:after="0" w:line="249" w:lineRule="auto"/>
        <w:rPr>
          <w:sz w:val="20"/>
          <w:szCs w:val="20"/>
          <w:color w:val="auto"/>
        </w:rPr>
      </w:pPr>
      <w:r>
        <w:rPr>
          <w:rFonts w:ascii="Times New Roman" w:cs="Times New Roman" w:eastAsia="Times New Roman" w:hAnsi="Times New Roman"/>
          <w:sz w:val="20"/>
          <w:szCs w:val="20"/>
          <w:color w:val="auto"/>
        </w:rPr>
        <w:t>WHEREAS, the Lenders party hereto and the Administrative Agent desire to waive compliance with Section 7.1(a) of the Credit Agreement for the four fiscal quarter period ending on or about June 30, 2026 and desire to amend the Credit Agreement, in each case, on the terms set forth herein;</w:t>
      </w:r>
    </w:p>
    <w:p>
      <w:pPr>
        <w:spacing w:after="0" w:line="193" w:lineRule="exact"/>
        <w:rPr>
          <w:sz w:val="20"/>
          <w:szCs w:val="20"/>
          <w:color w:val="auto"/>
        </w:rPr>
      </w:pPr>
    </w:p>
    <w:p>
      <w:pPr>
        <w:ind w:left="1840"/>
        <w:spacing w:after="0"/>
        <w:rPr>
          <w:sz w:val="20"/>
          <w:szCs w:val="20"/>
          <w:color w:val="auto"/>
        </w:rPr>
      </w:pPr>
      <w:r>
        <w:rPr>
          <w:rFonts w:ascii="Times New Roman" w:cs="Times New Roman" w:eastAsia="Times New Roman" w:hAnsi="Times New Roman"/>
          <w:sz w:val="20"/>
          <w:szCs w:val="20"/>
          <w:color w:val="auto"/>
        </w:rPr>
        <w:t>NOW, THEREFORE, the parties hereto hereby agree as follows:</w:t>
      </w:r>
    </w:p>
    <w:p>
      <w:pPr>
        <w:spacing w:after="0" w:line="229" w:lineRule="exact"/>
        <w:rPr>
          <w:sz w:val="20"/>
          <w:szCs w:val="20"/>
          <w:color w:val="auto"/>
        </w:rPr>
      </w:pPr>
    </w:p>
    <w:p>
      <w:pPr>
        <w:jc w:val="both"/>
        <w:ind w:left="540" w:right="559" w:firstLine="648"/>
        <w:spacing w:after="0" w:line="245" w:lineRule="auto"/>
        <w:rPr>
          <w:sz w:val="20"/>
          <w:szCs w:val="20"/>
          <w:color w:val="auto"/>
        </w:rPr>
      </w:pPr>
      <w:r>
        <w:rPr>
          <w:rFonts w:ascii="Times New Roman" w:cs="Times New Roman" w:eastAsia="Times New Roman" w:hAnsi="Times New Roman"/>
          <w:sz w:val="20"/>
          <w:szCs w:val="20"/>
          <w:color w:val="auto"/>
        </w:rPr>
        <w:t xml:space="preserve">Section 1. </w:t>
      </w:r>
      <w:r>
        <w:rPr>
          <w:rFonts w:ascii="Times New Roman" w:cs="Times New Roman" w:eastAsia="Times New Roman" w:hAnsi="Times New Roman"/>
          <w:sz w:val="20"/>
          <w:szCs w:val="20"/>
          <w:u w:val="single" w:color="auto"/>
          <w:color w:val="auto"/>
        </w:rPr>
        <w:t>Definitions</w:t>
      </w:r>
      <w:r>
        <w:rPr>
          <w:rFonts w:ascii="Times New Roman" w:cs="Times New Roman" w:eastAsia="Times New Roman" w:hAnsi="Times New Roman"/>
          <w:sz w:val="20"/>
          <w:szCs w:val="20"/>
          <w:color w:val="auto"/>
        </w:rPr>
        <w:t>. Except as otherwise defined in this Agreement, terms defined in the Credit Agreement are used herein as defined therein. The rules of construction and other interpretive provisions specified in Section 1 of the Credit Agreement shall apply to this Agreement, including terms defined in the preamble and recitals hereto. This Agreement shall constitute a Loan Document for all purposes of the Amended Credit Agreement and the other Loan Documents.</w:t>
      </w:r>
    </w:p>
    <w:p>
      <w:pPr>
        <w:spacing w:after="0" w:line="184" w:lineRule="exact"/>
        <w:rPr>
          <w:sz w:val="20"/>
          <w:szCs w:val="20"/>
          <w:color w:val="auto"/>
        </w:rPr>
      </w:pPr>
    </w:p>
    <w:p>
      <w:pPr>
        <w:jc w:val="both"/>
        <w:ind w:left="540" w:right="559" w:firstLine="648"/>
        <w:spacing w:after="0" w:line="254" w:lineRule="auto"/>
        <w:rPr>
          <w:sz w:val="20"/>
          <w:szCs w:val="20"/>
          <w:color w:val="auto"/>
        </w:rPr>
      </w:pPr>
      <w:r>
        <w:rPr>
          <w:rFonts w:ascii="Times New Roman" w:cs="Times New Roman" w:eastAsia="Times New Roman" w:hAnsi="Times New Roman"/>
          <w:sz w:val="20"/>
          <w:szCs w:val="20"/>
          <w:color w:val="auto"/>
        </w:rPr>
        <w:t xml:space="preserve">Section 2. </w:t>
      </w:r>
      <w:r>
        <w:rPr>
          <w:rFonts w:ascii="Times New Roman" w:cs="Times New Roman" w:eastAsia="Times New Roman" w:hAnsi="Times New Roman"/>
          <w:sz w:val="20"/>
          <w:szCs w:val="20"/>
          <w:u w:val="single" w:color="auto"/>
          <w:color w:val="auto"/>
        </w:rPr>
        <w:t>Amendments</w:t>
      </w:r>
      <w:r>
        <w:rPr>
          <w:rFonts w:ascii="Times New Roman" w:cs="Times New Roman" w:eastAsia="Times New Roman" w:hAnsi="Times New Roman"/>
          <w:sz w:val="20"/>
          <w:szCs w:val="20"/>
          <w:color w:val="auto"/>
        </w:rPr>
        <w:t>. Subject to the satisfaction (or waiver) of the conditions precedent specified in Section 5 below, but effective as of the First Amendment Effective Date (as defined below), the Credit Agreement is hereby amended as follows:</w:t>
      </w:r>
    </w:p>
    <w:p>
      <w:pPr>
        <w:spacing w:after="0" w:line="174" w:lineRule="exact"/>
        <w:rPr>
          <w:sz w:val="20"/>
          <w:szCs w:val="20"/>
          <w:color w:val="auto"/>
        </w:rPr>
      </w:pPr>
    </w:p>
    <w:p>
      <w:pPr>
        <w:ind w:left="1520" w:right="559" w:firstLine="640"/>
        <w:spacing w:after="0" w:line="269" w:lineRule="auto"/>
        <w:tabs>
          <w:tab w:leader="none" w:pos="2492" w:val="left"/>
        </w:tabs>
        <w:numPr>
          <w:ilvl w:val="0"/>
          <w:numId w:val="1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Section 1.1 of the Credit Agreement is amended to add the following definitions in the appropriate alphabetical location:</w:t>
      </w:r>
    </w:p>
    <w:p>
      <w:pPr>
        <w:spacing w:after="0" w:line="200" w:lineRule="exact"/>
        <w:rPr>
          <w:sz w:val="20"/>
          <w:szCs w:val="20"/>
          <w:color w:val="auto"/>
        </w:rPr>
      </w:pPr>
    </w:p>
    <w:p>
      <w:pPr>
        <w:spacing w:after="0" w:line="21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1</w:t>
      </w:r>
    </w:p>
    <w:p>
      <w:pPr>
        <w:spacing w:after="0" w:line="11"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4"/>
          <w:szCs w:val="14"/>
          <w:color w:val="auto"/>
        </w:rPr>
        <w:t>US-DOCS\171161013.8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339725</wp:posOffset>
            </wp:positionH>
            <wp:positionV relativeFrom="paragraph">
              <wp:posOffset>339090</wp:posOffset>
            </wp:positionV>
            <wp:extent cx="5040630" cy="2540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72">
                      <a:extLst>
                        <a:ext uri="{28A0092B-C50C-407E-A947-70E740481C1C}"/>
                      </a:extLst>
                    </a:blip>
                    <a:srcRect/>
                    <a:stretch>
                      <a:fillRect/>
                    </a:stretch>
                  </pic:blipFill>
                  <pic:spPr bwMode="auto">
                    <a:xfrm>
                      <a:off x="0" y="0"/>
                      <a:ext cx="5040630" cy="25400"/>
                    </a:xfrm>
                    <a:prstGeom prst="rect">
                      <a:avLst/>
                    </a:prstGeom>
                    <a:noFill/>
                  </pic:spPr>
                </pic:pic>
              </a:graphicData>
            </a:graphic>
          </wp:anchor>
        </w:drawing>
      </w:r>
    </w:p>
    <w:p>
      <w:pPr>
        <w:sectPr>
          <w:pgSz w:w="11900" w:h="16838" w:orient="portrait"/>
          <w:cols w:equalWidth="0" w:num="1">
            <w:col w:w="9019"/>
          </w:cols>
          <w:pgMar w:left="1440" w:top="114" w:right="1440" w:bottom="1440" w:gutter="0" w:footer="0" w:header="0"/>
        </w:sectPr>
      </w:pPr>
    </w:p>
    <w:bookmarkStart w:id="52" w:name="page53"/>
    <w:bookmarkEnd w:id="52"/>
    <w:p>
      <w:pPr>
        <w:jc w:val="both"/>
        <w:ind w:left="540" w:right="559" w:firstLine="648"/>
        <w:spacing w:after="0" w:line="256"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2026 Reporting Date</w:t>
      </w:r>
      <w:r>
        <w:rPr>
          <w:rFonts w:ascii="Times New Roman" w:cs="Times New Roman" w:eastAsia="Times New Roman" w:hAnsi="Times New Roman"/>
          <w:sz w:val="20"/>
          <w:szCs w:val="20"/>
          <w:color w:val="auto"/>
        </w:rPr>
        <w:t>”: the date that the Borrower delivers the financial statements required to be delivered pursuant to Section 6.1(a) for the fiscal year ending December 31, 2025, and the related Compliance Certificate required to be delivered pursuant to Section 6.2(b).”</w:t>
      </w:r>
    </w:p>
    <w:p>
      <w:pPr>
        <w:spacing w:after="0" w:line="169" w:lineRule="exact"/>
        <w:rPr>
          <w:sz w:val="20"/>
          <w:szCs w:val="20"/>
          <w:color w:val="auto"/>
        </w:rPr>
      </w:pPr>
    </w:p>
    <w:p>
      <w:pPr>
        <w:jc w:val="both"/>
        <w:ind w:left="540" w:right="559" w:firstLine="648"/>
        <w:spacing w:after="0" w:line="256"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First Amendment and Limited Waiver</w:t>
      </w:r>
      <w:r>
        <w:rPr>
          <w:rFonts w:ascii="Times New Roman" w:cs="Times New Roman" w:eastAsia="Times New Roman" w:hAnsi="Times New Roman"/>
          <w:sz w:val="20"/>
          <w:szCs w:val="20"/>
          <w:color w:val="auto"/>
        </w:rPr>
        <w:t>”: means that certain First Amendment and Limited Waiver to Credit Agreement, dated as of the First Amendment Effective Date, by and among Holdings, the Borrower, the Administrative Agent and the Lenders party thereto.”</w:t>
      </w:r>
    </w:p>
    <w:p>
      <w:pPr>
        <w:spacing w:after="0" w:line="169" w:lineRule="exact"/>
        <w:rPr>
          <w:sz w:val="20"/>
          <w:szCs w:val="20"/>
          <w:color w:val="auto"/>
        </w:rPr>
      </w:pPr>
    </w:p>
    <w:p>
      <w:pPr>
        <w:ind w:left="118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First Amendment Effective Date</w:t>
      </w:r>
      <w:r>
        <w:rPr>
          <w:rFonts w:ascii="Times New Roman" w:cs="Times New Roman" w:eastAsia="Times New Roman" w:hAnsi="Times New Roman"/>
          <w:sz w:val="20"/>
          <w:szCs w:val="20"/>
          <w:color w:val="auto"/>
        </w:rPr>
        <w:t>”: means, May 5, 2026.”</w:t>
      </w:r>
    </w:p>
    <w:p>
      <w:pPr>
        <w:spacing w:after="0" w:line="216" w:lineRule="exact"/>
        <w:rPr>
          <w:sz w:val="20"/>
          <w:szCs w:val="20"/>
          <w:color w:val="auto"/>
        </w:rPr>
      </w:pPr>
    </w:p>
    <w:p>
      <w:pPr>
        <w:jc w:val="both"/>
        <w:ind w:left="540" w:right="559" w:firstLine="648"/>
        <w:spacing w:after="0" w:line="256"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First Amendment Payments Letter</w:t>
      </w:r>
      <w:r>
        <w:rPr>
          <w:rFonts w:ascii="Times New Roman" w:cs="Times New Roman" w:eastAsia="Times New Roman" w:hAnsi="Times New Roman"/>
          <w:sz w:val="20"/>
          <w:szCs w:val="20"/>
          <w:color w:val="auto"/>
        </w:rPr>
        <w:t>”: means that certain First Amendment Payments Letter, dated as of the First Amendment Effective Date, by and among Holdings, the Borrower and the Administrative Agent.”</w:t>
      </w:r>
    </w:p>
    <w:p>
      <w:pPr>
        <w:spacing w:after="0" w:line="173" w:lineRule="exact"/>
        <w:rPr>
          <w:sz w:val="20"/>
          <w:szCs w:val="20"/>
          <w:color w:val="auto"/>
        </w:rPr>
      </w:pPr>
    </w:p>
    <w:p>
      <w:pPr>
        <w:jc w:val="both"/>
        <w:ind w:left="1520" w:right="559" w:firstLine="640"/>
        <w:spacing w:after="0" w:line="254" w:lineRule="auto"/>
        <w:tabs>
          <w:tab w:leader="none" w:pos="2492" w:val="left"/>
        </w:tabs>
        <w:numPr>
          <w:ilvl w:val="0"/>
          <w:numId w:val="1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definitions of “Applicable Margin” and “Loan Documents” in Section 1.1 of the Credit Agreement are hereby amended and replaced in their entirety with the following text:</w:t>
      </w:r>
    </w:p>
    <w:p>
      <w:pPr>
        <w:spacing w:after="0" w:line="170" w:lineRule="exact"/>
        <w:rPr>
          <w:sz w:val="20"/>
          <w:szCs w:val="20"/>
          <w:color w:val="auto"/>
        </w:rPr>
      </w:pPr>
    </w:p>
    <w:p>
      <w:pPr>
        <w:ind w:left="118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Applicable Margin</w:t>
      </w:r>
      <w:r>
        <w:rPr>
          <w:rFonts w:ascii="Times New Roman" w:cs="Times New Roman" w:eastAsia="Times New Roman" w:hAnsi="Times New Roman"/>
          <w:sz w:val="20"/>
          <w:szCs w:val="20"/>
          <w:color w:val="auto"/>
        </w:rPr>
        <w:t>”: for the Term Loans and the Revolving Loans,</w:t>
      </w:r>
    </w:p>
    <w:p>
      <w:pPr>
        <w:spacing w:after="0" w:line="220" w:lineRule="exact"/>
        <w:rPr>
          <w:sz w:val="20"/>
          <w:szCs w:val="20"/>
          <w:color w:val="auto"/>
        </w:rPr>
      </w:pPr>
    </w:p>
    <w:p>
      <w:pPr>
        <w:jc w:val="both"/>
        <w:ind w:left="540" w:right="559" w:firstLine="1296"/>
        <w:spacing w:after="0" w:line="254" w:lineRule="auto"/>
        <w:tabs>
          <w:tab w:leader="none" w:pos="2484" w:val="left"/>
        </w:tabs>
        <w:numPr>
          <w:ilvl w:val="0"/>
          <w:numId w:val="1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from and including the Closing Date through (and including) the Initial Reporting Date, (i) with respect to SOFR Loans, 6.25% per annum, and (ii) with respect to ABR Loans, 5.25% per annum; and</w:t>
      </w:r>
    </w:p>
    <w:p>
      <w:pPr>
        <w:spacing w:after="0" w:line="174" w:lineRule="exact"/>
        <w:rPr>
          <w:rFonts w:ascii="Times New Roman" w:cs="Times New Roman" w:eastAsia="Times New Roman" w:hAnsi="Times New Roman"/>
          <w:sz w:val="20"/>
          <w:szCs w:val="20"/>
          <w:color w:val="auto"/>
        </w:rPr>
      </w:pPr>
    </w:p>
    <w:p>
      <w:pPr>
        <w:jc w:val="both"/>
        <w:ind w:left="540" w:right="559" w:firstLine="1296"/>
        <w:spacing w:after="0" w:line="249" w:lineRule="auto"/>
        <w:tabs>
          <w:tab w:leader="none" w:pos="2484" w:val="left"/>
        </w:tabs>
        <w:numPr>
          <w:ilvl w:val="0"/>
          <w:numId w:val="1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from and including the Business Day occurring immediately after the Initial Reporting Date through (and including) the 2026 Reporting Date, a rate per annum determined by reference to the Consolidated Net Leverage Ratio in effect from time to time as set forth below:</w:t>
      </w:r>
    </w:p>
    <w:p>
      <w:pPr>
        <w:spacing w:after="0" w:line="161" w:lineRule="exact"/>
        <w:rPr>
          <w:sz w:val="20"/>
          <w:szCs w:val="20"/>
          <w:color w:val="auto"/>
        </w:rPr>
      </w:pPr>
    </w:p>
    <w:tbl>
      <w:tblPr>
        <w:tblLayout w:type="fixed"/>
        <w:tblInd w:w="980" w:type="dxa"/>
        <w:tblCellMar>
          <w:top w:w="0" w:type="dxa"/>
          <w:left w:w="0" w:type="dxa"/>
          <w:bottom w:w="0" w:type="dxa"/>
          <w:right w:w="0" w:type="dxa"/>
        </w:tblCellMar>
      </w:tblPr>
      <w:tr>
        <w:trPr>
          <w:trHeight w:val="230"/>
        </w:trPr>
        <w:tc>
          <w:tcPr>
            <w:tcW w:w="1620" w:type="dxa"/>
            <w:vAlign w:val="bottom"/>
          </w:tcPr>
          <w:p>
            <w:pPr>
              <w:spacing w:after="0"/>
              <w:rPr>
                <w:sz w:val="19"/>
                <w:szCs w:val="19"/>
                <w:color w:val="auto"/>
              </w:rPr>
            </w:pPr>
          </w:p>
        </w:tc>
        <w:tc>
          <w:tcPr>
            <w:tcW w:w="2020" w:type="dxa"/>
            <w:vAlign w:val="bottom"/>
            <w:gridSpan w:val="5"/>
            <w:vMerge w:val="restart"/>
          </w:tcPr>
          <w:p>
            <w:pPr>
              <w:jc w:val="center"/>
              <w:ind w:right="460"/>
              <w:spacing w:after="0"/>
              <w:rPr>
                <w:sz w:val="20"/>
                <w:szCs w:val="20"/>
                <w:color w:val="auto"/>
              </w:rPr>
            </w:pPr>
            <w:r>
              <w:rPr>
                <w:rFonts w:ascii="Times New Roman" w:cs="Times New Roman" w:eastAsia="Times New Roman" w:hAnsi="Times New Roman"/>
                <w:sz w:val="20"/>
                <w:szCs w:val="20"/>
                <w:color w:val="auto"/>
                <w:w w:val="98"/>
              </w:rPr>
              <w:t>Consolidated</w:t>
            </w:r>
          </w:p>
        </w:tc>
        <w:tc>
          <w:tcPr>
            <w:tcW w:w="2320" w:type="dxa"/>
            <w:vAlign w:val="bottom"/>
            <w:gridSpan w:val="5"/>
            <w:vMerge w:val="restart"/>
          </w:tcPr>
          <w:p>
            <w:pPr>
              <w:jc w:val="center"/>
              <w:ind w:left="41"/>
              <w:spacing w:after="0"/>
              <w:rPr>
                <w:sz w:val="20"/>
                <w:szCs w:val="20"/>
                <w:color w:val="auto"/>
              </w:rPr>
            </w:pPr>
            <w:r>
              <w:rPr>
                <w:rFonts w:ascii="Times New Roman" w:cs="Times New Roman" w:eastAsia="Times New Roman" w:hAnsi="Times New Roman"/>
                <w:sz w:val="20"/>
                <w:szCs w:val="20"/>
                <w:color w:val="auto"/>
                <w:w w:val="98"/>
              </w:rPr>
              <w:t>Applicable Margin</w:t>
            </w:r>
          </w:p>
        </w:tc>
        <w:tc>
          <w:tcPr>
            <w:tcW w:w="220" w:type="dxa"/>
            <w:vAlign w:val="bottom"/>
          </w:tcPr>
          <w:p>
            <w:pPr>
              <w:spacing w:after="0"/>
              <w:rPr>
                <w:sz w:val="19"/>
                <w:szCs w:val="19"/>
                <w:color w:val="auto"/>
              </w:rPr>
            </w:pPr>
          </w:p>
        </w:tc>
        <w:tc>
          <w:tcPr>
            <w:tcW w:w="1100" w:type="dxa"/>
            <w:vAlign w:val="bottom"/>
            <w:gridSpan w:val="4"/>
          </w:tcPr>
          <w:p>
            <w:pPr>
              <w:jc w:val="center"/>
              <w:ind w:right="240"/>
              <w:spacing w:after="0"/>
              <w:rPr>
                <w:sz w:val="20"/>
                <w:szCs w:val="20"/>
                <w:color w:val="auto"/>
              </w:rPr>
            </w:pPr>
            <w:r>
              <w:rPr>
                <w:rFonts w:ascii="Times New Roman" w:cs="Times New Roman" w:eastAsia="Times New Roman" w:hAnsi="Times New Roman"/>
                <w:sz w:val="20"/>
                <w:szCs w:val="20"/>
                <w:color w:val="auto"/>
                <w:w w:val="97"/>
              </w:rPr>
              <w:t>Applicable</w:t>
            </w:r>
          </w:p>
        </w:tc>
        <w:tc>
          <w:tcPr>
            <w:tcW w:w="0" w:type="dxa"/>
            <w:vAlign w:val="bottom"/>
          </w:tcPr>
          <w:p>
            <w:pPr>
              <w:spacing w:after="0"/>
              <w:rPr>
                <w:sz w:val="1"/>
                <w:szCs w:val="1"/>
                <w:color w:val="auto"/>
              </w:rPr>
            </w:pPr>
          </w:p>
        </w:tc>
      </w:tr>
      <w:tr>
        <w:trPr>
          <w:trHeight w:val="20"/>
        </w:trPr>
        <w:tc>
          <w:tcPr>
            <w:tcW w:w="1620" w:type="dxa"/>
            <w:vAlign w:val="bottom"/>
          </w:tcPr>
          <w:p>
            <w:pPr>
              <w:spacing w:after="0" w:line="20" w:lineRule="exact"/>
              <w:rPr>
                <w:sz w:val="1"/>
                <w:szCs w:val="1"/>
                <w:color w:val="auto"/>
              </w:rPr>
            </w:pPr>
          </w:p>
        </w:tc>
        <w:tc>
          <w:tcPr>
            <w:tcW w:w="2020" w:type="dxa"/>
            <w:vAlign w:val="bottom"/>
            <w:gridSpan w:val="5"/>
            <w:vMerge w:val="continue"/>
          </w:tcPr>
          <w:p>
            <w:pPr>
              <w:spacing w:after="0" w:line="20" w:lineRule="exact"/>
              <w:rPr>
                <w:sz w:val="1"/>
                <w:szCs w:val="1"/>
                <w:color w:val="auto"/>
              </w:rPr>
            </w:pPr>
          </w:p>
        </w:tc>
        <w:tc>
          <w:tcPr>
            <w:tcW w:w="2320" w:type="dxa"/>
            <w:vAlign w:val="bottom"/>
            <w:gridSpan w:val="5"/>
            <w:vMerge w:val="continu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8"/>
        </w:trPr>
        <w:tc>
          <w:tcPr>
            <w:tcW w:w="1620" w:type="dxa"/>
            <w:vAlign w:val="bottom"/>
            <w:vMerge w:val="restart"/>
          </w:tcPr>
          <w:p>
            <w:pPr>
              <w:jc w:val="center"/>
              <w:ind w:right="1081"/>
              <w:spacing w:after="0" w:line="209" w:lineRule="exact"/>
              <w:rPr>
                <w:sz w:val="20"/>
                <w:szCs w:val="20"/>
                <w:color w:val="auto"/>
              </w:rPr>
            </w:pPr>
            <w:r>
              <w:rPr>
                <w:rFonts w:ascii="Times New Roman" w:cs="Times New Roman" w:eastAsia="Times New Roman" w:hAnsi="Times New Roman"/>
                <w:sz w:val="20"/>
                <w:szCs w:val="20"/>
                <w:color w:val="auto"/>
                <w:w w:val="96"/>
              </w:rPr>
              <w:t>Level</w:t>
            </w:r>
          </w:p>
        </w:tc>
        <w:tc>
          <w:tcPr>
            <w:tcW w:w="2020" w:type="dxa"/>
            <w:vAlign w:val="bottom"/>
            <w:gridSpan w:val="5"/>
            <w:vMerge w:val="continue"/>
          </w:tcPr>
          <w:p>
            <w:pPr>
              <w:spacing w:after="0"/>
              <w:rPr>
                <w:sz w:val="7"/>
                <w:szCs w:val="7"/>
                <w:color w:val="auto"/>
              </w:rPr>
            </w:pPr>
          </w:p>
        </w:tc>
        <w:tc>
          <w:tcPr>
            <w:tcW w:w="2320" w:type="dxa"/>
            <w:vAlign w:val="bottom"/>
            <w:gridSpan w:val="5"/>
            <w:vMerge w:val="continue"/>
          </w:tcPr>
          <w:p>
            <w:pPr>
              <w:spacing w:after="0"/>
              <w:rPr>
                <w:sz w:val="7"/>
                <w:szCs w:val="7"/>
                <w:color w:val="auto"/>
              </w:rPr>
            </w:pPr>
          </w:p>
        </w:tc>
        <w:tc>
          <w:tcPr>
            <w:tcW w:w="1320" w:type="dxa"/>
            <w:vAlign w:val="bottom"/>
            <w:gridSpan w:val="5"/>
            <w:vMerge w:val="restart"/>
          </w:tcPr>
          <w:p>
            <w:pPr>
              <w:jc w:val="center"/>
              <w:spacing w:after="0" w:line="209" w:lineRule="exact"/>
              <w:rPr>
                <w:sz w:val="20"/>
                <w:szCs w:val="20"/>
                <w:color w:val="auto"/>
              </w:rPr>
            </w:pPr>
            <w:r>
              <w:rPr>
                <w:rFonts w:ascii="Times New Roman" w:cs="Times New Roman" w:eastAsia="Times New Roman" w:hAnsi="Times New Roman"/>
                <w:sz w:val="20"/>
                <w:szCs w:val="20"/>
                <w:color w:val="auto"/>
                <w:w w:val="98"/>
              </w:rPr>
              <w:t>Margin for ABR</w:t>
            </w:r>
          </w:p>
        </w:tc>
        <w:tc>
          <w:tcPr>
            <w:tcW w:w="0" w:type="dxa"/>
            <w:vAlign w:val="bottom"/>
          </w:tcPr>
          <w:p>
            <w:pPr>
              <w:spacing w:after="0"/>
              <w:rPr>
                <w:sz w:val="1"/>
                <w:szCs w:val="1"/>
                <w:color w:val="auto"/>
              </w:rPr>
            </w:pPr>
          </w:p>
        </w:tc>
      </w:tr>
      <w:tr>
        <w:trPr>
          <w:trHeight w:val="20"/>
        </w:trPr>
        <w:tc>
          <w:tcPr>
            <w:tcW w:w="1620" w:type="dxa"/>
            <w:vAlign w:val="bottom"/>
            <w:vMerge w:val="continue"/>
          </w:tcPr>
          <w:p>
            <w:pPr>
              <w:spacing w:after="0" w:line="20" w:lineRule="exact"/>
              <w:rPr>
                <w:sz w:val="1"/>
                <w:szCs w:val="1"/>
                <w:color w:val="auto"/>
              </w:rPr>
            </w:pPr>
          </w:p>
        </w:tc>
        <w:tc>
          <w:tcPr>
            <w:tcW w:w="320" w:type="dxa"/>
            <w:vAlign w:val="bottom"/>
            <w:tcBorders>
              <w:right w:val="single" w:sz="8" w:color="auto"/>
            </w:tcBorders>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320" w:type="dxa"/>
            <w:vAlign w:val="bottom"/>
            <w:gridSpan w:val="5"/>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6"/>
        </w:trPr>
        <w:tc>
          <w:tcPr>
            <w:tcW w:w="1620" w:type="dxa"/>
            <w:vAlign w:val="bottom"/>
            <w:vMerge w:val="continue"/>
          </w:tcPr>
          <w:p>
            <w:pPr>
              <w:spacing w:after="0"/>
              <w:rPr>
                <w:sz w:val="8"/>
                <w:szCs w:val="8"/>
                <w:color w:val="auto"/>
              </w:rPr>
            </w:pPr>
          </w:p>
        </w:tc>
        <w:tc>
          <w:tcPr>
            <w:tcW w:w="2020" w:type="dxa"/>
            <w:vAlign w:val="bottom"/>
            <w:gridSpan w:val="5"/>
            <w:vMerge w:val="restart"/>
          </w:tcPr>
          <w:p>
            <w:pPr>
              <w:jc w:val="center"/>
              <w:ind w:right="460"/>
              <w:spacing w:after="0" w:line="209" w:lineRule="exact"/>
              <w:rPr>
                <w:sz w:val="20"/>
                <w:szCs w:val="20"/>
                <w:color w:val="auto"/>
              </w:rPr>
            </w:pPr>
            <w:r>
              <w:rPr>
                <w:rFonts w:ascii="Times New Roman" w:cs="Times New Roman" w:eastAsia="Times New Roman" w:hAnsi="Times New Roman"/>
                <w:sz w:val="20"/>
                <w:szCs w:val="20"/>
                <w:color w:val="auto"/>
                <w:w w:val="99"/>
              </w:rPr>
              <w:t>Net Leverage Ratio</w:t>
            </w:r>
          </w:p>
        </w:tc>
        <w:tc>
          <w:tcPr>
            <w:tcW w:w="480" w:type="dxa"/>
            <w:vAlign w:val="bottom"/>
          </w:tcPr>
          <w:p>
            <w:pPr>
              <w:spacing w:after="0"/>
              <w:rPr>
                <w:sz w:val="8"/>
                <w:szCs w:val="8"/>
                <w:color w:val="auto"/>
              </w:rPr>
            </w:pPr>
          </w:p>
        </w:tc>
        <w:tc>
          <w:tcPr>
            <w:tcW w:w="1840" w:type="dxa"/>
            <w:vAlign w:val="bottom"/>
            <w:gridSpan w:val="4"/>
            <w:vMerge w:val="restart"/>
          </w:tcPr>
          <w:p>
            <w:pPr>
              <w:jc w:val="center"/>
              <w:ind w:right="340"/>
              <w:spacing w:after="0" w:line="209" w:lineRule="exact"/>
              <w:rPr>
                <w:sz w:val="20"/>
                <w:szCs w:val="20"/>
                <w:color w:val="auto"/>
              </w:rPr>
            </w:pPr>
            <w:r>
              <w:rPr>
                <w:rFonts w:ascii="Times New Roman" w:cs="Times New Roman" w:eastAsia="Times New Roman" w:hAnsi="Times New Roman"/>
                <w:sz w:val="20"/>
                <w:szCs w:val="20"/>
                <w:color w:val="auto"/>
                <w:w w:val="98"/>
              </w:rPr>
              <w:t>for SOFR Loans</w:t>
            </w:r>
          </w:p>
        </w:tc>
        <w:tc>
          <w:tcPr>
            <w:tcW w:w="1320" w:type="dxa"/>
            <w:vAlign w:val="bottom"/>
            <w:tcBorders>
              <w:bottom w:val="single" w:sz="8" w:color="auto"/>
            </w:tcBorders>
            <w:gridSpan w:val="5"/>
            <w:vMerge w:val="continue"/>
          </w:tcPr>
          <w:p>
            <w:pPr>
              <w:spacing w:after="0"/>
              <w:rPr>
                <w:sz w:val="8"/>
                <w:szCs w:val="8"/>
                <w:color w:val="auto"/>
              </w:rPr>
            </w:pPr>
          </w:p>
        </w:tc>
        <w:tc>
          <w:tcPr>
            <w:tcW w:w="0" w:type="dxa"/>
            <w:vAlign w:val="bottom"/>
          </w:tcPr>
          <w:p>
            <w:pPr>
              <w:spacing w:after="0"/>
              <w:rPr>
                <w:sz w:val="1"/>
                <w:szCs w:val="1"/>
                <w:color w:val="auto"/>
              </w:rPr>
            </w:pPr>
          </w:p>
        </w:tc>
      </w:tr>
      <w:tr>
        <w:trPr>
          <w:trHeight w:val="88"/>
        </w:trPr>
        <w:tc>
          <w:tcPr>
            <w:tcW w:w="1620" w:type="dxa"/>
            <w:vAlign w:val="bottom"/>
            <w:vMerge w:val="restart"/>
          </w:tcPr>
          <w:p>
            <w:pPr>
              <w:jc w:val="center"/>
              <w:ind w:right="1101"/>
              <w:spacing w:after="0"/>
              <w:rPr>
                <w:sz w:val="20"/>
                <w:szCs w:val="20"/>
                <w:color w:val="auto"/>
              </w:rPr>
            </w:pPr>
            <w:r>
              <w:rPr>
                <w:rFonts w:ascii="Times New Roman" w:cs="Times New Roman" w:eastAsia="Times New Roman" w:hAnsi="Times New Roman"/>
                <w:sz w:val="20"/>
                <w:szCs w:val="20"/>
                <w:color w:val="auto"/>
                <w:w w:val="89"/>
              </w:rPr>
              <w:t>I</w:t>
            </w:r>
          </w:p>
        </w:tc>
        <w:tc>
          <w:tcPr>
            <w:tcW w:w="2020" w:type="dxa"/>
            <w:vAlign w:val="bottom"/>
            <w:gridSpan w:val="5"/>
            <w:vMerge w:val="continue"/>
          </w:tcPr>
          <w:p>
            <w:pPr>
              <w:spacing w:after="0"/>
              <w:rPr>
                <w:sz w:val="7"/>
                <w:szCs w:val="7"/>
                <w:color w:val="auto"/>
              </w:rPr>
            </w:pPr>
          </w:p>
        </w:tc>
        <w:tc>
          <w:tcPr>
            <w:tcW w:w="480" w:type="dxa"/>
            <w:vAlign w:val="bottom"/>
          </w:tcPr>
          <w:p>
            <w:pPr>
              <w:spacing w:after="0"/>
              <w:rPr>
                <w:sz w:val="7"/>
                <w:szCs w:val="7"/>
                <w:color w:val="auto"/>
              </w:rPr>
            </w:pPr>
          </w:p>
        </w:tc>
        <w:tc>
          <w:tcPr>
            <w:tcW w:w="1840" w:type="dxa"/>
            <w:vAlign w:val="bottom"/>
            <w:gridSpan w:val="4"/>
            <w:vMerge w:val="continue"/>
          </w:tcPr>
          <w:p>
            <w:pPr>
              <w:spacing w:after="0"/>
              <w:rPr>
                <w:sz w:val="7"/>
                <w:szCs w:val="7"/>
                <w:color w:val="auto"/>
              </w:rPr>
            </w:pPr>
          </w:p>
        </w:tc>
        <w:tc>
          <w:tcPr>
            <w:tcW w:w="220" w:type="dxa"/>
            <w:vAlign w:val="bottom"/>
          </w:tcPr>
          <w:p>
            <w:pPr>
              <w:spacing w:after="0"/>
              <w:rPr>
                <w:sz w:val="7"/>
                <w:szCs w:val="7"/>
                <w:color w:val="auto"/>
              </w:rPr>
            </w:pPr>
          </w:p>
        </w:tc>
        <w:tc>
          <w:tcPr>
            <w:tcW w:w="200" w:type="dxa"/>
            <w:vAlign w:val="bottom"/>
          </w:tcPr>
          <w:p>
            <w:pPr>
              <w:spacing w:after="0"/>
              <w:rPr>
                <w:sz w:val="7"/>
                <w:szCs w:val="7"/>
                <w:color w:val="auto"/>
              </w:rPr>
            </w:pPr>
          </w:p>
        </w:tc>
        <w:tc>
          <w:tcPr>
            <w:tcW w:w="480" w:type="dxa"/>
            <w:vAlign w:val="bottom"/>
            <w:vMerge w:val="restart"/>
          </w:tcPr>
          <w:p>
            <w:pPr>
              <w:jc w:val="center"/>
              <w:spacing w:after="0" w:line="209" w:lineRule="exact"/>
              <w:rPr>
                <w:sz w:val="20"/>
                <w:szCs w:val="20"/>
                <w:color w:val="auto"/>
              </w:rPr>
            </w:pPr>
            <w:r>
              <w:rPr>
                <w:rFonts w:ascii="Times New Roman" w:cs="Times New Roman" w:eastAsia="Times New Roman" w:hAnsi="Times New Roman"/>
                <w:sz w:val="20"/>
                <w:szCs w:val="20"/>
                <w:color w:val="auto"/>
                <w:w w:val="98"/>
              </w:rPr>
              <w:t>Loans</w:t>
            </w:r>
          </w:p>
        </w:tc>
        <w:tc>
          <w:tcPr>
            <w:tcW w:w="420" w:type="dxa"/>
            <w:vAlign w:val="bottom"/>
            <w:gridSpan w:val="2"/>
            <w:vMerge w:val="restart"/>
          </w:tcPr>
          <w:p>
            <w:pPr>
              <w:spacing w:after="0"/>
              <w:rPr>
                <w:sz w:val="7"/>
                <w:szCs w:val="7"/>
                <w:color w:val="auto"/>
              </w:rPr>
            </w:pPr>
          </w:p>
        </w:tc>
        <w:tc>
          <w:tcPr>
            <w:tcW w:w="0" w:type="dxa"/>
            <w:vAlign w:val="bottom"/>
          </w:tcPr>
          <w:p>
            <w:pPr>
              <w:spacing w:after="0"/>
              <w:rPr>
                <w:sz w:val="1"/>
                <w:szCs w:val="1"/>
                <w:color w:val="auto"/>
              </w:rPr>
            </w:pPr>
          </w:p>
        </w:tc>
      </w:tr>
      <w:tr>
        <w:trPr>
          <w:trHeight w:val="107"/>
        </w:trPr>
        <w:tc>
          <w:tcPr>
            <w:tcW w:w="1620" w:type="dxa"/>
            <w:vAlign w:val="bottom"/>
            <w:vMerge w:val="continue"/>
          </w:tcPr>
          <w:p>
            <w:pPr>
              <w:spacing w:after="0"/>
              <w:rPr>
                <w:sz w:val="8"/>
                <w:szCs w:val="8"/>
                <w:color w:val="auto"/>
              </w:rPr>
            </w:pPr>
          </w:p>
        </w:tc>
        <w:tc>
          <w:tcPr>
            <w:tcW w:w="320" w:type="dxa"/>
            <w:vAlign w:val="bottom"/>
            <w:tcBorders>
              <w:top w:val="single" w:sz="8" w:color="auto"/>
            </w:tcBorders>
          </w:tcPr>
          <w:p>
            <w:pPr>
              <w:spacing w:after="0"/>
              <w:rPr>
                <w:sz w:val="8"/>
                <w:szCs w:val="8"/>
                <w:color w:val="auto"/>
              </w:rPr>
            </w:pPr>
          </w:p>
        </w:tc>
        <w:tc>
          <w:tcPr>
            <w:tcW w:w="120" w:type="dxa"/>
            <w:vAlign w:val="bottom"/>
            <w:tcBorders>
              <w:top w:val="single" w:sz="8" w:color="auto"/>
            </w:tcBorders>
          </w:tcPr>
          <w:p>
            <w:pPr>
              <w:spacing w:after="0"/>
              <w:rPr>
                <w:sz w:val="8"/>
                <w:szCs w:val="8"/>
                <w:color w:val="auto"/>
              </w:rPr>
            </w:pPr>
          </w:p>
        </w:tc>
        <w:tc>
          <w:tcPr>
            <w:tcW w:w="860" w:type="dxa"/>
            <w:vAlign w:val="bottom"/>
            <w:tcBorders>
              <w:top w:val="single" w:sz="8" w:color="auto"/>
            </w:tcBorders>
          </w:tcPr>
          <w:p>
            <w:pPr>
              <w:spacing w:after="0"/>
              <w:rPr>
                <w:sz w:val="8"/>
                <w:szCs w:val="8"/>
                <w:color w:val="auto"/>
              </w:rPr>
            </w:pPr>
          </w:p>
        </w:tc>
        <w:tc>
          <w:tcPr>
            <w:tcW w:w="260" w:type="dxa"/>
            <w:vAlign w:val="bottom"/>
            <w:tcBorders>
              <w:top w:val="single" w:sz="8" w:color="auto"/>
            </w:tcBorders>
          </w:tcPr>
          <w:p>
            <w:pPr>
              <w:spacing w:after="0"/>
              <w:rPr>
                <w:sz w:val="8"/>
                <w:szCs w:val="8"/>
                <w:color w:val="auto"/>
              </w:rPr>
            </w:pPr>
          </w:p>
        </w:tc>
        <w:tc>
          <w:tcPr>
            <w:tcW w:w="460" w:type="dxa"/>
            <w:vAlign w:val="bottom"/>
          </w:tcPr>
          <w:p>
            <w:pPr>
              <w:spacing w:after="0"/>
              <w:rPr>
                <w:sz w:val="8"/>
                <w:szCs w:val="8"/>
                <w:color w:val="auto"/>
              </w:rPr>
            </w:pPr>
          </w:p>
        </w:tc>
        <w:tc>
          <w:tcPr>
            <w:tcW w:w="480" w:type="dxa"/>
            <w:vAlign w:val="bottom"/>
          </w:tcPr>
          <w:p>
            <w:pPr>
              <w:spacing w:after="0"/>
              <w:rPr>
                <w:sz w:val="8"/>
                <w:szCs w:val="8"/>
                <w:color w:val="auto"/>
              </w:rPr>
            </w:pPr>
          </w:p>
        </w:tc>
        <w:tc>
          <w:tcPr>
            <w:tcW w:w="100" w:type="dxa"/>
            <w:vAlign w:val="bottom"/>
          </w:tcPr>
          <w:p>
            <w:pPr>
              <w:spacing w:after="0"/>
              <w:rPr>
                <w:sz w:val="8"/>
                <w:szCs w:val="8"/>
                <w:color w:val="auto"/>
              </w:rPr>
            </w:pPr>
          </w:p>
        </w:tc>
        <w:tc>
          <w:tcPr>
            <w:tcW w:w="1300" w:type="dxa"/>
            <w:vAlign w:val="bottom"/>
            <w:tcBorders>
              <w:top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340" w:type="dxa"/>
            <w:vAlign w:val="bottom"/>
          </w:tcPr>
          <w:p>
            <w:pPr>
              <w:spacing w:after="0"/>
              <w:rPr>
                <w:sz w:val="8"/>
                <w:szCs w:val="8"/>
                <w:color w:val="auto"/>
              </w:rPr>
            </w:pPr>
          </w:p>
        </w:tc>
        <w:tc>
          <w:tcPr>
            <w:tcW w:w="220" w:type="dxa"/>
            <w:vAlign w:val="bottom"/>
          </w:tcPr>
          <w:p>
            <w:pPr>
              <w:spacing w:after="0"/>
              <w:rPr>
                <w:sz w:val="8"/>
                <w:szCs w:val="8"/>
                <w:color w:val="auto"/>
              </w:rPr>
            </w:pPr>
          </w:p>
        </w:tc>
        <w:tc>
          <w:tcPr>
            <w:tcW w:w="200" w:type="dxa"/>
            <w:vAlign w:val="bottom"/>
          </w:tcPr>
          <w:p>
            <w:pPr>
              <w:spacing w:after="0"/>
              <w:rPr>
                <w:sz w:val="8"/>
                <w:szCs w:val="8"/>
                <w:color w:val="auto"/>
              </w:rPr>
            </w:pPr>
          </w:p>
        </w:tc>
        <w:tc>
          <w:tcPr>
            <w:tcW w:w="480" w:type="dxa"/>
            <w:vAlign w:val="bottom"/>
            <w:tcBorders>
              <w:bottom w:val="single" w:sz="8" w:color="auto"/>
            </w:tcBorders>
            <w:vMerge w:val="continue"/>
          </w:tcPr>
          <w:p>
            <w:pPr>
              <w:spacing w:after="0"/>
              <w:rPr>
                <w:sz w:val="8"/>
                <w:szCs w:val="8"/>
                <w:color w:val="auto"/>
              </w:rPr>
            </w:pPr>
          </w:p>
        </w:tc>
        <w:tc>
          <w:tcPr>
            <w:tcW w:w="420" w:type="dxa"/>
            <w:vAlign w:val="bottom"/>
            <w:gridSpan w:val="2"/>
            <w:vMerge w:val="continue"/>
          </w:tcPr>
          <w:p>
            <w:pPr>
              <w:spacing w:after="0"/>
              <w:rPr>
                <w:sz w:val="8"/>
                <w:szCs w:val="8"/>
                <w:color w:val="auto"/>
              </w:rPr>
            </w:pPr>
          </w:p>
        </w:tc>
        <w:tc>
          <w:tcPr>
            <w:tcW w:w="0" w:type="dxa"/>
            <w:vAlign w:val="bottom"/>
          </w:tcPr>
          <w:p>
            <w:pPr>
              <w:spacing w:after="0"/>
              <w:rPr>
                <w:sz w:val="1"/>
                <w:szCs w:val="1"/>
                <w:color w:val="auto"/>
              </w:rPr>
            </w:pPr>
          </w:p>
        </w:tc>
      </w:tr>
      <w:tr>
        <w:trPr>
          <w:trHeight w:val="358"/>
        </w:trPr>
        <w:tc>
          <w:tcPr>
            <w:tcW w:w="1620" w:type="dxa"/>
            <w:vAlign w:val="bottom"/>
            <w:vMerge w:val="continue"/>
          </w:tcPr>
          <w:p>
            <w:pPr>
              <w:spacing w:after="0"/>
              <w:rPr>
                <w:sz w:val="24"/>
                <w:szCs w:val="24"/>
                <w:color w:val="auto"/>
              </w:rPr>
            </w:pPr>
          </w:p>
        </w:tc>
        <w:tc>
          <w:tcPr>
            <w:tcW w:w="320" w:type="dxa"/>
            <w:vAlign w:val="bottom"/>
          </w:tcPr>
          <w:p>
            <w:pPr>
              <w:spacing w:after="0"/>
              <w:rPr>
                <w:sz w:val="24"/>
                <w:szCs w:val="24"/>
                <w:color w:val="auto"/>
              </w:rPr>
            </w:pPr>
          </w:p>
        </w:tc>
        <w:tc>
          <w:tcPr>
            <w:tcW w:w="980" w:type="dxa"/>
            <w:vAlign w:val="bottom"/>
            <w:gridSpan w:val="2"/>
          </w:tcPr>
          <w:p>
            <w:pPr>
              <w:jc w:val="center"/>
              <w:spacing w:after="0"/>
              <w:rPr>
                <w:sz w:val="20"/>
                <w:szCs w:val="20"/>
                <w:color w:val="auto"/>
              </w:rPr>
            </w:pPr>
            <w:r>
              <w:rPr>
                <w:rFonts w:ascii="Times New Roman" w:cs="Times New Roman" w:eastAsia="Times New Roman" w:hAnsi="Times New Roman"/>
                <w:sz w:val="20"/>
                <w:szCs w:val="20"/>
                <w:color w:val="auto"/>
              </w:rPr>
              <w:t>&gt; 2.40:1.00</w:t>
            </w:r>
          </w:p>
        </w:tc>
        <w:tc>
          <w:tcPr>
            <w:tcW w:w="2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880" w:type="dxa"/>
            <w:vAlign w:val="bottom"/>
            <w:gridSpan w:val="3"/>
          </w:tcPr>
          <w:p>
            <w:pPr>
              <w:jc w:val="center"/>
              <w:ind w:left="481"/>
              <w:spacing w:after="0"/>
              <w:rPr>
                <w:sz w:val="20"/>
                <w:szCs w:val="20"/>
                <w:color w:val="auto"/>
              </w:rPr>
            </w:pPr>
            <w:r>
              <w:rPr>
                <w:rFonts w:ascii="Times New Roman" w:cs="Times New Roman" w:eastAsia="Times New Roman" w:hAnsi="Times New Roman"/>
                <w:sz w:val="20"/>
                <w:szCs w:val="20"/>
                <w:color w:val="auto"/>
                <w:w w:val="96"/>
              </w:rPr>
              <w:t>6.25%</w:t>
            </w: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80" w:type="dxa"/>
            <w:vAlign w:val="bottom"/>
            <w:gridSpan w:val="4"/>
          </w:tcPr>
          <w:p>
            <w:pPr>
              <w:jc w:val="center"/>
              <w:ind w:left="141"/>
              <w:spacing w:after="0"/>
              <w:rPr>
                <w:sz w:val="20"/>
                <w:szCs w:val="20"/>
                <w:color w:val="auto"/>
              </w:rPr>
            </w:pPr>
            <w:r>
              <w:rPr>
                <w:rFonts w:ascii="Times New Roman" w:cs="Times New Roman" w:eastAsia="Times New Roman" w:hAnsi="Times New Roman"/>
                <w:sz w:val="20"/>
                <w:szCs w:val="20"/>
                <w:color w:val="auto"/>
              </w:rPr>
              <w:t>5.25%</w:t>
            </w:r>
          </w:p>
        </w:tc>
        <w:tc>
          <w:tcPr>
            <w:tcW w:w="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6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1"/>
        </w:trPr>
        <w:tc>
          <w:tcPr>
            <w:tcW w:w="1620" w:type="dxa"/>
            <w:vAlign w:val="bottom"/>
          </w:tcPr>
          <w:p>
            <w:pPr>
              <w:jc w:val="center"/>
              <w:ind w:right="1081"/>
              <w:spacing w:after="0"/>
              <w:rPr>
                <w:sz w:val="20"/>
                <w:szCs w:val="20"/>
                <w:color w:val="auto"/>
              </w:rPr>
            </w:pPr>
            <w:r>
              <w:rPr>
                <w:rFonts w:ascii="Times New Roman" w:cs="Times New Roman" w:eastAsia="Times New Roman" w:hAnsi="Times New Roman"/>
                <w:sz w:val="20"/>
                <w:szCs w:val="20"/>
                <w:color w:val="auto"/>
                <w:w w:val="89"/>
              </w:rPr>
              <w:t>II</w:t>
            </w:r>
          </w:p>
        </w:tc>
        <w:tc>
          <w:tcPr>
            <w:tcW w:w="320" w:type="dxa"/>
            <w:vAlign w:val="bottom"/>
          </w:tcPr>
          <w:p>
            <w:pPr>
              <w:spacing w:after="0"/>
              <w:rPr>
                <w:sz w:val="24"/>
                <w:szCs w:val="24"/>
                <w:color w:val="auto"/>
              </w:rPr>
            </w:pPr>
          </w:p>
        </w:tc>
        <w:tc>
          <w:tcPr>
            <w:tcW w:w="980" w:type="dxa"/>
            <w:vAlign w:val="bottom"/>
            <w:gridSpan w:val="2"/>
          </w:tcPr>
          <w:p>
            <w:pPr>
              <w:jc w:val="center"/>
              <w:spacing w:after="0"/>
              <w:rPr>
                <w:sz w:val="20"/>
                <w:szCs w:val="20"/>
                <w:color w:val="auto"/>
              </w:rPr>
            </w:pPr>
            <w:r>
              <w:rPr>
                <w:rFonts w:ascii="Times New Roman" w:cs="Times New Roman" w:eastAsia="Times New Roman" w:hAnsi="Times New Roman"/>
                <w:sz w:val="20"/>
                <w:szCs w:val="20"/>
                <w:color w:val="auto"/>
              </w:rPr>
              <w:t>&lt; 2.40:1.00</w:t>
            </w:r>
          </w:p>
        </w:tc>
        <w:tc>
          <w:tcPr>
            <w:tcW w:w="2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16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80" w:type="dxa"/>
            <w:vAlign w:val="bottom"/>
            <w:gridSpan w:val="3"/>
          </w:tcPr>
          <w:p>
            <w:pPr>
              <w:jc w:val="center"/>
              <w:ind w:right="900"/>
              <w:spacing w:after="0"/>
              <w:rPr>
                <w:sz w:val="20"/>
                <w:szCs w:val="20"/>
                <w:color w:val="auto"/>
              </w:rPr>
            </w:pPr>
            <w:r>
              <w:rPr>
                <w:rFonts w:ascii="Times New Roman" w:cs="Times New Roman" w:eastAsia="Times New Roman" w:hAnsi="Times New Roman"/>
                <w:sz w:val="20"/>
                <w:szCs w:val="20"/>
                <w:color w:val="auto"/>
                <w:w w:val="96"/>
              </w:rPr>
              <w:t>and</w:t>
            </w:r>
          </w:p>
        </w:tc>
        <w:tc>
          <w:tcPr>
            <w:tcW w:w="1880" w:type="dxa"/>
            <w:vAlign w:val="bottom"/>
            <w:gridSpan w:val="3"/>
          </w:tcPr>
          <w:p>
            <w:pPr>
              <w:jc w:val="center"/>
              <w:ind w:left="481"/>
              <w:spacing w:after="0"/>
              <w:rPr>
                <w:sz w:val="20"/>
                <w:szCs w:val="20"/>
                <w:color w:val="auto"/>
              </w:rPr>
            </w:pPr>
            <w:r>
              <w:rPr>
                <w:rFonts w:ascii="Times New Roman" w:cs="Times New Roman" w:eastAsia="Times New Roman" w:hAnsi="Times New Roman"/>
                <w:sz w:val="20"/>
                <w:szCs w:val="20"/>
                <w:color w:val="auto"/>
                <w:w w:val="96"/>
              </w:rPr>
              <w:t>6.00%</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gridSpan w:val="4"/>
          </w:tcPr>
          <w:p>
            <w:pPr>
              <w:jc w:val="center"/>
              <w:ind w:left="141"/>
              <w:spacing w:after="0"/>
              <w:rPr>
                <w:sz w:val="20"/>
                <w:szCs w:val="20"/>
                <w:color w:val="auto"/>
              </w:rPr>
            </w:pPr>
            <w:r>
              <w:rPr>
                <w:rFonts w:ascii="Times New Roman" w:cs="Times New Roman" w:eastAsia="Times New Roman" w:hAnsi="Times New Roman"/>
                <w:sz w:val="20"/>
                <w:szCs w:val="20"/>
                <w:color w:val="auto"/>
              </w:rPr>
              <w:t>5.00%</w:t>
            </w:r>
          </w:p>
        </w:tc>
        <w:tc>
          <w:tcPr>
            <w:tcW w:w="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8"/>
        </w:trPr>
        <w:tc>
          <w:tcPr>
            <w:tcW w:w="1620" w:type="dxa"/>
            <w:vAlign w:val="bottom"/>
            <w:vMerge w:val="restart"/>
          </w:tcPr>
          <w:p>
            <w:pPr>
              <w:jc w:val="center"/>
              <w:ind w:right="1081"/>
              <w:spacing w:after="0"/>
              <w:rPr>
                <w:sz w:val="20"/>
                <w:szCs w:val="20"/>
                <w:color w:val="auto"/>
              </w:rPr>
            </w:pPr>
            <w:r>
              <w:rPr>
                <w:rFonts w:ascii="Times New Roman" w:cs="Times New Roman" w:eastAsia="Times New Roman" w:hAnsi="Times New Roman"/>
                <w:sz w:val="20"/>
                <w:szCs w:val="20"/>
                <w:color w:val="auto"/>
                <w:w w:val="99"/>
              </w:rPr>
              <w:t>III</w:t>
            </w:r>
          </w:p>
        </w:tc>
        <w:tc>
          <w:tcPr>
            <w:tcW w:w="320" w:type="dxa"/>
            <w:vAlign w:val="bottom"/>
          </w:tcPr>
          <w:p>
            <w:pPr>
              <w:spacing w:after="0"/>
              <w:rPr>
                <w:sz w:val="22"/>
                <w:szCs w:val="22"/>
                <w:color w:val="auto"/>
              </w:rPr>
            </w:pPr>
          </w:p>
        </w:tc>
        <w:tc>
          <w:tcPr>
            <w:tcW w:w="1700" w:type="dxa"/>
            <w:vAlign w:val="bottom"/>
            <w:gridSpan w:val="4"/>
          </w:tcPr>
          <w:p>
            <w:pPr>
              <w:jc w:val="center"/>
              <w:ind w:right="800"/>
              <w:spacing w:after="0"/>
              <w:rPr>
                <w:sz w:val="20"/>
                <w:szCs w:val="20"/>
                <w:color w:val="auto"/>
              </w:rPr>
            </w:pPr>
            <w:r>
              <w:rPr>
                <w:rFonts w:ascii="Times New Roman" w:cs="Times New Roman" w:eastAsia="Times New Roman" w:hAnsi="Times New Roman"/>
                <w:sz w:val="20"/>
                <w:szCs w:val="20"/>
                <w:color w:val="auto"/>
                <w:w w:val="99"/>
              </w:rPr>
              <w:t>≥1.90:1.00</w:t>
            </w:r>
          </w:p>
        </w:tc>
        <w:tc>
          <w:tcPr>
            <w:tcW w:w="4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3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0"/>
        </w:trPr>
        <w:tc>
          <w:tcPr>
            <w:tcW w:w="1620" w:type="dxa"/>
            <w:vAlign w:val="bottom"/>
            <w:vMerge w:val="continue"/>
          </w:tcPr>
          <w:p>
            <w:pPr>
              <w:spacing w:after="0"/>
              <w:rPr>
                <w:sz w:val="23"/>
                <w:szCs w:val="23"/>
                <w:color w:val="auto"/>
              </w:rPr>
            </w:pPr>
          </w:p>
        </w:tc>
        <w:tc>
          <w:tcPr>
            <w:tcW w:w="1300" w:type="dxa"/>
            <w:vAlign w:val="bottom"/>
            <w:gridSpan w:val="3"/>
          </w:tcPr>
          <w:p>
            <w:pPr>
              <w:jc w:val="center"/>
              <w:ind w:left="161"/>
              <w:spacing w:after="0"/>
              <w:rPr>
                <w:sz w:val="20"/>
                <w:szCs w:val="20"/>
                <w:color w:val="auto"/>
              </w:rPr>
            </w:pPr>
            <w:r>
              <w:rPr>
                <w:rFonts w:ascii="Times New Roman" w:cs="Times New Roman" w:eastAsia="Times New Roman" w:hAnsi="Times New Roman"/>
                <w:sz w:val="20"/>
                <w:szCs w:val="20"/>
                <w:color w:val="auto"/>
              </w:rPr>
              <w:t>&lt; 1.90:1.00</w:t>
            </w:r>
          </w:p>
        </w:tc>
        <w:tc>
          <w:tcPr>
            <w:tcW w:w="26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1880" w:type="dxa"/>
            <w:vAlign w:val="bottom"/>
            <w:gridSpan w:val="3"/>
          </w:tcPr>
          <w:p>
            <w:pPr>
              <w:jc w:val="center"/>
              <w:ind w:left="481"/>
              <w:spacing w:after="0"/>
              <w:rPr>
                <w:sz w:val="20"/>
                <w:szCs w:val="20"/>
                <w:color w:val="auto"/>
              </w:rPr>
            </w:pPr>
            <w:r>
              <w:rPr>
                <w:rFonts w:ascii="Times New Roman" w:cs="Times New Roman" w:eastAsia="Times New Roman" w:hAnsi="Times New Roman"/>
                <w:sz w:val="20"/>
                <w:szCs w:val="20"/>
                <w:color w:val="auto"/>
                <w:w w:val="96"/>
              </w:rPr>
              <w:t>5.75%</w:t>
            </w: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080" w:type="dxa"/>
            <w:vAlign w:val="bottom"/>
            <w:gridSpan w:val="4"/>
          </w:tcPr>
          <w:p>
            <w:pPr>
              <w:jc w:val="center"/>
              <w:ind w:left="141"/>
              <w:spacing w:after="0"/>
              <w:rPr>
                <w:sz w:val="20"/>
                <w:szCs w:val="20"/>
                <w:color w:val="auto"/>
              </w:rPr>
            </w:pPr>
            <w:r>
              <w:rPr>
                <w:rFonts w:ascii="Times New Roman" w:cs="Times New Roman" w:eastAsia="Times New Roman" w:hAnsi="Times New Roman"/>
                <w:sz w:val="20"/>
                <w:szCs w:val="20"/>
                <w:color w:val="auto"/>
              </w:rPr>
              <w:t>4.75%</w:t>
            </w:r>
          </w:p>
        </w:tc>
        <w:tc>
          <w:tcPr>
            <w:tcW w:w="240" w:type="dxa"/>
            <w:vAlign w:val="bottom"/>
          </w:tcPr>
          <w:p>
            <w:pPr>
              <w:spacing w:after="0"/>
              <w:rPr>
                <w:sz w:val="23"/>
                <w:szCs w:val="23"/>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67" w:lineRule="exact"/>
        <w:rPr>
          <w:sz w:val="20"/>
          <w:szCs w:val="20"/>
          <w:color w:val="auto"/>
        </w:rPr>
      </w:pPr>
    </w:p>
    <w:p>
      <w:pPr>
        <w:jc w:val="both"/>
        <w:ind w:left="540" w:right="559" w:firstLine="1296"/>
        <w:spacing w:after="0" w:line="256" w:lineRule="auto"/>
        <w:tabs>
          <w:tab w:leader="none" w:pos="2484" w:val="left"/>
        </w:tabs>
        <w:numPr>
          <w:ilvl w:val="0"/>
          <w:numId w:val="14"/>
        </w:numPr>
        <w:rPr>
          <w:rFonts w:ascii="Times New Roman" w:cs="Times New Roman" w:eastAsia="Times New Roman" w:hAnsi="Times New Roman"/>
          <w:sz w:val="20"/>
          <w:szCs w:val="20"/>
          <w:b w:val="1"/>
          <w:bCs w:val="1"/>
          <w:i w:val="1"/>
          <w:iCs w:val="1"/>
          <w:color w:val="auto"/>
        </w:rPr>
      </w:pPr>
      <w:r>
        <w:rPr>
          <w:rFonts w:ascii="Times New Roman" w:cs="Times New Roman" w:eastAsia="Times New Roman" w:hAnsi="Times New Roman"/>
          <w:sz w:val="20"/>
          <w:szCs w:val="20"/>
          <w:b w:val="1"/>
          <w:bCs w:val="1"/>
          <w:i w:val="1"/>
          <w:iCs w:val="1"/>
          <w:color w:val="auto"/>
        </w:rPr>
        <w:t>from and including the day occurring immediately after the 2026 Reporting Date, a rate per annum determined by reference to the Consolidated Net Leverage Ratio in effect from time to time as set forth below:</w:t>
      </w:r>
    </w:p>
    <w:p>
      <w:pPr>
        <w:spacing w:after="0" w:line="154" w:lineRule="exact"/>
        <w:rPr>
          <w:sz w:val="20"/>
          <w:szCs w:val="20"/>
          <w:color w:val="auto"/>
        </w:rPr>
      </w:pPr>
    </w:p>
    <w:tbl>
      <w:tblPr>
        <w:tblLayout w:type="fixed"/>
        <w:tblInd w:w="980" w:type="dxa"/>
        <w:tblCellMar>
          <w:top w:w="0" w:type="dxa"/>
          <w:left w:w="0" w:type="dxa"/>
          <w:bottom w:w="0" w:type="dxa"/>
          <w:right w:w="0" w:type="dxa"/>
        </w:tblCellMar>
      </w:tblPr>
      <w:tr>
        <w:trPr>
          <w:trHeight w:val="230"/>
        </w:trPr>
        <w:tc>
          <w:tcPr>
            <w:tcW w:w="10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40" w:type="dxa"/>
            <w:vAlign w:val="bottom"/>
            <w:vMerge w:val="restart"/>
          </w:tcPr>
          <w:p>
            <w:pPr>
              <w:spacing w:after="0"/>
              <w:rPr>
                <w:sz w:val="19"/>
                <w:szCs w:val="19"/>
                <w:color w:val="auto"/>
              </w:rPr>
            </w:pPr>
          </w:p>
        </w:tc>
        <w:tc>
          <w:tcPr>
            <w:tcW w:w="1780" w:type="dxa"/>
            <w:vAlign w:val="bottom"/>
            <w:gridSpan w:val="5"/>
            <w:vMerge w:val="restart"/>
          </w:tcPr>
          <w:p>
            <w:pPr>
              <w:jc w:val="center"/>
              <w:ind w:right="700"/>
              <w:spacing w:after="0"/>
              <w:rPr>
                <w:sz w:val="20"/>
                <w:szCs w:val="20"/>
                <w:color w:val="auto"/>
              </w:rPr>
            </w:pPr>
            <w:r>
              <w:rPr>
                <w:rFonts w:ascii="Times New Roman" w:cs="Times New Roman" w:eastAsia="Times New Roman" w:hAnsi="Times New Roman"/>
                <w:sz w:val="20"/>
                <w:szCs w:val="20"/>
                <w:b w:val="1"/>
                <w:bCs w:val="1"/>
                <w:i w:val="1"/>
                <w:iCs w:val="1"/>
                <w:color w:val="auto"/>
              </w:rPr>
              <w:t>Consolidated</w:t>
            </w:r>
          </w:p>
        </w:tc>
        <w:tc>
          <w:tcPr>
            <w:tcW w:w="2160" w:type="dxa"/>
            <w:vAlign w:val="bottom"/>
            <w:gridSpan w:val="5"/>
            <w:vMerge w:val="restart"/>
          </w:tcPr>
          <w:p>
            <w:pPr>
              <w:jc w:val="center"/>
              <w:ind w:left="201"/>
              <w:spacing w:after="0"/>
              <w:rPr>
                <w:sz w:val="20"/>
                <w:szCs w:val="20"/>
                <w:color w:val="auto"/>
              </w:rPr>
            </w:pPr>
            <w:r>
              <w:rPr>
                <w:rFonts w:ascii="Times New Roman" w:cs="Times New Roman" w:eastAsia="Times New Roman" w:hAnsi="Times New Roman"/>
                <w:sz w:val="20"/>
                <w:szCs w:val="20"/>
                <w:b w:val="1"/>
                <w:bCs w:val="1"/>
                <w:i w:val="1"/>
                <w:iCs w:val="1"/>
                <w:color w:val="auto"/>
                <w:w w:val="99"/>
              </w:rPr>
              <w:t>Applicable Margin</w:t>
            </w:r>
          </w:p>
        </w:tc>
        <w:tc>
          <w:tcPr>
            <w:tcW w:w="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20" w:type="dxa"/>
            <w:vAlign w:val="bottom"/>
            <w:gridSpan w:val="4"/>
          </w:tcPr>
          <w:p>
            <w:pPr>
              <w:jc w:val="center"/>
              <w:ind w:right="260"/>
              <w:spacing w:after="0"/>
              <w:rPr>
                <w:sz w:val="20"/>
                <w:szCs w:val="20"/>
                <w:color w:val="auto"/>
              </w:rPr>
            </w:pPr>
            <w:r>
              <w:rPr>
                <w:rFonts w:ascii="Times New Roman" w:cs="Times New Roman" w:eastAsia="Times New Roman" w:hAnsi="Times New Roman"/>
                <w:sz w:val="20"/>
                <w:szCs w:val="20"/>
                <w:b w:val="1"/>
                <w:bCs w:val="1"/>
                <w:i w:val="1"/>
                <w:iCs w:val="1"/>
                <w:color w:val="auto"/>
                <w:w w:val="97"/>
              </w:rPr>
              <w:t>Applicable</w:t>
            </w:r>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40" w:type="dxa"/>
            <w:vAlign w:val="bottom"/>
            <w:vMerge w:val="continue"/>
          </w:tcPr>
          <w:p>
            <w:pPr>
              <w:spacing w:after="0" w:line="20" w:lineRule="exact"/>
              <w:rPr>
                <w:sz w:val="1"/>
                <w:szCs w:val="1"/>
                <w:color w:val="auto"/>
              </w:rPr>
            </w:pPr>
          </w:p>
        </w:tc>
        <w:tc>
          <w:tcPr>
            <w:tcW w:w="1780" w:type="dxa"/>
            <w:vAlign w:val="bottom"/>
            <w:gridSpan w:val="5"/>
            <w:vMerge w:val="continue"/>
          </w:tcPr>
          <w:p>
            <w:pPr>
              <w:spacing w:after="0" w:line="20" w:lineRule="exact"/>
              <w:rPr>
                <w:sz w:val="1"/>
                <w:szCs w:val="1"/>
                <w:color w:val="auto"/>
              </w:rPr>
            </w:pPr>
          </w:p>
        </w:tc>
        <w:tc>
          <w:tcPr>
            <w:tcW w:w="2160" w:type="dxa"/>
            <w:vAlign w:val="bottom"/>
            <w:gridSpan w:val="5"/>
            <w:vMerge w:val="continu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8"/>
        </w:trPr>
        <w:tc>
          <w:tcPr>
            <w:tcW w:w="1020" w:type="dxa"/>
            <w:vAlign w:val="bottom"/>
            <w:vMerge w:val="restart"/>
          </w:tcPr>
          <w:p>
            <w:pPr>
              <w:jc w:val="center"/>
              <w:ind w:right="481"/>
              <w:spacing w:after="0" w:line="209" w:lineRule="exact"/>
              <w:rPr>
                <w:sz w:val="20"/>
                <w:szCs w:val="20"/>
                <w:color w:val="auto"/>
              </w:rPr>
            </w:pPr>
            <w:r>
              <w:rPr>
                <w:rFonts w:ascii="Times New Roman" w:cs="Times New Roman" w:eastAsia="Times New Roman" w:hAnsi="Times New Roman"/>
                <w:sz w:val="20"/>
                <w:szCs w:val="20"/>
                <w:b w:val="1"/>
                <w:bCs w:val="1"/>
                <w:i w:val="1"/>
                <w:iCs w:val="1"/>
                <w:color w:val="auto"/>
                <w:w w:val="98"/>
              </w:rPr>
              <w:t>Level</w:t>
            </w:r>
          </w:p>
        </w:tc>
        <w:tc>
          <w:tcPr>
            <w:tcW w:w="600" w:type="dxa"/>
            <w:vAlign w:val="bottom"/>
          </w:tcPr>
          <w:p>
            <w:pPr>
              <w:spacing w:after="0"/>
              <w:rPr>
                <w:sz w:val="7"/>
                <w:szCs w:val="7"/>
                <w:color w:val="auto"/>
              </w:rPr>
            </w:pPr>
          </w:p>
        </w:tc>
        <w:tc>
          <w:tcPr>
            <w:tcW w:w="240" w:type="dxa"/>
            <w:vAlign w:val="bottom"/>
            <w:vMerge w:val="continue"/>
          </w:tcPr>
          <w:p>
            <w:pPr>
              <w:spacing w:after="0"/>
              <w:rPr>
                <w:sz w:val="7"/>
                <w:szCs w:val="7"/>
                <w:color w:val="auto"/>
              </w:rPr>
            </w:pPr>
          </w:p>
        </w:tc>
        <w:tc>
          <w:tcPr>
            <w:tcW w:w="1780" w:type="dxa"/>
            <w:vAlign w:val="bottom"/>
            <w:gridSpan w:val="5"/>
            <w:vMerge w:val="continue"/>
          </w:tcPr>
          <w:p>
            <w:pPr>
              <w:spacing w:after="0"/>
              <w:rPr>
                <w:sz w:val="7"/>
                <w:szCs w:val="7"/>
                <w:color w:val="auto"/>
              </w:rPr>
            </w:pPr>
          </w:p>
        </w:tc>
        <w:tc>
          <w:tcPr>
            <w:tcW w:w="2160" w:type="dxa"/>
            <w:vAlign w:val="bottom"/>
            <w:gridSpan w:val="5"/>
            <w:vMerge w:val="continue"/>
          </w:tcPr>
          <w:p>
            <w:pPr>
              <w:spacing w:after="0"/>
              <w:rPr>
                <w:sz w:val="7"/>
                <w:szCs w:val="7"/>
                <w:color w:val="auto"/>
              </w:rPr>
            </w:pPr>
          </w:p>
        </w:tc>
        <w:tc>
          <w:tcPr>
            <w:tcW w:w="1500" w:type="dxa"/>
            <w:vAlign w:val="bottom"/>
            <w:gridSpan w:val="6"/>
            <w:vMerge w:val="restart"/>
          </w:tcPr>
          <w:p>
            <w:pPr>
              <w:jc w:val="center"/>
              <w:ind w:left="41"/>
              <w:spacing w:after="0" w:line="209" w:lineRule="exact"/>
              <w:rPr>
                <w:sz w:val="20"/>
                <w:szCs w:val="20"/>
                <w:color w:val="auto"/>
              </w:rPr>
            </w:pPr>
            <w:r>
              <w:rPr>
                <w:rFonts w:ascii="Times New Roman" w:cs="Times New Roman" w:eastAsia="Times New Roman" w:hAnsi="Times New Roman"/>
                <w:sz w:val="20"/>
                <w:szCs w:val="20"/>
                <w:b w:val="1"/>
                <w:bCs w:val="1"/>
                <w:i w:val="1"/>
                <w:iCs w:val="1"/>
                <w:color w:val="auto"/>
                <w:w w:val="99"/>
              </w:rPr>
              <w:t>Margin for ABR</w:t>
            </w:r>
          </w:p>
        </w:tc>
        <w:tc>
          <w:tcPr>
            <w:tcW w:w="0" w:type="dxa"/>
            <w:vAlign w:val="bottom"/>
          </w:tcPr>
          <w:p>
            <w:pPr>
              <w:spacing w:after="0"/>
              <w:rPr>
                <w:sz w:val="1"/>
                <w:szCs w:val="1"/>
                <w:color w:val="auto"/>
              </w:rPr>
            </w:pPr>
          </w:p>
        </w:tc>
      </w:tr>
      <w:tr>
        <w:trPr>
          <w:trHeight w:val="20"/>
        </w:trPr>
        <w:tc>
          <w:tcPr>
            <w:tcW w:w="1020" w:type="dxa"/>
            <w:vAlign w:val="bottom"/>
            <w:vMerge w:val="continue"/>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500" w:type="dxa"/>
            <w:vAlign w:val="bottom"/>
            <w:gridSpan w:val="6"/>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2"/>
        </w:trPr>
        <w:tc>
          <w:tcPr>
            <w:tcW w:w="1020" w:type="dxa"/>
            <w:vAlign w:val="bottom"/>
            <w:vMerge w:val="continue"/>
          </w:tcPr>
          <w:p>
            <w:pPr>
              <w:spacing w:after="0"/>
              <w:rPr>
                <w:sz w:val="8"/>
                <w:szCs w:val="8"/>
                <w:color w:val="auto"/>
              </w:rPr>
            </w:pPr>
          </w:p>
        </w:tc>
        <w:tc>
          <w:tcPr>
            <w:tcW w:w="2620" w:type="dxa"/>
            <w:vAlign w:val="bottom"/>
            <w:gridSpan w:val="7"/>
            <w:vMerge w:val="restart"/>
          </w:tcPr>
          <w:p>
            <w:pPr>
              <w:jc w:val="center"/>
              <w:ind w:left="41"/>
              <w:spacing w:after="0" w:line="209" w:lineRule="exact"/>
              <w:rPr>
                <w:sz w:val="20"/>
                <w:szCs w:val="20"/>
                <w:color w:val="auto"/>
              </w:rPr>
            </w:pPr>
            <w:r>
              <w:rPr>
                <w:rFonts w:ascii="Times New Roman" w:cs="Times New Roman" w:eastAsia="Times New Roman" w:hAnsi="Times New Roman"/>
                <w:sz w:val="20"/>
                <w:szCs w:val="20"/>
                <w:b w:val="1"/>
                <w:bCs w:val="1"/>
                <w:i w:val="1"/>
                <w:iCs w:val="1"/>
                <w:color w:val="auto"/>
                <w:w w:val="98"/>
              </w:rPr>
              <w:t>Net Leverage Ratio</w:t>
            </w:r>
          </w:p>
        </w:tc>
        <w:tc>
          <w:tcPr>
            <w:tcW w:w="460" w:type="dxa"/>
            <w:vAlign w:val="bottom"/>
          </w:tcPr>
          <w:p>
            <w:pPr>
              <w:spacing w:after="0"/>
              <w:rPr>
                <w:sz w:val="8"/>
                <w:szCs w:val="8"/>
                <w:color w:val="auto"/>
              </w:rPr>
            </w:pPr>
          </w:p>
        </w:tc>
        <w:tc>
          <w:tcPr>
            <w:tcW w:w="1700" w:type="dxa"/>
            <w:vAlign w:val="bottom"/>
            <w:gridSpan w:val="4"/>
            <w:vMerge w:val="restart"/>
          </w:tcPr>
          <w:p>
            <w:pPr>
              <w:jc w:val="center"/>
              <w:ind w:right="140"/>
              <w:spacing w:after="0" w:line="209" w:lineRule="exact"/>
              <w:rPr>
                <w:sz w:val="20"/>
                <w:szCs w:val="20"/>
                <w:color w:val="auto"/>
              </w:rPr>
            </w:pPr>
            <w:r>
              <w:rPr>
                <w:rFonts w:ascii="Times New Roman" w:cs="Times New Roman" w:eastAsia="Times New Roman" w:hAnsi="Times New Roman"/>
                <w:sz w:val="20"/>
                <w:szCs w:val="20"/>
                <w:b w:val="1"/>
                <w:bCs w:val="1"/>
                <w:i w:val="1"/>
                <w:iCs w:val="1"/>
                <w:color w:val="auto"/>
                <w:w w:val="98"/>
              </w:rPr>
              <w:t>for SOFR Loans</w:t>
            </w:r>
          </w:p>
        </w:tc>
        <w:tc>
          <w:tcPr>
            <w:tcW w:w="1500" w:type="dxa"/>
            <w:vAlign w:val="bottom"/>
            <w:gridSpan w:val="6"/>
            <w:vMerge w:val="continue"/>
          </w:tcPr>
          <w:p>
            <w:pPr>
              <w:spacing w:after="0"/>
              <w:rPr>
                <w:sz w:val="8"/>
                <w:szCs w:val="8"/>
                <w:color w:val="auto"/>
              </w:rPr>
            </w:pPr>
          </w:p>
        </w:tc>
        <w:tc>
          <w:tcPr>
            <w:tcW w:w="0" w:type="dxa"/>
            <w:vAlign w:val="bottom"/>
          </w:tcPr>
          <w:p>
            <w:pPr>
              <w:spacing w:after="0"/>
              <w:rPr>
                <w:sz w:val="1"/>
                <w:szCs w:val="1"/>
                <w:color w:val="auto"/>
              </w:rPr>
            </w:pPr>
          </w:p>
        </w:tc>
      </w:tr>
      <w:tr>
        <w:trPr>
          <w:trHeight w:val="88"/>
        </w:trPr>
        <w:tc>
          <w:tcPr>
            <w:tcW w:w="1020" w:type="dxa"/>
            <w:vAlign w:val="bottom"/>
            <w:vMerge w:val="restart"/>
          </w:tcPr>
          <w:p>
            <w:pPr>
              <w:jc w:val="center"/>
              <w:ind w:right="481"/>
              <w:spacing w:after="0"/>
              <w:rPr>
                <w:sz w:val="20"/>
                <w:szCs w:val="20"/>
                <w:color w:val="auto"/>
              </w:rPr>
            </w:pPr>
            <w:r>
              <w:rPr>
                <w:rFonts w:ascii="Times New Roman" w:cs="Times New Roman" w:eastAsia="Times New Roman" w:hAnsi="Times New Roman"/>
                <w:sz w:val="20"/>
                <w:szCs w:val="20"/>
                <w:b w:val="1"/>
                <w:bCs w:val="1"/>
                <w:i w:val="1"/>
                <w:iCs w:val="1"/>
                <w:color w:val="auto"/>
              </w:rPr>
              <w:t>I</w:t>
            </w:r>
          </w:p>
        </w:tc>
        <w:tc>
          <w:tcPr>
            <w:tcW w:w="2620" w:type="dxa"/>
            <w:vAlign w:val="bottom"/>
            <w:gridSpan w:val="7"/>
            <w:vMerge w:val="continue"/>
          </w:tcPr>
          <w:p>
            <w:pPr>
              <w:spacing w:after="0"/>
              <w:rPr>
                <w:sz w:val="7"/>
                <w:szCs w:val="7"/>
                <w:color w:val="auto"/>
              </w:rPr>
            </w:pPr>
          </w:p>
        </w:tc>
        <w:tc>
          <w:tcPr>
            <w:tcW w:w="460" w:type="dxa"/>
            <w:vAlign w:val="bottom"/>
          </w:tcPr>
          <w:p>
            <w:pPr>
              <w:spacing w:after="0"/>
              <w:rPr>
                <w:sz w:val="7"/>
                <w:szCs w:val="7"/>
                <w:color w:val="auto"/>
              </w:rPr>
            </w:pPr>
          </w:p>
        </w:tc>
        <w:tc>
          <w:tcPr>
            <w:tcW w:w="1700" w:type="dxa"/>
            <w:vAlign w:val="bottom"/>
            <w:gridSpan w:val="4"/>
            <w:vMerge w:val="continue"/>
          </w:tcPr>
          <w:p>
            <w:pPr>
              <w:spacing w:after="0"/>
              <w:rPr>
                <w:sz w:val="7"/>
                <w:szCs w:val="7"/>
                <w:color w:val="auto"/>
              </w:rPr>
            </w:pPr>
          </w:p>
        </w:tc>
        <w:tc>
          <w:tcPr>
            <w:tcW w:w="140" w:type="dxa"/>
            <w:vAlign w:val="bottom"/>
          </w:tcPr>
          <w:p>
            <w:pPr>
              <w:spacing w:after="0"/>
              <w:rPr>
                <w:sz w:val="7"/>
                <w:szCs w:val="7"/>
                <w:color w:val="auto"/>
              </w:rPr>
            </w:pPr>
          </w:p>
        </w:tc>
        <w:tc>
          <w:tcPr>
            <w:tcW w:w="240" w:type="dxa"/>
            <w:vAlign w:val="bottom"/>
            <w:tcBorders>
              <w:top w:val="single" w:sz="8" w:color="auto"/>
            </w:tcBorders>
          </w:tcPr>
          <w:p>
            <w:pPr>
              <w:spacing w:after="0"/>
              <w:rPr>
                <w:sz w:val="7"/>
                <w:szCs w:val="7"/>
                <w:color w:val="auto"/>
              </w:rPr>
            </w:pPr>
          </w:p>
        </w:tc>
        <w:tc>
          <w:tcPr>
            <w:tcW w:w="180" w:type="dxa"/>
            <w:vAlign w:val="bottom"/>
            <w:tcBorders>
              <w:top w:val="single" w:sz="8" w:color="auto"/>
            </w:tcBorders>
          </w:tcPr>
          <w:p>
            <w:pPr>
              <w:spacing w:after="0"/>
              <w:rPr>
                <w:sz w:val="7"/>
                <w:szCs w:val="7"/>
                <w:color w:val="auto"/>
              </w:rPr>
            </w:pPr>
          </w:p>
        </w:tc>
        <w:tc>
          <w:tcPr>
            <w:tcW w:w="940" w:type="dxa"/>
            <w:vAlign w:val="bottom"/>
            <w:tcBorders>
              <w:top w:val="single" w:sz="8" w:color="auto"/>
            </w:tcBorders>
            <w:gridSpan w:val="3"/>
            <w:vMerge w:val="restart"/>
          </w:tcPr>
          <w:p>
            <w:pPr>
              <w:jc w:val="center"/>
              <w:ind w:right="440"/>
              <w:spacing w:after="0" w:line="209" w:lineRule="exact"/>
              <w:rPr>
                <w:sz w:val="20"/>
                <w:szCs w:val="20"/>
                <w:color w:val="auto"/>
              </w:rPr>
            </w:pPr>
            <w:r>
              <w:rPr>
                <w:rFonts w:ascii="Times New Roman" w:cs="Times New Roman" w:eastAsia="Times New Roman" w:hAnsi="Times New Roman"/>
                <w:sz w:val="20"/>
                <w:szCs w:val="20"/>
                <w:b w:val="1"/>
                <w:bCs w:val="1"/>
                <w:i w:val="1"/>
                <w:iCs w:val="1"/>
                <w:color w:val="auto"/>
                <w:w w:val="97"/>
              </w:rPr>
              <w:t>Loans</w:t>
            </w:r>
          </w:p>
        </w:tc>
        <w:tc>
          <w:tcPr>
            <w:tcW w:w="0" w:type="dxa"/>
            <w:vAlign w:val="bottom"/>
          </w:tcPr>
          <w:p>
            <w:pPr>
              <w:spacing w:after="0"/>
              <w:rPr>
                <w:sz w:val="1"/>
                <w:szCs w:val="1"/>
                <w:color w:val="auto"/>
              </w:rPr>
            </w:pPr>
          </w:p>
        </w:tc>
      </w:tr>
      <w:tr>
        <w:trPr>
          <w:trHeight w:val="102"/>
        </w:trPr>
        <w:tc>
          <w:tcPr>
            <w:tcW w:w="1020" w:type="dxa"/>
            <w:vAlign w:val="bottom"/>
            <w:vMerge w:val="continue"/>
          </w:tcPr>
          <w:p>
            <w:pPr>
              <w:spacing w:after="0"/>
              <w:rPr>
                <w:sz w:val="8"/>
                <w:szCs w:val="8"/>
                <w:color w:val="auto"/>
              </w:rPr>
            </w:pPr>
          </w:p>
        </w:tc>
        <w:tc>
          <w:tcPr>
            <w:tcW w:w="600" w:type="dxa"/>
            <w:vAlign w:val="bottom"/>
          </w:tcPr>
          <w:p>
            <w:pPr>
              <w:spacing w:after="0"/>
              <w:rPr>
                <w:sz w:val="8"/>
                <w:szCs w:val="8"/>
                <w:color w:val="auto"/>
              </w:rPr>
            </w:pPr>
          </w:p>
        </w:tc>
        <w:tc>
          <w:tcPr>
            <w:tcW w:w="240" w:type="dxa"/>
            <w:vAlign w:val="bottom"/>
            <w:tcBorders>
              <w:top w:val="single" w:sz="8" w:color="auto"/>
            </w:tcBorders>
          </w:tcPr>
          <w:p>
            <w:pPr>
              <w:spacing w:after="0"/>
              <w:rPr>
                <w:sz w:val="8"/>
                <w:szCs w:val="8"/>
                <w:color w:val="auto"/>
              </w:rPr>
            </w:pPr>
          </w:p>
        </w:tc>
        <w:tc>
          <w:tcPr>
            <w:tcW w:w="80" w:type="dxa"/>
            <w:vAlign w:val="bottom"/>
            <w:tcBorders>
              <w:top w:val="single" w:sz="8" w:color="auto"/>
            </w:tcBorders>
          </w:tcPr>
          <w:p>
            <w:pPr>
              <w:spacing w:after="0"/>
              <w:rPr>
                <w:sz w:val="8"/>
                <w:szCs w:val="8"/>
                <w:color w:val="auto"/>
              </w:rPr>
            </w:pPr>
          </w:p>
        </w:tc>
        <w:tc>
          <w:tcPr>
            <w:tcW w:w="100" w:type="dxa"/>
            <w:vAlign w:val="bottom"/>
            <w:tcBorders>
              <w:top w:val="single" w:sz="8" w:color="auto"/>
            </w:tcBorders>
          </w:tcPr>
          <w:p>
            <w:pPr>
              <w:spacing w:after="0"/>
              <w:rPr>
                <w:sz w:val="8"/>
                <w:szCs w:val="8"/>
                <w:color w:val="auto"/>
              </w:rPr>
            </w:pPr>
          </w:p>
        </w:tc>
        <w:tc>
          <w:tcPr>
            <w:tcW w:w="880" w:type="dxa"/>
            <w:vAlign w:val="bottom"/>
            <w:tcBorders>
              <w:top w:val="single" w:sz="8" w:color="auto"/>
            </w:tcBorders>
          </w:tcPr>
          <w:p>
            <w:pPr>
              <w:spacing w:after="0"/>
              <w:rPr>
                <w:sz w:val="8"/>
                <w:szCs w:val="8"/>
                <w:color w:val="auto"/>
              </w:rPr>
            </w:pPr>
          </w:p>
        </w:tc>
        <w:tc>
          <w:tcPr>
            <w:tcW w:w="260" w:type="dxa"/>
            <w:vAlign w:val="bottom"/>
            <w:tcBorders>
              <w:top w:val="single" w:sz="8" w:color="auto"/>
            </w:tcBorders>
          </w:tcPr>
          <w:p>
            <w:pPr>
              <w:spacing w:after="0"/>
              <w:rPr>
                <w:sz w:val="8"/>
                <w:szCs w:val="8"/>
                <w:color w:val="auto"/>
              </w:rPr>
            </w:pPr>
          </w:p>
        </w:tc>
        <w:tc>
          <w:tcPr>
            <w:tcW w:w="460" w:type="dxa"/>
            <w:vAlign w:val="bottom"/>
          </w:tcPr>
          <w:p>
            <w:pPr>
              <w:spacing w:after="0"/>
              <w:rPr>
                <w:sz w:val="8"/>
                <w:szCs w:val="8"/>
                <w:color w:val="auto"/>
              </w:rPr>
            </w:pPr>
          </w:p>
        </w:tc>
        <w:tc>
          <w:tcPr>
            <w:tcW w:w="460" w:type="dxa"/>
            <w:vAlign w:val="bottom"/>
          </w:tcPr>
          <w:p>
            <w:pPr>
              <w:spacing w:after="0"/>
              <w:rPr>
                <w:sz w:val="8"/>
                <w:szCs w:val="8"/>
                <w:color w:val="auto"/>
              </w:rPr>
            </w:pPr>
          </w:p>
        </w:tc>
        <w:tc>
          <w:tcPr>
            <w:tcW w:w="100" w:type="dxa"/>
            <w:vAlign w:val="bottom"/>
          </w:tcPr>
          <w:p>
            <w:pPr>
              <w:spacing w:after="0"/>
              <w:rPr>
                <w:sz w:val="8"/>
                <w:szCs w:val="8"/>
                <w:color w:val="auto"/>
              </w:rPr>
            </w:pPr>
          </w:p>
        </w:tc>
        <w:tc>
          <w:tcPr>
            <w:tcW w:w="1360" w:type="dxa"/>
            <w:vAlign w:val="bottom"/>
            <w:tcBorders>
              <w:top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160" w:type="dxa"/>
            <w:vAlign w:val="bottom"/>
          </w:tcPr>
          <w:p>
            <w:pPr>
              <w:spacing w:after="0"/>
              <w:rPr>
                <w:sz w:val="8"/>
                <w:szCs w:val="8"/>
                <w:color w:val="auto"/>
              </w:rPr>
            </w:pPr>
          </w:p>
        </w:tc>
        <w:tc>
          <w:tcPr>
            <w:tcW w:w="140" w:type="dxa"/>
            <w:vAlign w:val="bottom"/>
          </w:tcPr>
          <w:p>
            <w:pPr>
              <w:spacing w:after="0"/>
              <w:rPr>
                <w:sz w:val="8"/>
                <w:szCs w:val="8"/>
                <w:color w:val="auto"/>
              </w:rPr>
            </w:pPr>
          </w:p>
        </w:tc>
        <w:tc>
          <w:tcPr>
            <w:tcW w:w="240" w:type="dxa"/>
            <w:vAlign w:val="bottom"/>
          </w:tcPr>
          <w:p>
            <w:pPr>
              <w:spacing w:after="0"/>
              <w:rPr>
                <w:sz w:val="8"/>
                <w:szCs w:val="8"/>
                <w:color w:val="auto"/>
              </w:rPr>
            </w:pPr>
          </w:p>
        </w:tc>
        <w:tc>
          <w:tcPr>
            <w:tcW w:w="180" w:type="dxa"/>
            <w:vAlign w:val="bottom"/>
          </w:tcPr>
          <w:p>
            <w:pPr>
              <w:spacing w:after="0"/>
              <w:rPr>
                <w:sz w:val="8"/>
                <w:szCs w:val="8"/>
                <w:color w:val="auto"/>
              </w:rPr>
            </w:pPr>
          </w:p>
        </w:tc>
        <w:tc>
          <w:tcPr>
            <w:tcW w:w="940" w:type="dxa"/>
            <w:vAlign w:val="bottom"/>
            <w:tcBorders>
              <w:top w:val="single" w:sz="8" w:color="auto"/>
            </w:tcBorders>
            <w:gridSpan w:val="3"/>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0"/>
        </w:trPr>
        <w:tc>
          <w:tcPr>
            <w:tcW w:w="1020" w:type="dxa"/>
            <w:vAlign w:val="bottom"/>
            <w:vMerge w:val="continue"/>
          </w:tcPr>
          <w:p>
            <w:pPr>
              <w:spacing w:after="0" w:line="20" w:lineRule="exact"/>
              <w:rPr>
                <w:sz w:val="1"/>
                <w:szCs w:val="1"/>
                <w:color w:val="auto"/>
              </w:rPr>
            </w:pPr>
          </w:p>
        </w:tc>
        <w:tc>
          <w:tcPr>
            <w:tcW w:w="92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92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60" w:type="dxa"/>
            <w:vAlign w:val="bottom"/>
            <w:gridSpan w:val="3"/>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1020" w:type="dxa"/>
            <w:vAlign w:val="bottom"/>
            <w:vMerge w:val="continue"/>
          </w:tcPr>
          <w:p>
            <w:pPr>
              <w:spacing w:after="0"/>
              <w:rPr>
                <w:sz w:val="24"/>
                <w:szCs w:val="24"/>
                <w:color w:val="auto"/>
              </w:rPr>
            </w:pPr>
          </w:p>
        </w:tc>
        <w:tc>
          <w:tcPr>
            <w:tcW w:w="1900" w:type="dxa"/>
            <w:vAlign w:val="bottom"/>
            <w:gridSpan w:val="5"/>
          </w:tcPr>
          <w:p>
            <w:pPr>
              <w:jc w:val="center"/>
              <w:ind w:left="761"/>
              <w:spacing w:after="0"/>
              <w:rPr>
                <w:sz w:val="20"/>
                <w:szCs w:val="20"/>
                <w:color w:val="auto"/>
              </w:rPr>
            </w:pPr>
            <w:r>
              <w:rPr>
                <w:rFonts w:ascii="Times New Roman" w:cs="Times New Roman" w:eastAsia="Times New Roman" w:hAnsi="Times New Roman"/>
                <w:sz w:val="20"/>
                <w:szCs w:val="20"/>
                <w:b w:val="1"/>
                <w:bCs w:val="1"/>
                <w:i w:val="1"/>
                <w:iCs w:val="1"/>
                <w:color w:val="auto"/>
                <w:w w:val="98"/>
              </w:rPr>
              <w:t>&gt; 3.75:1.00</w:t>
            </w:r>
          </w:p>
        </w:tc>
        <w:tc>
          <w:tcPr>
            <w:tcW w:w="2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920" w:type="dxa"/>
            <w:vAlign w:val="bottom"/>
            <w:gridSpan w:val="3"/>
          </w:tcPr>
          <w:p>
            <w:pPr>
              <w:jc w:val="center"/>
              <w:ind w:left="441"/>
              <w:spacing w:after="0"/>
              <w:rPr>
                <w:sz w:val="20"/>
                <w:szCs w:val="20"/>
                <w:color w:val="auto"/>
              </w:rPr>
            </w:pPr>
            <w:r>
              <w:rPr>
                <w:rFonts w:ascii="Times New Roman" w:cs="Times New Roman" w:eastAsia="Times New Roman" w:hAnsi="Times New Roman"/>
                <w:sz w:val="20"/>
                <w:szCs w:val="20"/>
                <w:b w:val="1"/>
                <w:bCs w:val="1"/>
                <w:i w:val="1"/>
                <w:iCs w:val="1"/>
                <w:color w:val="auto"/>
                <w:w w:val="96"/>
              </w:rPr>
              <w:t>7.00%</w:t>
            </w: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60" w:type="dxa"/>
            <w:vAlign w:val="bottom"/>
            <w:gridSpan w:val="3"/>
          </w:tcPr>
          <w:p>
            <w:pPr>
              <w:spacing w:after="0"/>
              <w:rPr>
                <w:sz w:val="24"/>
                <w:szCs w:val="24"/>
                <w:color w:val="auto"/>
              </w:rPr>
            </w:pPr>
          </w:p>
        </w:tc>
        <w:tc>
          <w:tcPr>
            <w:tcW w:w="680" w:type="dxa"/>
            <w:vAlign w:val="bottom"/>
            <w:gridSpan w:val="2"/>
          </w:tcPr>
          <w:p>
            <w:pPr>
              <w:jc w:val="center"/>
              <w:ind w:right="160"/>
              <w:spacing w:after="0"/>
              <w:rPr>
                <w:sz w:val="20"/>
                <w:szCs w:val="20"/>
                <w:color w:val="auto"/>
              </w:rPr>
            </w:pPr>
            <w:r>
              <w:rPr>
                <w:rFonts w:ascii="Times New Roman" w:cs="Times New Roman" w:eastAsia="Times New Roman" w:hAnsi="Times New Roman"/>
                <w:sz w:val="20"/>
                <w:szCs w:val="20"/>
                <w:b w:val="1"/>
                <w:bCs w:val="1"/>
                <w:i w:val="1"/>
                <w:iCs w:val="1"/>
                <w:color w:val="auto"/>
              </w:rPr>
              <w:t>6.00%</w:t>
            </w:r>
          </w:p>
        </w:tc>
        <w:tc>
          <w:tcPr>
            <w:tcW w:w="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2</w:t>
      </w:r>
    </w:p>
    <w:p>
      <w:pPr>
        <w:spacing w:after="0" w:line="11"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4"/>
          <w:szCs w:val="14"/>
          <w:color w:val="auto"/>
        </w:rPr>
        <w:t>US-DOCS\171161013.8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339725</wp:posOffset>
            </wp:positionH>
            <wp:positionV relativeFrom="paragraph">
              <wp:posOffset>339090</wp:posOffset>
            </wp:positionV>
            <wp:extent cx="5040630" cy="260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73">
                      <a:extLst>
                        <a:ext uri="{28A0092B-C50C-407E-A947-70E740481C1C}"/>
                      </a:extLst>
                    </a:blip>
                    <a:srcRect/>
                    <a:stretch>
                      <a:fillRect/>
                    </a:stretch>
                  </pic:blipFill>
                  <pic:spPr bwMode="auto">
                    <a:xfrm>
                      <a:off x="0" y="0"/>
                      <a:ext cx="5040630" cy="26035"/>
                    </a:xfrm>
                    <a:prstGeom prst="rect">
                      <a:avLst/>
                    </a:prstGeom>
                    <a:noFill/>
                  </pic:spPr>
                </pic:pic>
              </a:graphicData>
            </a:graphic>
          </wp:anchor>
        </w:drawing>
      </w:r>
    </w:p>
    <w:p>
      <w:pPr>
        <w:sectPr>
          <w:pgSz w:w="11900" w:h="16838" w:orient="portrait"/>
          <w:cols w:equalWidth="0" w:num="1">
            <w:col w:w="9019"/>
          </w:cols>
          <w:pgMar w:left="1440" w:top="896" w:right="1440" w:bottom="1440" w:gutter="0" w:footer="0" w:header="0"/>
        </w:sectPr>
      </w:pPr>
    </w:p>
    <w:bookmarkStart w:id="53" w:name="page54"/>
    <w:bookmarkEnd w:id="53"/>
    <w:tbl>
      <w:tblPr>
        <w:tblLayout w:type="fixed"/>
        <w:tblInd w:w="980" w:type="dxa"/>
        <w:tblCellMar>
          <w:top w:w="0" w:type="dxa"/>
          <w:left w:w="0" w:type="dxa"/>
          <w:bottom w:w="0" w:type="dxa"/>
          <w:right w:w="0" w:type="dxa"/>
        </w:tblCellMar>
      </w:tblPr>
      <w:tr>
        <w:trPr>
          <w:trHeight w:val="230"/>
        </w:trPr>
        <w:tc>
          <w:tcPr>
            <w:tcW w:w="10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40" w:type="dxa"/>
            <w:vAlign w:val="bottom"/>
            <w:vMerge w:val="restart"/>
          </w:tcPr>
          <w:p>
            <w:pPr>
              <w:spacing w:after="0"/>
              <w:rPr>
                <w:sz w:val="19"/>
                <w:szCs w:val="19"/>
                <w:color w:val="auto"/>
              </w:rPr>
            </w:pPr>
          </w:p>
        </w:tc>
        <w:tc>
          <w:tcPr>
            <w:tcW w:w="1780" w:type="dxa"/>
            <w:vAlign w:val="bottom"/>
            <w:gridSpan w:val="3"/>
            <w:vMerge w:val="restart"/>
          </w:tcPr>
          <w:p>
            <w:pPr>
              <w:jc w:val="center"/>
              <w:ind w:right="700"/>
              <w:spacing w:after="0"/>
              <w:rPr>
                <w:sz w:val="20"/>
                <w:szCs w:val="20"/>
                <w:color w:val="auto"/>
              </w:rPr>
            </w:pPr>
            <w:r>
              <w:rPr>
                <w:rFonts w:ascii="Times New Roman" w:cs="Times New Roman" w:eastAsia="Times New Roman" w:hAnsi="Times New Roman"/>
                <w:sz w:val="20"/>
                <w:szCs w:val="20"/>
                <w:b w:val="1"/>
                <w:bCs w:val="1"/>
                <w:i w:val="1"/>
                <w:iCs w:val="1"/>
                <w:color w:val="auto"/>
              </w:rPr>
              <w:t>Consolidated</w:t>
            </w:r>
          </w:p>
        </w:tc>
        <w:tc>
          <w:tcPr>
            <w:tcW w:w="2160" w:type="dxa"/>
            <w:vAlign w:val="bottom"/>
            <w:gridSpan w:val="5"/>
            <w:vMerge w:val="restart"/>
          </w:tcPr>
          <w:p>
            <w:pPr>
              <w:jc w:val="center"/>
              <w:ind w:left="201"/>
              <w:spacing w:after="0"/>
              <w:rPr>
                <w:sz w:val="20"/>
                <w:szCs w:val="20"/>
                <w:color w:val="auto"/>
              </w:rPr>
            </w:pPr>
            <w:r>
              <w:rPr>
                <w:rFonts w:ascii="Times New Roman" w:cs="Times New Roman" w:eastAsia="Times New Roman" w:hAnsi="Times New Roman"/>
                <w:sz w:val="20"/>
                <w:szCs w:val="20"/>
                <w:b w:val="1"/>
                <w:bCs w:val="1"/>
                <w:i w:val="1"/>
                <w:iCs w:val="1"/>
                <w:color w:val="auto"/>
                <w:w w:val="99"/>
              </w:rPr>
              <w:t>Applicable Margin</w:t>
            </w:r>
          </w:p>
        </w:tc>
        <w:tc>
          <w:tcPr>
            <w:tcW w:w="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20" w:type="dxa"/>
            <w:vAlign w:val="bottom"/>
            <w:gridSpan w:val="4"/>
          </w:tcPr>
          <w:p>
            <w:pPr>
              <w:jc w:val="center"/>
              <w:ind w:right="260"/>
              <w:spacing w:after="0"/>
              <w:rPr>
                <w:sz w:val="20"/>
                <w:szCs w:val="20"/>
                <w:color w:val="auto"/>
              </w:rPr>
            </w:pPr>
            <w:r>
              <w:rPr>
                <w:rFonts w:ascii="Times New Roman" w:cs="Times New Roman" w:eastAsia="Times New Roman" w:hAnsi="Times New Roman"/>
                <w:sz w:val="20"/>
                <w:szCs w:val="20"/>
                <w:b w:val="1"/>
                <w:bCs w:val="1"/>
                <w:i w:val="1"/>
                <w:iCs w:val="1"/>
                <w:color w:val="auto"/>
                <w:w w:val="97"/>
              </w:rPr>
              <w:t>Applicable</w:t>
            </w:r>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40" w:type="dxa"/>
            <w:vAlign w:val="bottom"/>
            <w:vMerge w:val="continue"/>
          </w:tcPr>
          <w:p>
            <w:pPr>
              <w:spacing w:after="0" w:line="20" w:lineRule="exact"/>
              <w:rPr>
                <w:sz w:val="1"/>
                <w:szCs w:val="1"/>
                <w:color w:val="auto"/>
              </w:rPr>
            </w:pPr>
          </w:p>
        </w:tc>
        <w:tc>
          <w:tcPr>
            <w:tcW w:w="1780" w:type="dxa"/>
            <w:vAlign w:val="bottom"/>
            <w:gridSpan w:val="3"/>
            <w:vMerge w:val="continue"/>
          </w:tcPr>
          <w:p>
            <w:pPr>
              <w:spacing w:after="0" w:line="20" w:lineRule="exact"/>
              <w:rPr>
                <w:sz w:val="1"/>
                <w:szCs w:val="1"/>
                <w:color w:val="auto"/>
              </w:rPr>
            </w:pPr>
          </w:p>
        </w:tc>
        <w:tc>
          <w:tcPr>
            <w:tcW w:w="2160" w:type="dxa"/>
            <w:vAlign w:val="bottom"/>
            <w:gridSpan w:val="5"/>
            <w:vMerge w:val="continu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8"/>
        </w:trPr>
        <w:tc>
          <w:tcPr>
            <w:tcW w:w="1020" w:type="dxa"/>
            <w:vAlign w:val="bottom"/>
            <w:vMerge w:val="restart"/>
          </w:tcPr>
          <w:p>
            <w:pPr>
              <w:jc w:val="center"/>
              <w:ind w:right="481"/>
              <w:spacing w:after="0" w:line="209" w:lineRule="exact"/>
              <w:rPr>
                <w:sz w:val="20"/>
                <w:szCs w:val="20"/>
                <w:color w:val="auto"/>
              </w:rPr>
            </w:pPr>
            <w:r>
              <w:rPr>
                <w:rFonts w:ascii="Times New Roman" w:cs="Times New Roman" w:eastAsia="Times New Roman" w:hAnsi="Times New Roman"/>
                <w:sz w:val="20"/>
                <w:szCs w:val="20"/>
                <w:b w:val="1"/>
                <w:bCs w:val="1"/>
                <w:i w:val="1"/>
                <w:iCs w:val="1"/>
                <w:color w:val="auto"/>
                <w:w w:val="98"/>
              </w:rPr>
              <w:t>Level</w:t>
            </w:r>
          </w:p>
        </w:tc>
        <w:tc>
          <w:tcPr>
            <w:tcW w:w="600" w:type="dxa"/>
            <w:vAlign w:val="bottom"/>
          </w:tcPr>
          <w:p>
            <w:pPr>
              <w:spacing w:after="0"/>
              <w:rPr>
                <w:sz w:val="7"/>
                <w:szCs w:val="7"/>
                <w:color w:val="auto"/>
              </w:rPr>
            </w:pPr>
          </w:p>
        </w:tc>
        <w:tc>
          <w:tcPr>
            <w:tcW w:w="240" w:type="dxa"/>
            <w:vAlign w:val="bottom"/>
            <w:vMerge w:val="continue"/>
          </w:tcPr>
          <w:p>
            <w:pPr>
              <w:spacing w:after="0"/>
              <w:rPr>
                <w:sz w:val="7"/>
                <w:szCs w:val="7"/>
                <w:color w:val="auto"/>
              </w:rPr>
            </w:pPr>
          </w:p>
        </w:tc>
        <w:tc>
          <w:tcPr>
            <w:tcW w:w="1780" w:type="dxa"/>
            <w:vAlign w:val="bottom"/>
            <w:gridSpan w:val="3"/>
            <w:vMerge w:val="continue"/>
          </w:tcPr>
          <w:p>
            <w:pPr>
              <w:spacing w:after="0"/>
              <w:rPr>
                <w:sz w:val="7"/>
                <w:szCs w:val="7"/>
                <w:color w:val="auto"/>
              </w:rPr>
            </w:pPr>
          </w:p>
        </w:tc>
        <w:tc>
          <w:tcPr>
            <w:tcW w:w="2160" w:type="dxa"/>
            <w:vAlign w:val="bottom"/>
            <w:gridSpan w:val="5"/>
            <w:vMerge w:val="continue"/>
          </w:tcPr>
          <w:p>
            <w:pPr>
              <w:spacing w:after="0"/>
              <w:rPr>
                <w:sz w:val="7"/>
                <w:szCs w:val="7"/>
                <w:color w:val="auto"/>
              </w:rPr>
            </w:pPr>
          </w:p>
        </w:tc>
        <w:tc>
          <w:tcPr>
            <w:tcW w:w="1500" w:type="dxa"/>
            <w:vAlign w:val="bottom"/>
            <w:gridSpan w:val="6"/>
            <w:vMerge w:val="restart"/>
          </w:tcPr>
          <w:p>
            <w:pPr>
              <w:jc w:val="center"/>
              <w:ind w:left="41"/>
              <w:spacing w:after="0" w:line="209" w:lineRule="exact"/>
              <w:rPr>
                <w:sz w:val="20"/>
                <w:szCs w:val="20"/>
                <w:color w:val="auto"/>
              </w:rPr>
            </w:pPr>
            <w:r>
              <w:rPr>
                <w:rFonts w:ascii="Times New Roman" w:cs="Times New Roman" w:eastAsia="Times New Roman" w:hAnsi="Times New Roman"/>
                <w:sz w:val="20"/>
                <w:szCs w:val="20"/>
                <w:b w:val="1"/>
                <w:bCs w:val="1"/>
                <w:i w:val="1"/>
                <w:iCs w:val="1"/>
                <w:color w:val="auto"/>
                <w:w w:val="99"/>
              </w:rPr>
              <w:t>Margin for ABR</w:t>
            </w:r>
          </w:p>
        </w:tc>
        <w:tc>
          <w:tcPr>
            <w:tcW w:w="0" w:type="dxa"/>
            <w:vAlign w:val="bottom"/>
          </w:tcPr>
          <w:p>
            <w:pPr>
              <w:spacing w:after="0"/>
              <w:rPr>
                <w:sz w:val="1"/>
                <w:szCs w:val="1"/>
                <w:color w:val="auto"/>
              </w:rPr>
            </w:pPr>
          </w:p>
        </w:tc>
      </w:tr>
      <w:tr>
        <w:trPr>
          <w:trHeight w:val="20"/>
        </w:trPr>
        <w:tc>
          <w:tcPr>
            <w:tcW w:w="1020" w:type="dxa"/>
            <w:vAlign w:val="bottom"/>
            <w:vMerge w:val="continue"/>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500" w:type="dxa"/>
            <w:vAlign w:val="bottom"/>
            <w:gridSpan w:val="6"/>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1"/>
        </w:trPr>
        <w:tc>
          <w:tcPr>
            <w:tcW w:w="1020" w:type="dxa"/>
            <w:vAlign w:val="bottom"/>
            <w:vMerge w:val="continue"/>
          </w:tcPr>
          <w:p>
            <w:pPr>
              <w:spacing w:after="0"/>
              <w:rPr>
                <w:sz w:val="8"/>
                <w:szCs w:val="8"/>
                <w:color w:val="auto"/>
              </w:rPr>
            </w:pPr>
          </w:p>
        </w:tc>
        <w:tc>
          <w:tcPr>
            <w:tcW w:w="2620" w:type="dxa"/>
            <w:vAlign w:val="bottom"/>
            <w:gridSpan w:val="5"/>
            <w:vMerge w:val="restart"/>
          </w:tcPr>
          <w:p>
            <w:pPr>
              <w:jc w:val="center"/>
              <w:ind w:left="41"/>
              <w:spacing w:after="0" w:line="209" w:lineRule="exact"/>
              <w:rPr>
                <w:sz w:val="20"/>
                <w:szCs w:val="20"/>
                <w:color w:val="auto"/>
              </w:rPr>
            </w:pPr>
            <w:r>
              <w:rPr>
                <w:rFonts w:ascii="Times New Roman" w:cs="Times New Roman" w:eastAsia="Times New Roman" w:hAnsi="Times New Roman"/>
                <w:sz w:val="20"/>
                <w:szCs w:val="20"/>
                <w:b w:val="1"/>
                <w:bCs w:val="1"/>
                <w:i w:val="1"/>
                <w:iCs w:val="1"/>
                <w:color w:val="auto"/>
                <w:w w:val="98"/>
              </w:rPr>
              <w:t>Net Leverage Ratio</w:t>
            </w:r>
          </w:p>
        </w:tc>
        <w:tc>
          <w:tcPr>
            <w:tcW w:w="460" w:type="dxa"/>
            <w:vAlign w:val="bottom"/>
          </w:tcPr>
          <w:p>
            <w:pPr>
              <w:spacing w:after="0"/>
              <w:rPr>
                <w:sz w:val="8"/>
                <w:szCs w:val="8"/>
                <w:color w:val="auto"/>
              </w:rPr>
            </w:pPr>
          </w:p>
        </w:tc>
        <w:tc>
          <w:tcPr>
            <w:tcW w:w="1700" w:type="dxa"/>
            <w:vAlign w:val="bottom"/>
            <w:gridSpan w:val="4"/>
            <w:vMerge w:val="restart"/>
          </w:tcPr>
          <w:p>
            <w:pPr>
              <w:jc w:val="center"/>
              <w:ind w:right="140"/>
              <w:spacing w:after="0" w:line="209" w:lineRule="exact"/>
              <w:rPr>
                <w:sz w:val="20"/>
                <w:szCs w:val="20"/>
                <w:color w:val="auto"/>
              </w:rPr>
            </w:pPr>
            <w:r>
              <w:rPr>
                <w:rFonts w:ascii="Times New Roman" w:cs="Times New Roman" w:eastAsia="Times New Roman" w:hAnsi="Times New Roman"/>
                <w:sz w:val="20"/>
                <w:szCs w:val="20"/>
                <w:b w:val="1"/>
                <w:bCs w:val="1"/>
                <w:i w:val="1"/>
                <w:iCs w:val="1"/>
                <w:color w:val="auto"/>
                <w:w w:val="98"/>
              </w:rPr>
              <w:t>for SOFR Loans</w:t>
            </w:r>
          </w:p>
        </w:tc>
        <w:tc>
          <w:tcPr>
            <w:tcW w:w="1500" w:type="dxa"/>
            <w:vAlign w:val="bottom"/>
            <w:gridSpan w:val="6"/>
            <w:vMerge w:val="continue"/>
          </w:tcPr>
          <w:p>
            <w:pPr>
              <w:spacing w:after="0"/>
              <w:rPr>
                <w:sz w:val="8"/>
                <w:szCs w:val="8"/>
                <w:color w:val="auto"/>
              </w:rPr>
            </w:pPr>
          </w:p>
        </w:tc>
        <w:tc>
          <w:tcPr>
            <w:tcW w:w="0" w:type="dxa"/>
            <w:vAlign w:val="bottom"/>
          </w:tcPr>
          <w:p>
            <w:pPr>
              <w:spacing w:after="0"/>
              <w:rPr>
                <w:sz w:val="1"/>
                <w:szCs w:val="1"/>
                <w:color w:val="auto"/>
              </w:rPr>
            </w:pPr>
          </w:p>
        </w:tc>
      </w:tr>
      <w:tr>
        <w:trPr>
          <w:trHeight w:val="88"/>
        </w:trPr>
        <w:tc>
          <w:tcPr>
            <w:tcW w:w="1020" w:type="dxa"/>
            <w:vAlign w:val="bottom"/>
          </w:tcPr>
          <w:p>
            <w:pPr>
              <w:spacing w:after="0"/>
              <w:rPr>
                <w:sz w:val="7"/>
                <w:szCs w:val="7"/>
                <w:color w:val="auto"/>
              </w:rPr>
            </w:pPr>
          </w:p>
        </w:tc>
        <w:tc>
          <w:tcPr>
            <w:tcW w:w="2620" w:type="dxa"/>
            <w:vAlign w:val="bottom"/>
            <w:gridSpan w:val="5"/>
            <w:vMerge w:val="continue"/>
          </w:tcPr>
          <w:p>
            <w:pPr>
              <w:spacing w:after="0"/>
              <w:rPr>
                <w:sz w:val="7"/>
                <w:szCs w:val="7"/>
                <w:color w:val="auto"/>
              </w:rPr>
            </w:pPr>
          </w:p>
        </w:tc>
        <w:tc>
          <w:tcPr>
            <w:tcW w:w="460" w:type="dxa"/>
            <w:vAlign w:val="bottom"/>
          </w:tcPr>
          <w:p>
            <w:pPr>
              <w:spacing w:after="0"/>
              <w:rPr>
                <w:sz w:val="7"/>
                <w:szCs w:val="7"/>
                <w:color w:val="auto"/>
              </w:rPr>
            </w:pPr>
          </w:p>
        </w:tc>
        <w:tc>
          <w:tcPr>
            <w:tcW w:w="1700" w:type="dxa"/>
            <w:vAlign w:val="bottom"/>
            <w:gridSpan w:val="4"/>
            <w:vMerge w:val="continue"/>
          </w:tcPr>
          <w:p>
            <w:pPr>
              <w:spacing w:after="0"/>
              <w:rPr>
                <w:sz w:val="7"/>
                <w:szCs w:val="7"/>
                <w:color w:val="auto"/>
              </w:rPr>
            </w:pPr>
          </w:p>
        </w:tc>
        <w:tc>
          <w:tcPr>
            <w:tcW w:w="140" w:type="dxa"/>
            <w:vAlign w:val="bottom"/>
          </w:tcPr>
          <w:p>
            <w:pPr>
              <w:spacing w:after="0"/>
              <w:rPr>
                <w:sz w:val="7"/>
                <w:szCs w:val="7"/>
                <w:color w:val="auto"/>
              </w:rPr>
            </w:pPr>
          </w:p>
        </w:tc>
        <w:tc>
          <w:tcPr>
            <w:tcW w:w="240" w:type="dxa"/>
            <w:vAlign w:val="bottom"/>
            <w:tcBorders>
              <w:top w:val="single" w:sz="8" w:color="auto"/>
            </w:tcBorders>
          </w:tcPr>
          <w:p>
            <w:pPr>
              <w:spacing w:after="0"/>
              <w:rPr>
                <w:sz w:val="7"/>
                <w:szCs w:val="7"/>
                <w:color w:val="auto"/>
              </w:rPr>
            </w:pPr>
          </w:p>
        </w:tc>
        <w:tc>
          <w:tcPr>
            <w:tcW w:w="180" w:type="dxa"/>
            <w:vAlign w:val="bottom"/>
            <w:tcBorders>
              <w:top w:val="single" w:sz="8" w:color="auto"/>
            </w:tcBorders>
          </w:tcPr>
          <w:p>
            <w:pPr>
              <w:spacing w:after="0"/>
              <w:rPr>
                <w:sz w:val="7"/>
                <w:szCs w:val="7"/>
                <w:color w:val="auto"/>
              </w:rPr>
            </w:pPr>
          </w:p>
        </w:tc>
        <w:tc>
          <w:tcPr>
            <w:tcW w:w="940" w:type="dxa"/>
            <w:vAlign w:val="bottom"/>
            <w:tcBorders>
              <w:top w:val="single" w:sz="8" w:color="auto"/>
            </w:tcBorders>
            <w:gridSpan w:val="3"/>
            <w:vMerge w:val="restart"/>
          </w:tcPr>
          <w:p>
            <w:pPr>
              <w:jc w:val="center"/>
              <w:ind w:right="440"/>
              <w:spacing w:after="0" w:line="209" w:lineRule="exact"/>
              <w:rPr>
                <w:sz w:val="20"/>
                <w:szCs w:val="20"/>
                <w:color w:val="auto"/>
              </w:rPr>
            </w:pPr>
            <w:r>
              <w:rPr>
                <w:rFonts w:ascii="Times New Roman" w:cs="Times New Roman" w:eastAsia="Times New Roman" w:hAnsi="Times New Roman"/>
                <w:sz w:val="20"/>
                <w:szCs w:val="20"/>
                <w:b w:val="1"/>
                <w:bCs w:val="1"/>
                <w:i w:val="1"/>
                <w:iCs w:val="1"/>
                <w:color w:val="auto"/>
                <w:w w:val="97"/>
              </w:rPr>
              <w:t>Loans</w:t>
            </w:r>
          </w:p>
        </w:tc>
        <w:tc>
          <w:tcPr>
            <w:tcW w:w="0" w:type="dxa"/>
            <w:vAlign w:val="bottom"/>
          </w:tcPr>
          <w:p>
            <w:pPr>
              <w:spacing w:after="0"/>
              <w:rPr>
                <w:sz w:val="1"/>
                <w:szCs w:val="1"/>
                <w:color w:val="auto"/>
              </w:rPr>
            </w:pPr>
          </w:p>
        </w:tc>
      </w:tr>
      <w:tr>
        <w:trPr>
          <w:trHeight w:val="102"/>
        </w:trPr>
        <w:tc>
          <w:tcPr>
            <w:tcW w:w="1020" w:type="dxa"/>
            <w:vAlign w:val="bottom"/>
            <w:vMerge w:val="restart"/>
          </w:tcPr>
          <w:p>
            <w:pPr>
              <w:jc w:val="center"/>
              <w:ind w:right="481"/>
              <w:spacing w:after="0"/>
              <w:rPr>
                <w:sz w:val="20"/>
                <w:szCs w:val="20"/>
                <w:color w:val="auto"/>
              </w:rPr>
            </w:pPr>
            <w:r>
              <w:rPr>
                <w:rFonts w:ascii="Times New Roman" w:cs="Times New Roman" w:eastAsia="Times New Roman" w:hAnsi="Times New Roman"/>
                <w:sz w:val="20"/>
                <w:szCs w:val="20"/>
                <w:b w:val="1"/>
                <w:bCs w:val="1"/>
                <w:i w:val="1"/>
                <w:iCs w:val="1"/>
                <w:color w:val="auto"/>
              </w:rPr>
              <w:t>II</w:t>
            </w:r>
          </w:p>
        </w:tc>
        <w:tc>
          <w:tcPr>
            <w:tcW w:w="600" w:type="dxa"/>
            <w:vAlign w:val="bottom"/>
            <w:vMerge w:val="restart"/>
          </w:tcPr>
          <w:p>
            <w:pPr>
              <w:spacing w:after="0"/>
              <w:rPr>
                <w:sz w:val="8"/>
                <w:szCs w:val="8"/>
                <w:color w:val="auto"/>
              </w:rPr>
            </w:pPr>
          </w:p>
        </w:tc>
        <w:tc>
          <w:tcPr>
            <w:tcW w:w="1300" w:type="dxa"/>
            <w:vAlign w:val="bottom"/>
            <w:tcBorders>
              <w:top w:val="single" w:sz="8" w:color="auto"/>
            </w:tcBorders>
            <w:gridSpan w:val="2"/>
            <w:vMerge w:val="restart"/>
          </w:tcPr>
          <w:p>
            <w:pPr>
              <w:jc w:val="center"/>
              <w:ind w:left="161"/>
              <w:spacing w:after="0"/>
              <w:rPr>
                <w:sz w:val="20"/>
                <w:szCs w:val="20"/>
                <w:color w:val="auto"/>
              </w:rPr>
            </w:pPr>
            <w:r>
              <w:rPr>
                <w:rFonts w:ascii="Times New Roman" w:cs="Times New Roman" w:eastAsia="Times New Roman" w:hAnsi="Times New Roman"/>
                <w:sz w:val="20"/>
                <w:szCs w:val="20"/>
                <w:b w:val="1"/>
                <w:bCs w:val="1"/>
                <w:i w:val="1"/>
                <w:iCs w:val="1"/>
                <w:color w:val="auto"/>
                <w:w w:val="98"/>
              </w:rPr>
              <w:t>&lt; 3.75:1.00</w:t>
            </w:r>
          </w:p>
        </w:tc>
        <w:tc>
          <w:tcPr>
            <w:tcW w:w="260" w:type="dxa"/>
            <w:vAlign w:val="bottom"/>
            <w:tcBorders>
              <w:top w:val="single" w:sz="8" w:color="auto"/>
            </w:tcBorders>
          </w:tcPr>
          <w:p>
            <w:pPr>
              <w:spacing w:after="0"/>
              <w:rPr>
                <w:sz w:val="8"/>
                <w:szCs w:val="8"/>
                <w:color w:val="auto"/>
              </w:rPr>
            </w:pPr>
          </w:p>
        </w:tc>
        <w:tc>
          <w:tcPr>
            <w:tcW w:w="460" w:type="dxa"/>
            <w:vAlign w:val="bottom"/>
          </w:tcPr>
          <w:p>
            <w:pPr>
              <w:spacing w:after="0"/>
              <w:rPr>
                <w:sz w:val="8"/>
                <w:szCs w:val="8"/>
                <w:color w:val="auto"/>
              </w:rPr>
            </w:pPr>
          </w:p>
        </w:tc>
        <w:tc>
          <w:tcPr>
            <w:tcW w:w="460" w:type="dxa"/>
            <w:vAlign w:val="bottom"/>
          </w:tcPr>
          <w:p>
            <w:pPr>
              <w:spacing w:after="0"/>
              <w:rPr>
                <w:sz w:val="8"/>
                <w:szCs w:val="8"/>
                <w:color w:val="auto"/>
              </w:rPr>
            </w:pPr>
          </w:p>
        </w:tc>
        <w:tc>
          <w:tcPr>
            <w:tcW w:w="100" w:type="dxa"/>
            <w:vAlign w:val="bottom"/>
          </w:tcPr>
          <w:p>
            <w:pPr>
              <w:spacing w:after="0"/>
              <w:rPr>
                <w:sz w:val="8"/>
                <w:szCs w:val="8"/>
                <w:color w:val="auto"/>
              </w:rPr>
            </w:pPr>
          </w:p>
        </w:tc>
        <w:tc>
          <w:tcPr>
            <w:tcW w:w="1360" w:type="dxa"/>
            <w:vAlign w:val="bottom"/>
            <w:tcBorders>
              <w:top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160" w:type="dxa"/>
            <w:vAlign w:val="bottom"/>
          </w:tcPr>
          <w:p>
            <w:pPr>
              <w:spacing w:after="0"/>
              <w:rPr>
                <w:sz w:val="8"/>
                <w:szCs w:val="8"/>
                <w:color w:val="auto"/>
              </w:rPr>
            </w:pPr>
          </w:p>
        </w:tc>
        <w:tc>
          <w:tcPr>
            <w:tcW w:w="140" w:type="dxa"/>
            <w:vAlign w:val="bottom"/>
          </w:tcPr>
          <w:p>
            <w:pPr>
              <w:spacing w:after="0"/>
              <w:rPr>
                <w:sz w:val="8"/>
                <w:szCs w:val="8"/>
                <w:color w:val="auto"/>
              </w:rPr>
            </w:pPr>
          </w:p>
        </w:tc>
        <w:tc>
          <w:tcPr>
            <w:tcW w:w="240" w:type="dxa"/>
            <w:vAlign w:val="bottom"/>
          </w:tcPr>
          <w:p>
            <w:pPr>
              <w:spacing w:after="0"/>
              <w:rPr>
                <w:sz w:val="8"/>
                <w:szCs w:val="8"/>
                <w:color w:val="auto"/>
              </w:rPr>
            </w:pPr>
          </w:p>
        </w:tc>
        <w:tc>
          <w:tcPr>
            <w:tcW w:w="180" w:type="dxa"/>
            <w:vAlign w:val="bottom"/>
          </w:tcPr>
          <w:p>
            <w:pPr>
              <w:spacing w:after="0"/>
              <w:rPr>
                <w:sz w:val="8"/>
                <w:szCs w:val="8"/>
                <w:color w:val="auto"/>
              </w:rPr>
            </w:pPr>
          </w:p>
        </w:tc>
        <w:tc>
          <w:tcPr>
            <w:tcW w:w="940" w:type="dxa"/>
            <w:vAlign w:val="bottom"/>
            <w:tcBorders>
              <w:top w:val="single" w:sz="8" w:color="auto"/>
            </w:tcBorders>
            <w:gridSpan w:val="3"/>
            <w:vMerge w:val="continue"/>
          </w:tcPr>
          <w:p>
            <w:pPr>
              <w:spacing w:after="0"/>
              <w:rPr>
                <w:sz w:val="8"/>
                <w:szCs w:val="8"/>
                <w:color w:val="auto"/>
              </w:rPr>
            </w:pPr>
          </w:p>
        </w:tc>
        <w:tc>
          <w:tcPr>
            <w:tcW w:w="0" w:type="dxa"/>
            <w:vAlign w:val="bottom"/>
          </w:tcPr>
          <w:p>
            <w:pPr>
              <w:spacing w:after="0"/>
              <w:rPr>
                <w:sz w:val="1"/>
                <w:szCs w:val="1"/>
                <w:color w:val="auto"/>
              </w:rPr>
            </w:pPr>
          </w:p>
        </w:tc>
      </w:tr>
      <w:tr>
        <w:trPr>
          <w:trHeight w:val="331"/>
        </w:trPr>
        <w:tc>
          <w:tcPr>
            <w:tcW w:w="1020" w:type="dxa"/>
            <w:vAlign w:val="bottom"/>
            <w:vMerge w:val="continue"/>
          </w:tcPr>
          <w:p>
            <w:pPr>
              <w:spacing w:after="0"/>
              <w:rPr>
                <w:sz w:val="24"/>
                <w:szCs w:val="24"/>
                <w:color w:val="auto"/>
              </w:rPr>
            </w:pPr>
          </w:p>
        </w:tc>
        <w:tc>
          <w:tcPr>
            <w:tcW w:w="600" w:type="dxa"/>
            <w:vAlign w:val="bottom"/>
            <w:vMerge w:val="continue"/>
          </w:tcPr>
          <w:p>
            <w:pPr>
              <w:spacing w:after="0"/>
              <w:rPr>
                <w:sz w:val="24"/>
                <w:szCs w:val="24"/>
                <w:color w:val="auto"/>
              </w:rPr>
            </w:pPr>
          </w:p>
        </w:tc>
        <w:tc>
          <w:tcPr>
            <w:tcW w:w="1300" w:type="dxa"/>
            <w:vAlign w:val="bottom"/>
            <w:tcBorders>
              <w:top w:val="single" w:sz="8" w:color="auto"/>
            </w:tcBorders>
            <w:gridSpan w:val="2"/>
            <w:vMerge w:val="continue"/>
          </w:tcPr>
          <w:p>
            <w:pPr>
              <w:spacing w:after="0"/>
              <w:rPr>
                <w:sz w:val="24"/>
                <w:szCs w:val="24"/>
                <w:color w:val="auto"/>
              </w:rPr>
            </w:pPr>
          </w:p>
        </w:tc>
        <w:tc>
          <w:tcPr>
            <w:tcW w:w="2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00" w:type="dxa"/>
            <w:vAlign w:val="bottom"/>
            <w:tcBorders>
              <w:top w:val="single" w:sz="8" w:color="auto"/>
            </w:tcBorders>
          </w:tcPr>
          <w:p>
            <w:pPr>
              <w:spacing w:after="0"/>
              <w:rPr>
                <w:sz w:val="24"/>
                <w:szCs w:val="24"/>
                <w:color w:val="auto"/>
              </w:rPr>
            </w:pPr>
          </w:p>
        </w:tc>
        <w:tc>
          <w:tcPr>
            <w:tcW w:w="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9"/>
        </w:trPr>
        <w:tc>
          <w:tcPr>
            <w:tcW w:w="10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780" w:type="dxa"/>
            <w:vAlign w:val="bottom"/>
            <w:gridSpan w:val="3"/>
          </w:tcPr>
          <w:p>
            <w:pPr>
              <w:jc w:val="center"/>
              <w:ind w:right="700"/>
              <w:spacing w:after="0"/>
              <w:rPr>
                <w:sz w:val="20"/>
                <w:szCs w:val="20"/>
                <w:color w:val="auto"/>
              </w:rPr>
            </w:pPr>
            <w:r>
              <w:rPr>
                <w:rFonts w:ascii="Times New Roman" w:cs="Times New Roman" w:eastAsia="Times New Roman" w:hAnsi="Times New Roman"/>
                <w:sz w:val="20"/>
                <w:szCs w:val="20"/>
                <w:b w:val="1"/>
                <w:bCs w:val="1"/>
                <w:i w:val="1"/>
                <w:iCs w:val="1"/>
                <w:color w:val="auto"/>
              </w:rPr>
              <w:t>and</w:t>
            </w:r>
          </w:p>
        </w:tc>
        <w:tc>
          <w:tcPr>
            <w:tcW w:w="1920" w:type="dxa"/>
            <w:vAlign w:val="bottom"/>
            <w:gridSpan w:val="3"/>
          </w:tcPr>
          <w:p>
            <w:pPr>
              <w:jc w:val="center"/>
              <w:ind w:left="441"/>
              <w:spacing w:after="0"/>
              <w:rPr>
                <w:sz w:val="20"/>
                <w:szCs w:val="20"/>
                <w:color w:val="auto"/>
              </w:rPr>
            </w:pPr>
            <w:r>
              <w:rPr>
                <w:rFonts w:ascii="Times New Roman" w:cs="Times New Roman" w:eastAsia="Times New Roman" w:hAnsi="Times New Roman"/>
                <w:sz w:val="20"/>
                <w:szCs w:val="20"/>
                <w:b w:val="1"/>
                <w:bCs w:val="1"/>
                <w:i w:val="1"/>
                <w:iCs w:val="1"/>
                <w:color w:val="auto"/>
                <w:w w:val="96"/>
              </w:rPr>
              <w:t>6.25%</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40" w:type="dxa"/>
            <w:vAlign w:val="bottom"/>
            <w:gridSpan w:val="5"/>
          </w:tcPr>
          <w:p>
            <w:pPr>
              <w:jc w:val="center"/>
              <w:ind w:left="301"/>
              <w:spacing w:after="0"/>
              <w:rPr>
                <w:sz w:val="20"/>
                <w:szCs w:val="20"/>
                <w:color w:val="auto"/>
              </w:rPr>
            </w:pPr>
            <w:r>
              <w:rPr>
                <w:rFonts w:ascii="Times New Roman" w:cs="Times New Roman" w:eastAsia="Times New Roman" w:hAnsi="Times New Roman"/>
                <w:sz w:val="20"/>
                <w:szCs w:val="20"/>
                <w:b w:val="1"/>
                <w:bCs w:val="1"/>
                <w:i w:val="1"/>
                <w:iCs w:val="1"/>
                <w:color w:val="auto"/>
              </w:rPr>
              <w:t>5.25%</w:t>
            </w:r>
          </w:p>
        </w:tc>
        <w:tc>
          <w:tcPr>
            <w:tcW w:w="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62"/>
        </w:trPr>
        <w:tc>
          <w:tcPr>
            <w:tcW w:w="102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780" w:type="dxa"/>
            <w:vAlign w:val="bottom"/>
            <w:gridSpan w:val="3"/>
          </w:tcPr>
          <w:p>
            <w:pPr>
              <w:jc w:val="center"/>
              <w:ind w:right="700"/>
              <w:spacing w:after="0"/>
              <w:rPr>
                <w:sz w:val="20"/>
                <w:szCs w:val="20"/>
                <w:color w:val="auto"/>
              </w:rPr>
            </w:pPr>
            <w:r>
              <w:rPr>
                <w:rFonts w:ascii="Times New Roman" w:cs="Times New Roman" w:eastAsia="Times New Roman" w:hAnsi="Times New Roman"/>
                <w:sz w:val="20"/>
                <w:szCs w:val="20"/>
                <w:b w:val="1"/>
                <w:bCs w:val="1"/>
                <w:i w:val="1"/>
                <w:iCs w:val="1"/>
                <w:color w:val="auto"/>
              </w:rPr>
              <w:t>≥2.40:1.00</w:t>
            </w:r>
          </w:p>
        </w:tc>
        <w:tc>
          <w:tcPr>
            <w:tcW w:w="4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3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21"/>
        </w:trPr>
        <w:tc>
          <w:tcPr>
            <w:tcW w:w="1020" w:type="dxa"/>
            <w:vAlign w:val="bottom"/>
          </w:tcPr>
          <w:p>
            <w:pPr>
              <w:jc w:val="center"/>
              <w:ind w:right="481"/>
              <w:spacing w:after="0"/>
              <w:rPr>
                <w:sz w:val="20"/>
                <w:szCs w:val="20"/>
                <w:color w:val="auto"/>
              </w:rPr>
            </w:pPr>
            <w:r>
              <w:rPr>
                <w:rFonts w:ascii="Times New Roman" w:cs="Times New Roman" w:eastAsia="Times New Roman" w:hAnsi="Times New Roman"/>
                <w:sz w:val="20"/>
                <w:szCs w:val="20"/>
                <w:b w:val="1"/>
                <w:bCs w:val="1"/>
                <w:i w:val="1"/>
                <w:iCs w:val="1"/>
                <w:color w:val="auto"/>
              </w:rPr>
              <w:t>III</w:t>
            </w:r>
          </w:p>
        </w:tc>
        <w:tc>
          <w:tcPr>
            <w:tcW w:w="1900" w:type="dxa"/>
            <w:vAlign w:val="bottom"/>
            <w:gridSpan w:val="3"/>
          </w:tcPr>
          <w:p>
            <w:pPr>
              <w:jc w:val="center"/>
              <w:ind w:left="761"/>
              <w:spacing w:after="0"/>
              <w:rPr>
                <w:sz w:val="20"/>
                <w:szCs w:val="20"/>
                <w:color w:val="auto"/>
              </w:rPr>
            </w:pPr>
            <w:r>
              <w:rPr>
                <w:rFonts w:ascii="Times New Roman" w:cs="Times New Roman" w:eastAsia="Times New Roman" w:hAnsi="Times New Roman"/>
                <w:sz w:val="20"/>
                <w:szCs w:val="20"/>
                <w:b w:val="1"/>
                <w:bCs w:val="1"/>
                <w:i w:val="1"/>
                <w:iCs w:val="1"/>
                <w:color w:val="auto"/>
                <w:w w:val="98"/>
              </w:rPr>
              <w:t>&lt; 2.40:1.00</w:t>
            </w:r>
          </w:p>
        </w:tc>
        <w:tc>
          <w:tcPr>
            <w:tcW w:w="2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9"/>
        </w:trPr>
        <w:tc>
          <w:tcPr>
            <w:tcW w:w="10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780" w:type="dxa"/>
            <w:vAlign w:val="bottom"/>
            <w:gridSpan w:val="3"/>
          </w:tcPr>
          <w:p>
            <w:pPr>
              <w:jc w:val="center"/>
              <w:ind w:right="700"/>
              <w:spacing w:after="0"/>
              <w:rPr>
                <w:sz w:val="20"/>
                <w:szCs w:val="20"/>
                <w:color w:val="auto"/>
              </w:rPr>
            </w:pPr>
            <w:r>
              <w:rPr>
                <w:rFonts w:ascii="Times New Roman" w:cs="Times New Roman" w:eastAsia="Times New Roman" w:hAnsi="Times New Roman"/>
                <w:sz w:val="20"/>
                <w:szCs w:val="20"/>
                <w:b w:val="1"/>
                <w:bCs w:val="1"/>
                <w:i w:val="1"/>
                <w:iCs w:val="1"/>
                <w:color w:val="auto"/>
              </w:rPr>
              <w:t>and</w:t>
            </w:r>
          </w:p>
        </w:tc>
        <w:tc>
          <w:tcPr>
            <w:tcW w:w="1920" w:type="dxa"/>
            <w:vAlign w:val="bottom"/>
            <w:gridSpan w:val="3"/>
          </w:tcPr>
          <w:p>
            <w:pPr>
              <w:jc w:val="center"/>
              <w:ind w:left="441"/>
              <w:spacing w:after="0"/>
              <w:rPr>
                <w:sz w:val="20"/>
                <w:szCs w:val="20"/>
                <w:color w:val="auto"/>
              </w:rPr>
            </w:pPr>
            <w:r>
              <w:rPr>
                <w:rFonts w:ascii="Times New Roman" w:cs="Times New Roman" w:eastAsia="Times New Roman" w:hAnsi="Times New Roman"/>
                <w:sz w:val="20"/>
                <w:szCs w:val="20"/>
                <w:b w:val="1"/>
                <w:bCs w:val="1"/>
                <w:i w:val="1"/>
                <w:iCs w:val="1"/>
                <w:color w:val="auto"/>
                <w:w w:val="96"/>
              </w:rPr>
              <w:t>6.00%</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40" w:type="dxa"/>
            <w:vAlign w:val="bottom"/>
            <w:gridSpan w:val="5"/>
          </w:tcPr>
          <w:p>
            <w:pPr>
              <w:jc w:val="center"/>
              <w:ind w:left="301"/>
              <w:spacing w:after="0"/>
              <w:rPr>
                <w:sz w:val="20"/>
                <w:szCs w:val="20"/>
                <w:color w:val="auto"/>
              </w:rPr>
            </w:pPr>
            <w:r>
              <w:rPr>
                <w:rFonts w:ascii="Times New Roman" w:cs="Times New Roman" w:eastAsia="Times New Roman" w:hAnsi="Times New Roman"/>
                <w:sz w:val="20"/>
                <w:szCs w:val="20"/>
                <w:b w:val="1"/>
                <w:bCs w:val="1"/>
                <w:i w:val="1"/>
                <w:iCs w:val="1"/>
                <w:color w:val="auto"/>
              </w:rPr>
              <w:t>5.00%</w:t>
            </w:r>
          </w:p>
        </w:tc>
        <w:tc>
          <w:tcPr>
            <w:tcW w:w="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62"/>
        </w:trPr>
        <w:tc>
          <w:tcPr>
            <w:tcW w:w="102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780" w:type="dxa"/>
            <w:vAlign w:val="bottom"/>
            <w:gridSpan w:val="3"/>
          </w:tcPr>
          <w:p>
            <w:pPr>
              <w:jc w:val="center"/>
              <w:ind w:right="700"/>
              <w:spacing w:after="0"/>
              <w:rPr>
                <w:sz w:val="20"/>
                <w:szCs w:val="20"/>
                <w:color w:val="auto"/>
              </w:rPr>
            </w:pPr>
            <w:r>
              <w:rPr>
                <w:rFonts w:ascii="Times New Roman" w:cs="Times New Roman" w:eastAsia="Times New Roman" w:hAnsi="Times New Roman"/>
                <w:sz w:val="20"/>
                <w:szCs w:val="20"/>
                <w:b w:val="1"/>
                <w:bCs w:val="1"/>
                <w:i w:val="1"/>
                <w:iCs w:val="1"/>
                <w:color w:val="auto"/>
              </w:rPr>
              <w:t>≥1.90:1.00</w:t>
            </w:r>
          </w:p>
        </w:tc>
        <w:tc>
          <w:tcPr>
            <w:tcW w:w="4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3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94"/>
        </w:trPr>
        <w:tc>
          <w:tcPr>
            <w:tcW w:w="1020" w:type="dxa"/>
            <w:vAlign w:val="bottom"/>
          </w:tcPr>
          <w:p>
            <w:pPr>
              <w:jc w:val="center"/>
              <w:ind w:right="481"/>
              <w:spacing w:after="0"/>
              <w:rPr>
                <w:sz w:val="20"/>
                <w:szCs w:val="20"/>
                <w:color w:val="auto"/>
              </w:rPr>
            </w:pPr>
            <w:r>
              <w:rPr>
                <w:rFonts w:ascii="Times New Roman" w:cs="Times New Roman" w:eastAsia="Times New Roman" w:hAnsi="Times New Roman"/>
                <w:sz w:val="20"/>
                <w:szCs w:val="20"/>
                <w:b w:val="1"/>
                <w:bCs w:val="1"/>
                <w:i w:val="1"/>
                <w:iCs w:val="1"/>
                <w:color w:val="auto"/>
                <w:w w:val="94"/>
              </w:rPr>
              <w:t>IV</w:t>
            </w:r>
          </w:p>
        </w:tc>
        <w:tc>
          <w:tcPr>
            <w:tcW w:w="1900" w:type="dxa"/>
            <w:vAlign w:val="bottom"/>
            <w:gridSpan w:val="3"/>
          </w:tcPr>
          <w:p>
            <w:pPr>
              <w:jc w:val="center"/>
              <w:ind w:left="761"/>
              <w:spacing w:after="0"/>
              <w:rPr>
                <w:sz w:val="20"/>
                <w:szCs w:val="20"/>
                <w:color w:val="auto"/>
              </w:rPr>
            </w:pPr>
            <w:r>
              <w:rPr>
                <w:rFonts w:ascii="Times New Roman" w:cs="Times New Roman" w:eastAsia="Times New Roman" w:hAnsi="Times New Roman"/>
                <w:sz w:val="20"/>
                <w:szCs w:val="20"/>
                <w:b w:val="1"/>
                <w:bCs w:val="1"/>
                <w:i w:val="1"/>
                <w:iCs w:val="1"/>
                <w:color w:val="auto"/>
                <w:w w:val="98"/>
              </w:rPr>
              <w:t>&lt; 1.90:1.00</w:t>
            </w:r>
          </w:p>
        </w:tc>
        <w:tc>
          <w:tcPr>
            <w:tcW w:w="2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920" w:type="dxa"/>
            <w:vAlign w:val="bottom"/>
            <w:gridSpan w:val="3"/>
          </w:tcPr>
          <w:p>
            <w:pPr>
              <w:jc w:val="center"/>
              <w:ind w:left="441"/>
              <w:spacing w:after="0"/>
              <w:rPr>
                <w:sz w:val="20"/>
                <w:szCs w:val="20"/>
                <w:color w:val="auto"/>
              </w:rPr>
            </w:pPr>
            <w:r>
              <w:rPr>
                <w:rFonts w:ascii="Times New Roman" w:cs="Times New Roman" w:eastAsia="Times New Roman" w:hAnsi="Times New Roman"/>
                <w:sz w:val="20"/>
                <w:szCs w:val="20"/>
                <w:b w:val="1"/>
                <w:bCs w:val="1"/>
                <w:i w:val="1"/>
                <w:iCs w:val="1"/>
                <w:color w:val="auto"/>
                <w:w w:val="96"/>
              </w:rPr>
              <w:t>5.75%</w:t>
            </w: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40" w:type="dxa"/>
            <w:vAlign w:val="bottom"/>
            <w:gridSpan w:val="5"/>
          </w:tcPr>
          <w:p>
            <w:pPr>
              <w:jc w:val="center"/>
              <w:ind w:left="301"/>
              <w:spacing w:after="0"/>
              <w:rPr>
                <w:sz w:val="20"/>
                <w:szCs w:val="20"/>
                <w:color w:val="auto"/>
              </w:rPr>
            </w:pPr>
            <w:r>
              <w:rPr>
                <w:rFonts w:ascii="Times New Roman" w:cs="Times New Roman" w:eastAsia="Times New Roman" w:hAnsi="Times New Roman"/>
                <w:sz w:val="20"/>
                <w:szCs w:val="20"/>
                <w:b w:val="1"/>
                <w:bCs w:val="1"/>
                <w:i w:val="1"/>
                <w:iCs w:val="1"/>
                <w:color w:val="auto"/>
              </w:rPr>
              <w:t>4.75%</w:t>
            </w:r>
          </w:p>
        </w:tc>
        <w:tc>
          <w:tcPr>
            <w:tcW w:w="2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67" w:lineRule="exact"/>
        <w:rPr>
          <w:sz w:val="20"/>
          <w:szCs w:val="20"/>
          <w:color w:val="auto"/>
        </w:rPr>
      </w:pPr>
    </w:p>
    <w:p>
      <w:pPr>
        <w:jc w:val="both"/>
        <w:ind w:left="540" w:right="559" w:firstLine="1296"/>
        <w:spacing w:after="0" w:line="241" w:lineRule="auto"/>
        <w:rPr>
          <w:sz w:val="20"/>
          <w:szCs w:val="20"/>
          <w:color w:val="auto"/>
        </w:rPr>
      </w:pPr>
      <w:r>
        <w:rPr>
          <w:rFonts w:ascii="Times New Roman" w:cs="Times New Roman" w:eastAsia="Times New Roman" w:hAnsi="Times New Roman"/>
          <w:sz w:val="20"/>
          <w:szCs w:val="20"/>
          <w:color w:val="auto"/>
        </w:rPr>
        <w:t xml:space="preserve">No change in the Applicable Margin pursuant to clauses (b) </w:t>
      </w:r>
      <w:r>
        <w:rPr>
          <w:rFonts w:ascii="Times New Roman" w:cs="Times New Roman" w:eastAsia="Times New Roman" w:hAnsi="Times New Roman"/>
          <w:sz w:val="20"/>
          <w:szCs w:val="20"/>
          <w:b w:val="1"/>
          <w:bCs w:val="1"/>
          <w:i w:val="1"/>
          <w:iCs w:val="1"/>
          <w:color w:val="auto"/>
        </w:rPr>
        <w:t>or (c) above, as</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b w:val="1"/>
          <w:bCs w:val="1"/>
          <w:i w:val="1"/>
          <w:iCs w:val="1"/>
          <w:color w:val="auto"/>
        </w:rPr>
        <w:t xml:space="preserve">applicable </w:t>
      </w:r>
      <w:r>
        <w:rPr>
          <w:rFonts w:ascii="Times New Roman" w:cs="Times New Roman" w:eastAsia="Times New Roman" w:hAnsi="Times New Roman"/>
          <w:sz w:val="20"/>
          <w:szCs w:val="20"/>
          <w:color w:val="auto"/>
        </w:rPr>
        <w:t>shall be effective until the Business Day after the date on which Administrative Agent</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 xml:space="preserve">shall have received the applicable financial statements delivered pursuant to Section 6.1 and a Compliance Certificate pursuant to Section 6.2(b) calculating the Consolidated Net Leverage Ratio; provided that, (A) </w:t>
      </w:r>
      <w:r>
        <w:rPr>
          <w:rFonts w:ascii="Times New Roman" w:cs="Times New Roman" w:eastAsia="Times New Roman" w:hAnsi="Times New Roman"/>
          <w:sz w:val="20"/>
          <w:szCs w:val="20"/>
          <w:b w:val="1"/>
          <w:bCs w:val="1"/>
          <w:i w:val="1"/>
          <w:iCs w:val="1"/>
          <w:color w:val="auto"/>
        </w:rPr>
        <w:t>(x) Level II shall be deemed to be the applicable pricing level for the period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b w:val="1"/>
          <w:bCs w:val="1"/>
          <w:i w:val="1"/>
          <w:iCs w:val="1"/>
          <w:color w:val="auto"/>
        </w:rPr>
        <w:t xml:space="preserve">commencing on the 2026 Reporting Date (y) Level I shall be deemed to be the applicable pricing level for the period commencing on the date the Compliance Certificate for the fiscal quarter ending June 30, 2026 is (or is required to be) delivered, (B) </w:t>
      </w:r>
      <w:r>
        <w:rPr>
          <w:rFonts w:ascii="Times New Roman" w:cs="Times New Roman" w:eastAsia="Times New Roman" w:hAnsi="Times New Roman"/>
          <w:sz w:val="20"/>
          <w:szCs w:val="20"/>
          <w:color w:val="auto"/>
        </w:rPr>
        <w:t>if Holdings fails to deliver the</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financial statements required by Section 6.1 and the related Compliance Certificate required by Section 6.2(b) by the respective date required thereunder after the end of any related fiscal quarter or fiscal year of Holdings, the Applicable Margin shall be the rates corresponding to Level I in the foregoing table until such financial statements and Compliance Certificate are delivered, and (C) no reduction to the Applicable Margin shall become effective at any time (x) when an Event of Default has occurred and is continuing or (y) when the Loans (with accrued interest thereon) and all other amounts owing under this Agreement and the other Loan Documents have been declared to be due and payable in accordance with Section 8.2, at which time the rates corresponding to Level I in the foregoing table shall apply.</w:t>
      </w:r>
    </w:p>
    <w:p>
      <w:pPr>
        <w:spacing w:after="0" w:line="196" w:lineRule="exact"/>
        <w:rPr>
          <w:sz w:val="20"/>
          <w:szCs w:val="20"/>
          <w:color w:val="auto"/>
        </w:rPr>
      </w:pPr>
    </w:p>
    <w:p>
      <w:pPr>
        <w:jc w:val="both"/>
        <w:ind w:left="540" w:right="559" w:firstLine="1296"/>
        <w:spacing w:after="0" w:line="242" w:lineRule="auto"/>
        <w:rPr>
          <w:sz w:val="20"/>
          <w:szCs w:val="20"/>
          <w:color w:val="auto"/>
        </w:rPr>
      </w:pPr>
      <w:r>
        <w:rPr>
          <w:rFonts w:ascii="Times New Roman" w:cs="Times New Roman" w:eastAsia="Times New Roman" w:hAnsi="Times New Roman"/>
          <w:sz w:val="20"/>
          <w:szCs w:val="20"/>
          <w:color w:val="auto"/>
        </w:rPr>
        <w:t>If, as a result of any restatement of or other adjustment to the financial statements of the Loan Parties or for any other reason, the Administrative Agent determines that (x) the Consolidated Net Leverage Ratio as calculated by Holdings as of any applicable date was inaccurate and (y) a proper calculation of the Consolidated Net Leverage Ratio would have resulted in different pricing for any period, then (i) if the proper calculation of the Consolidated Net Leverage Ratio would have resulted in higher pricing for such period, the Borrower shall automatically and retroactively be obligated to pay to the Administrative Agent, for the benefit of the applicable Lenders, promptly on demand by the Administrative Agent, an amount equal to the excess of the amount of interest that should have been paid for such period over the amount of interest actually paid for such period; and (ii) if the proper calculation of the Consolidated Net Leverage Ratio would have resulted in lower pricing for such period, neither the Administrative Agent nor any Lender shall have any obligation to repay any interest or fees to the Borrower.</w:t>
      </w:r>
    </w:p>
    <w:p>
      <w:pPr>
        <w:spacing w:after="0" w:line="187" w:lineRule="exact"/>
        <w:rPr>
          <w:sz w:val="20"/>
          <w:szCs w:val="20"/>
          <w:color w:val="auto"/>
        </w:rPr>
      </w:pPr>
    </w:p>
    <w:p>
      <w:pPr>
        <w:jc w:val="both"/>
        <w:ind w:left="540" w:right="559"/>
        <w:spacing w:after="0" w:line="249" w:lineRule="auto"/>
        <w:rPr>
          <w:sz w:val="20"/>
          <w:szCs w:val="20"/>
          <w:color w:val="auto"/>
        </w:rPr>
      </w:pPr>
      <w:r>
        <w:rPr>
          <w:rFonts w:ascii="Times New Roman" w:cs="Times New Roman" w:eastAsia="Times New Roman" w:hAnsi="Times New Roman"/>
          <w:sz w:val="20"/>
          <w:szCs w:val="20"/>
          <w:color w:val="auto"/>
        </w:rPr>
        <w:t>With respect to Incremental Term Loans, Extended Term Loans, Extended Revolving Commitments and any Credit Agreement Refinancing Indebtedness, the “Applicable Margin” shall be as set forth in the applicable Incremental Amendment, Extension Amendment or Refinancing Amendment, as applicable.”</w:t>
      </w:r>
    </w:p>
    <w:p>
      <w:pPr>
        <w:spacing w:after="0" w:line="200" w:lineRule="exact"/>
        <w:rPr>
          <w:sz w:val="20"/>
          <w:szCs w:val="20"/>
          <w:color w:val="auto"/>
        </w:rPr>
      </w:pPr>
    </w:p>
    <w:p>
      <w:pPr>
        <w:spacing w:after="0" w:line="2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3</w:t>
      </w:r>
    </w:p>
    <w:p>
      <w:pPr>
        <w:spacing w:after="0" w:line="11"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4"/>
          <w:szCs w:val="14"/>
          <w:color w:val="auto"/>
        </w:rPr>
        <w:t>US-DOCS\171161013.8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339725</wp:posOffset>
            </wp:positionH>
            <wp:positionV relativeFrom="paragraph">
              <wp:posOffset>339090</wp:posOffset>
            </wp:positionV>
            <wp:extent cx="5040630" cy="260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74">
                      <a:extLst>
                        <a:ext uri="{28A0092B-C50C-407E-A947-70E740481C1C}"/>
                      </a:extLst>
                    </a:blip>
                    <a:srcRect/>
                    <a:stretch>
                      <a:fillRect/>
                    </a:stretch>
                  </pic:blipFill>
                  <pic:spPr bwMode="auto">
                    <a:xfrm>
                      <a:off x="0" y="0"/>
                      <a:ext cx="5040630" cy="26035"/>
                    </a:xfrm>
                    <a:prstGeom prst="rect">
                      <a:avLst/>
                    </a:prstGeom>
                    <a:noFill/>
                  </pic:spPr>
                </pic:pic>
              </a:graphicData>
            </a:graphic>
          </wp:anchor>
        </w:drawing>
      </w:r>
    </w:p>
    <w:p>
      <w:pPr>
        <w:sectPr>
          <w:pgSz w:w="11900" w:h="16838" w:orient="portrait"/>
          <w:cols w:equalWidth="0" w:num="1">
            <w:col w:w="9019"/>
          </w:cols>
          <w:pgMar w:left="1440" w:top="882" w:right="1440" w:bottom="1440" w:gutter="0" w:footer="0" w:header="0"/>
        </w:sectPr>
      </w:pPr>
    </w:p>
    <w:bookmarkStart w:id="54" w:name="page55"/>
    <w:bookmarkEnd w:id="54"/>
    <w:p>
      <w:pPr>
        <w:jc w:val="both"/>
        <w:ind w:left="540" w:right="559" w:firstLine="648"/>
        <w:spacing w:after="0" w:line="24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Loan Documents</w:t>
      </w:r>
      <w:r>
        <w:rPr>
          <w:rFonts w:ascii="Times New Roman" w:cs="Times New Roman" w:eastAsia="Times New Roman" w:hAnsi="Times New Roman"/>
          <w:sz w:val="20"/>
          <w:szCs w:val="20"/>
          <w:color w:val="auto"/>
        </w:rPr>
        <w:t xml:space="preserve">”: this Agreement, </w:t>
      </w:r>
      <w:r>
        <w:rPr>
          <w:rFonts w:ascii="Times New Roman" w:cs="Times New Roman" w:eastAsia="Times New Roman" w:hAnsi="Times New Roman"/>
          <w:sz w:val="20"/>
          <w:szCs w:val="20"/>
          <w:b w:val="1"/>
          <w:bCs w:val="1"/>
          <w:i w:val="1"/>
          <w:iCs w:val="1"/>
          <w:color w:val="auto"/>
        </w:rPr>
        <w:t>the First Amendment and Limited Waiver</w:t>
      </w:r>
      <w:r>
        <w:rPr>
          <w:rFonts w:ascii="Times New Roman" w:cs="Times New Roman" w:eastAsia="Times New Roman" w:hAnsi="Times New Roman"/>
          <w:sz w:val="20"/>
          <w:szCs w:val="20"/>
          <w:i w:val="1"/>
          <w:iCs w:val="1"/>
          <w:color w:val="auto"/>
        </w:rPr>
        <w:t>,</w:t>
      </w:r>
      <w:r>
        <w:rPr>
          <w:rFonts w:ascii="Times New Roman" w:cs="Times New Roman" w:eastAsia="Times New Roman" w:hAnsi="Times New Roman"/>
          <w:sz w:val="20"/>
          <w:szCs w:val="20"/>
          <w:color w:val="auto"/>
        </w:rPr>
        <w:t xml:space="preserve"> each Security Document, each Note, the Closing Payments Letter, </w:t>
      </w:r>
      <w:r>
        <w:rPr>
          <w:rFonts w:ascii="Times New Roman" w:cs="Times New Roman" w:eastAsia="Times New Roman" w:hAnsi="Times New Roman"/>
          <w:sz w:val="20"/>
          <w:szCs w:val="20"/>
          <w:b w:val="1"/>
          <w:bCs w:val="1"/>
          <w:i w:val="1"/>
          <w:iCs w:val="1"/>
          <w:color w:val="auto"/>
        </w:rPr>
        <w:t>the First Amendment Payments</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b w:val="1"/>
          <w:bCs w:val="1"/>
          <w:i w:val="1"/>
          <w:iCs w:val="1"/>
          <w:color w:val="auto"/>
        </w:rPr>
        <w:t>Letter</w:t>
      </w:r>
      <w:r>
        <w:rPr>
          <w:rFonts w:ascii="Times New Roman" w:cs="Times New Roman" w:eastAsia="Times New Roman" w:hAnsi="Times New Roman"/>
          <w:sz w:val="20"/>
          <w:szCs w:val="20"/>
          <w:color w:val="auto"/>
        </w:rPr>
        <w:t>, each Compliance Certificate, each Notice of Borrowing, each Incremental Joinder, each</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 xml:space="preserve">Incremental Amendment, any Extension Amendment, any Refinancing Amendment, each Notice of Conversion/Continuation, the Solvency Certificate, the Collateral Information Certificate, each L/C-Related Document binding on a Loan Party, and any agreement creating or perfecting rights in cash collateral pursuant to the provisions of </w:t>
      </w:r>
      <w:r>
        <w:rPr>
          <w:rFonts w:ascii="Times New Roman" w:cs="Times New Roman" w:eastAsia="Times New Roman" w:hAnsi="Times New Roman"/>
          <w:sz w:val="20"/>
          <w:szCs w:val="20"/>
          <w:u w:val="single" w:color="auto"/>
          <w:color w:val="auto"/>
        </w:rPr>
        <w:t>Section 3.10</w:t>
      </w:r>
      <w:r>
        <w:rPr>
          <w:rFonts w:ascii="Times New Roman" w:cs="Times New Roman" w:eastAsia="Times New Roman" w:hAnsi="Times New Roman"/>
          <w:sz w:val="20"/>
          <w:szCs w:val="20"/>
          <w:color w:val="auto"/>
        </w:rPr>
        <w:t>, or otherwise pursuant to this Agreement and the other Loan Documents, and any amendment, waiver, supplement or other modification to any of the foregoing. For the avoidance of doubt, the term “Loan Documents” shall not include any Specified Swap Agreement.”</w:t>
      </w:r>
    </w:p>
    <w:p>
      <w:pPr>
        <w:spacing w:after="0" w:line="200" w:lineRule="exact"/>
        <w:rPr>
          <w:sz w:val="20"/>
          <w:szCs w:val="20"/>
          <w:color w:val="auto"/>
        </w:rPr>
      </w:pPr>
    </w:p>
    <w:p>
      <w:pPr>
        <w:spacing w:after="0" w:line="216" w:lineRule="exact"/>
        <w:rPr>
          <w:sz w:val="20"/>
          <w:szCs w:val="20"/>
          <w:color w:val="auto"/>
        </w:rPr>
      </w:pPr>
    </w:p>
    <w:p>
      <w:pPr>
        <w:ind w:left="2480" w:hanging="320"/>
        <w:spacing w:after="0"/>
        <w:tabs>
          <w:tab w:leader="none" w:pos="2480" w:val="left"/>
        </w:tabs>
        <w:numPr>
          <w:ilvl w:val="0"/>
          <w:numId w:val="1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Section 7.1(a) of the Credit Agreement is hereby amended and restated as</w:t>
      </w:r>
    </w:p>
    <w:p>
      <w:pPr>
        <w:spacing w:after="0" w:line="21" w:lineRule="exact"/>
        <w:rPr>
          <w:rFonts w:ascii="Times New Roman" w:cs="Times New Roman" w:eastAsia="Times New Roman" w:hAnsi="Times New Roman"/>
          <w:sz w:val="20"/>
          <w:szCs w:val="20"/>
          <w:color w:val="auto"/>
        </w:rPr>
      </w:pPr>
    </w:p>
    <w:p>
      <w:pPr>
        <w:ind w:left="1520"/>
        <w:spacing w:after="0"/>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follows:</w:t>
      </w:r>
    </w:p>
    <w:p>
      <w:pPr>
        <w:spacing w:after="0" w:line="194" w:lineRule="exact"/>
        <w:rPr>
          <w:sz w:val="20"/>
          <w:szCs w:val="20"/>
          <w:color w:val="auto"/>
        </w:rPr>
      </w:pPr>
    </w:p>
    <w:p>
      <w:pPr>
        <w:jc w:val="both"/>
        <w:ind w:left="540" w:right="559" w:firstLine="648"/>
        <w:spacing w:after="0" w:line="254" w:lineRule="auto"/>
        <w:rPr>
          <w:sz w:val="20"/>
          <w:szCs w:val="20"/>
          <w:color w:val="auto"/>
        </w:rPr>
      </w:pPr>
      <w:r>
        <w:rPr>
          <w:rFonts w:ascii="Times New Roman" w:cs="Times New Roman" w:eastAsia="Times New Roman" w:hAnsi="Times New Roman"/>
          <w:sz w:val="20"/>
          <w:szCs w:val="20"/>
          <w:color w:val="auto"/>
        </w:rPr>
        <w:t xml:space="preserve">“(a) </w:t>
      </w:r>
      <w:r>
        <w:rPr>
          <w:rFonts w:ascii="Times New Roman" w:cs="Times New Roman" w:eastAsia="Times New Roman" w:hAnsi="Times New Roman"/>
          <w:sz w:val="20"/>
          <w:szCs w:val="20"/>
          <w:u w:val="single" w:color="auto"/>
          <w:color w:val="auto"/>
        </w:rPr>
        <w:t>Maximum Consolidated Net Leverage Ratio</w:t>
      </w:r>
      <w:r>
        <w:rPr>
          <w:rFonts w:ascii="Times New Roman" w:cs="Times New Roman" w:eastAsia="Times New Roman" w:hAnsi="Times New Roman"/>
          <w:sz w:val="20"/>
          <w:szCs w:val="20"/>
          <w:color w:val="auto"/>
        </w:rPr>
        <w:t>. Commencing September 30, 2024, permit the Consolidated Net Leverage Ratio, as at the last day of any period of four consecutive trailing fiscal quarters of Holdings, to exceed the corresponding ratio set forth below:</w:t>
      </w:r>
    </w:p>
    <w:p>
      <w:pPr>
        <w:spacing w:after="0" w:line="177" w:lineRule="exact"/>
        <w:rPr>
          <w:sz w:val="20"/>
          <w:szCs w:val="20"/>
          <w:color w:val="auto"/>
        </w:rPr>
      </w:pPr>
    </w:p>
    <w:tbl>
      <w:tblPr>
        <w:tblLayout w:type="fixed"/>
        <w:tblInd w:w="2930" w:type="dxa"/>
        <w:tblCellMar>
          <w:top w:w="0" w:type="dxa"/>
          <w:left w:w="0" w:type="dxa"/>
          <w:bottom w:w="0" w:type="dxa"/>
          <w:right w:w="0" w:type="dxa"/>
        </w:tblCellMar>
      </w:tblPr>
      <w:tr>
        <w:trPr>
          <w:trHeight w:val="61"/>
        </w:trPr>
        <w:tc>
          <w:tcPr>
            <w:tcW w:w="80" w:type="dxa"/>
            <w:vAlign w:val="bottom"/>
            <w:tcBorders>
              <w:top w:val="single" w:sz="8" w:color="auto"/>
              <w:left w:val="single" w:sz="8" w:color="auto"/>
              <w:bottom w:val="single" w:sz="8" w:color="auto"/>
              <w:right w:val="single" w:sz="8" w:color="auto"/>
            </w:tcBorders>
          </w:tcPr>
          <w:p>
            <w:pPr>
              <w:spacing w:after="0"/>
              <w:rPr>
                <w:sz w:val="5"/>
                <w:szCs w:val="5"/>
                <w:color w:val="auto"/>
              </w:rPr>
            </w:pPr>
          </w:p>
        </w:tc>
        <w:tc>
          <w:tcPr>
            <w:tcW w:w="1320" w:type="dxa"/>
            <w:vAlign w:val="bottom"/>
            <w:tcBorders>
              <w:top w:val="single" w:sz="8" w:color="auto"/>
              <w:bottom w:val="single" w:sz="8" w:color="auto"/>
            </w:tcBorders>
          </w:tcPr>
          <w:p>
            <w:pPr>
              <w:spacing w:after="0"/>
              <w:rPr>
                <w:sz w:val="5"/>
                <w:szCs w:val="5"/>
                <w:color w:val="auto"/>
              </w:rPr>
            </w:pPr>
          </w:p>
        </w:tc>
        <w:tc>
          <w:tcPr>
            <w:tcW w:w="1320" w:type="dxa"/>
            <w:vAlign w:val="bottom"/>
            <w:tcBorders>
              <w:top w:val="single" w:sz="8" w:color="auto"/>
              <w:bottom w:val="single" w:sz="8" w:color="auto"/>
              <w:right w:val="single" w:sz="8" w:color="auto"/>
            </w:tcBorders>
          </w:tcPr>
          <w:p>
            <w:pPr>
              <w:spacing w:after="0"/>
              <w:rPr>
                <w:sz w:val="5"/>
                <w:szCs w:val="5"/>
                <w:color w:val="auto"/>
              </w:rPr>
            </w:pPr>
          </w:p>
        </w:tc>
        <w:tc>
          <w:tcPr>
            <w:tcW w:w="40" w:type="dxa"/>
            <w:vAlign w:val="bottom"/>
            <w:tcBorders>
              <w:top w:val="single" w:sz="8" w:color="auto"/>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03"/>
        </w:trPr>
        <w:tc>
          <w:tcPr>
            <w:tcW w:w="80" w:type="dxa"/>
            <w:vAlign w:val="bottom"/>
            <w:tcBorders>
              <w:left w:val="single" w:sz="8" w:color="auto"/>
              <w:right w:val="single" w:sz="8" w:color="auto"/>
            </w:tcBorders>
          </w:tcPr>
          <w:p>
            <w:pPr>
              <w:spacing w:after="0"/>
              <w:rPr>
                <w:sz w:val="17"/>
                <w:szCs w:val="17"/>
                <w:color w:val="auto"/>
              </w:rPr>
            </w:pPr>
          </w:p>
        </w:tc>
        <w:tc>
          <w:tcPr>
            <w:tcW w:w="1320" w:type="dxa"/>
            <w:vAlign w:val="bottom"/>
            <w:tcBorders>
              <w:right w:val="single" w:sz="8" w:color="auto"/>
            </w:tcBorders>
            <w:shd w:val="clear" w:color="auto" w:fill="C0C0C0"/>
          </w:tcPr>
          <w:p>
            <w:pPr>
              <w:jc w:val="center"/>
              <w:spacing w:after="0" w:line="203" w:lineRule="exact"/>
              <w:rPr>
                <w:sz w:val="20"/>
                <w:szCs w:val="20"/>
                <w:color w:val="auto"/>
              </w:rPr>
            </w:pPr>
            <w:r>
              <w:rPr>
                <w:rFonts w:ascii="Times New Roman" w:cs="Times New Roman" w:eastAsia="Times New Roman" w:hAnsi="Times New Roman"/>
                <w:sz w:val="20"/>
                <w:szCs w:val="20"/>
                <w:b w:val="1"/>
                <w:bCs w:val="1"/>
                <w:color w:val="auto"/>
                <w:w w:val="99"/>
              </w:rPr>
              <w:t>Four</w:t>
            </w:r>
          </w:p>
        </w:tc>
        <w:tc>
          <w:tcPr>
            <w:tcW w:w="1320" w:type="dxa"/>
            <w:vAlign w:val="bottom"/>
            <w:tcBorders>
              <w:right w:val="single" w:sz="8" w:color="auto"/>
            </w:tcBorders>
            <w:vMerge w:val="restart"/>
            <w:shd w:val="clear" w:color="auto" w:fill="C0C0C0"/>
          </w:tcPr>
          <w:p>
            <w:pPr>
              <w:jc w:val="center"/>
              <w:spacing w:after="0"/>
              <w:rPr>
                <w:sz w:val="20"/>
                <w:szCs w:val="20"/>
                <w:color w:val="auto"/>
              </w:rPr>
            </w:pPr>
            <w:r>
              <w:rPr>
                <w:rFonts w:ascii="Times New Roman" w:cs="Times New Roman" w:eastAsia="Times New Roman" w:hAnsi="Times New Roman"/>
                <w:sz w:val="20"/>
                <w:szCs w:val="20"/>
                <w:b w:val="1"/>
                <w:bCs w:val="1"/>
                <w:color w:val="auto"/>
                <w:w w:val="99"/>
              </w:rPr>
              <w:t>Consolidated</w:t>
            </w:r>
          </w:p>
        </w:tc>
        <w:tc>
          <w:tcPr>
            <w:tcW w:w="4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08"/>
        </w:trPr>
        <w:tc>
          <w:tcPr>
            <w:tcW w:w="80" w:type="dxa"/>
            <w:vAlign w:val="bottom"/>
            <w:tcBorders>
              <w:left w:val="single" w:sz="8" w:color="auto"/>
              <w:right w:val="single" w:sz="8" w:color="auto"/>
            </w:tcBorders>
          </w:tcPr>
          <w:p>
            <w:pPr>
              <w:spacing w:after="0"/>
              <w:rPr>
                <w:sz w:val="9"/>
                <w:szCs w:val="9"/>
                <w:color w:val="auto"/>
              </w:rPr>
            </w:pPr>
          </w:p>
        </w:tc>
        <w:tc>
          <w:tcPr>
            <w:tcW w:w="1320" w:type="dxa"/>
            <w:vAlign w:val="bottom"/>
            <w:tcBorders>
              <w:right w:val="single" w:sz="8" w:color="auto"/>
            </w:tcBorders>
            <w:vMerge w:val="restart"/>
            <w:shd w:val="clear" w:color="auto" w:fill="C0C0C0"/>
          </w:tcPr>
          <w:p>
            <w:pPr>
              <w:jc w:val="center"/>
              <w:spacing w:after="0"/>
              <w:rPr>
                <w:sz w:val="20"/>
                <w:szCs w:val="20"/>
                <w:color w:val="auto"/>
              </w:rPr>
            </w:pPr>
            <w:r>
              <w:rPr>
                <w:rFonts w:ascii="Times New Roman" w:cs="Times New Roman" w:eastAsia="Times New Roman" w:hAnsi="Times New Roman"/>
                <w:sz w:val="20"/>
                <w:szCs w:val="20"/>
                <w:b w:val="1"/>
                <w:bCs w:val="1"/>
                <w:color w:val="auto"/>
                <w:w w:val="98"/>
              </w:rPr>
              <w:t>Consecutive</w:t>
            </w:r>
          </w:p>
        </w:tc>
        <w:tc>
          <w:tcPr>
            <w:tcW w:w="1320" w:type="dxa"/>
            <w:vAlign w:val="bottom"/>
            <w:tcBorders>
              <w:right w:val="single" w:sz="8" w:color="auto"/>
            </w:tcBorders>
            <w:vMerge w:val="continue"/>
            <w:shd w:val="clear" w:color="auto" w:fill="C0C0C0"/>
          </w:tcPr>
          <w:p>
            <w:pPr>
              <w:spacing w:after="0"/>
              <w:rPr>
                <w:sz w:val="9"/>
                <w:szCs w:val="9"/>
                <w:color w:val="auto"/>
              </w:rPr>
            </w:pPr>
          </w:p>
        </w:tc>
        <w:tc>
          <w:tcPr>
            <w:tcW w:w="4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21"/>
        </w:trPr>
        <w:tc>
          <w:tcPr>
            <w:tcW w:w="80" w:type="dxa"/>
            <w:vAlign w:val="bottom"/>
            <w:tcBorders>
              <w:left w:val="single" w:sz="8" w:color="auto"/>
              <w:right w:val="single" w:sz="8" w:color="auto"/>
            </w:tcBorders>
          </w:tcPr>
          <w:p>
            <w:pPr>
              <w:spacing w:after="0"/>
              <w:rPr>
                <w:sz w:val="10"/>
                <w:szCs w:val="10"/>
                <w:color w:val="auto"/>
              </w:rPr>
            </w:pPr>
          </w:p>
        </w:tc>
        <w:tc>
          <w:tcPr>
            <w:tcW w:w="1320" w:type="dxa"/>
            <w:vAlign w:val="bottom"/>
            <w:tcBorders>
              <w:right w:val="single" w:sz="8" w:color="auto"/>
            </w:tcBorders>
            <w:vMerge w:val="continue"/>
            <w:shd w:val="clear" w:color="auto" w:fill="C0C0C0"/>
          </w:tcPr>
          <w:p>
            <w:pPr>
              <w:spacing w:after="0"/>
              <w:rPr>
                <w:sz w:val="10"/>
                <w:szCs w:val="10"/>
                <w:color w:val="auto"/>
              </w:rPr>
            </w:pPr>
          </w:p>
        </w:tc>
        <w:tc>
          <w:tcPr>
            <w:tcW w:w="1320" w:type="dxa"/>
            <w:vAlign w:val="bottom"/>
            <w:tcBorders>
              <w:right w:val="single" w:sz="8" w:color="auto"/>
            </w:tcBorders>
            <w:vMerge w:val="restart"/>
            <w:shd w:val="clear" w:color="auto" w:fill="C0C0C0"/>
          </w:tcPr>
          <w:p>
            <w:pPr>
              <w:jc w:val="center"/>
              <w:spacing w:after="0"/>
              <w:rPr>
                <w:sz w:val="20"/>
                <w:szCs w:val="20"/>
                <w:color w:val="auto"/>
              </w:rPr>
            </w:pPr>
            <w:r>
              <w:rPr>
                <w:rFonts w:ascii="Times New Roman" w:cs="Times New Roman" w:eastAsia="Times New Roman" w:hAnsi="Times New Roman"/>
                <w:sz w:val="20"/>
                <w:szCs w:val="20"/>
                <w:b w:val="1"/>
                <w:bCs w:val="1"/>
                <w:color w:val="auto"/>
                <w:w w:val="99"/>
              </w:rPr>
              <w:t>Net</w:t>
            </w:r>
          </w:p>
        </w:tc>
        <w:tc>
          <w:tcPr>
            <w:tcW w:w="4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80" w:type="dxa"/>
            <w:vAlign w:val="bottom"/>
            <w:tcBorders>
              <w:left w:val="single" w:sz="8" w:color="auto"/>
              <w:right w:val="single" w:sz="8" w:color="auto"/>
            </w:tcBorders>
          </w:tcPr>
          <w:p>
            <w:pPr>
              <w:spacing w:after="0"/>
              <w:rPr>
                <w:sz w:val="9"/>
                <w:szCs w:val="9"/>
                <w:color w:val="auto"/>
              </w:rPr>
            </w:pPr>
          </w:p>
        </w:tc>
        <w:tc>
          <w:tcPr>
            <w:tcW w:w="1320" w:type="dxa"/>
            <w:vAlign w:val="bottom"/>
            <w:tcBorders>
              <w:right w:val="single" w:sz="8" w:color="auto"/>
            </w:tcBorders>
            <w:vMerge w:val="restart"/>
            <w:shd w:val="clear" w:color="auto" w:fill="C0C0C0"/>
          </w:tcPr>
          <w:p>
            <w:pPr>
              <w:jc w:val="center"/>
              <w:spacing w:after="0"/>
              <w:rPr>
                <w:sz w:val="20"/>
                <w:szCs w:val="20"/>
                <w:color w:val="auto"/>
              </w:rPr>
            </w:pPr>
            <w:r>
              <w:rPr>
                <w:rFonts w:ascii="Times New Roman" w:cs="Times New Roman" w:eastAsia="Times New Roman" w:hAnsi="Times New Roman"/>
                <w:sz w:val="20"/>
                <w:szCs w:val="20"/>
                <w:b w:val="1"/>
                <w:bCs w:val="1"/>
                <w:color w:val="auto"/>
                <w:w w:val="99"/>
              </w:rPr>
              <w:t>Fiscal</w:t>
            </w:r>
          </w:p>
        </w:tc>
        <w:tc>
          <w:tcPr>
            <w:tcW w:w="1320" w:type="dxa"/>
            <w:vAlign w:val="bottom"/>
            <w:tcBorders>
              <w:right w:val="single" w:sz="8" w:color="auto"/>
            </w:tcBorders>
            <w:vMerge w:val="continue"/>
            <w:shd w:val="clear" w:color="auto" w:fill="C0C0C0"/>
          </w:tcPr>
          <w:p>
            <w:pPr>
              <w:spacing w:after="0"/>
              <w:rPr>
                <w:sz w:val="9"/>
                <w:szCs w:val="9"/>
                <w:color w:val="auto"/>
              </w:rPr>
            </w:pPr>
          </w:p>
        </w:tc>
        <w:tc>
          <w:tcPr>
            <w:tcW w:w="4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22"/>
        </w:trPr>
        <w:tc>
          <w:tcPr>
            <w:tcW w:w="80" w:type="dxa"/>
            <w:vAlign w:val="bottom"/>
            <w:tcBorders>
              <w:left w:val="single" w:sz="8" w:color="auto"/>
              <w:right w:val="single" w:sz="8" w:color="auto"/>
            </w:tcBorders>
          </w:tcPr>
          <w:p>
            <w:pPr>
              <w:spacing w:after="0"/>
              <w:rPr>
                <w:sz w:val="10"/>
                <w:szCs w:val="10"/>
                <w:color w:val="auto"/>
              </w:rPr>
            </w:pPr>
          </w:p>
        </w:tc>
        <w:tc>
          <w:tcPr>
            <w:tcW w:w="1320" w:type="dxa"/>
            <w:vAlign w:val="bottom"/>
            <w:tcBorders>
              <w:right w:val="single" w:sz="8" w:color="auto"/>
            </w:tcBorders>
            <w:vMerge w:val="continue"/>
            <w:shd w:val="clear" w:color="auto" w:fill="C0C0C0"/>
          </w:tcPr>
          <w:p>
            <w:pPr>
              <w:spacing w:after="0"/>
              <w:rPr>
                <w:sz w:val="10"/>
                <w:szCs w:val="10"/>
                <w:color w:val="auto"/>
              </w:rPr>
            </w:pPr>
          </w:p>
        </w:tc>
        <w:tc>
          <w:tcPr>
            <w:tcW w:w="1320" w:type="dxa"/>
            <w:vAlign w:val="bottom"/>
            <w:tcBorders>
              <w:right w:val="single" w:sz="8" w:color="auto"/>
            </w:tcBorders>
            <w:vMerge w:val="restart"/>
            <w:shd w:val="clear" w:color="auto" w:fill="C0C0C0"/>
          </w:tcPr>
          <w:p>
            <w:pPr>
              <w:jc w:val="center"/>
              <w:spacing w:after="0"/>
              <w:rPr>
                <w:sz w:val="20"/>
                <w:szCs w:val="20"/>
                <w:color w:val="auto"/>
              </w:rPr>
            </w:pPr>
            <w:r>
              <w:rPr>
                <w:rFonts w:ascii="Times New Roman" w:cs="Times New Roman" w:eastAsia="Times New Roman" w:hAnsi="Times New Roman"/>
                <w:sz w:val="20"/>
                <w:szCs w:val="20"/>
                <w:b w:val="1"/>
                <w:bCs w:val="1"/>
                <w:color w:val="auto"/>
                <w:w w:val="98"/>
              </w:rPr>
              <w:t>Leverage</w:t>
            </w:r>
          </w:p>
        </w:tc>
        <w:tc>
          <w:tcPr>
            <w:tcW w:w="4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80" w:type="dxa"/>
            <w:vAlign w:val="bottom"/>
            <w:tcBorders>
              <w:left w:val="single" w:sz="8" w:color="auto"/>
              <w:right w:val="single" w:sz="8" w:color="auto"/>
            </w:tcBorders>
          </w:tcPr>
          <w:p>
            <w:pPr>
              <w:spacing w:after="0"/>
              <w:rPr>
                <w:sz w:val="9"/>
                <w:szCs w:val="9"/>
                <w:color w:val="auto"/>
              </w:rPr>
            </w:pPr>
          </w:p>
        </w:tc>
        <w:tc>
          <w:tcPr>
            <w:tcW w:w="1320" w:type="dxa"/>
            <w:vAlign w:val="bottom"/>
            <w:tcBorders>
              <w:right w:val="single" w:sz="8" w:color="auto"/>
            </w:tcBorders>
            <w:vMerge w:val="restart"/>
            <w:shd w:val="clear" w:color="auto" w:fill="C0C0C0"/>
          </w:tcPr>
          <w:p>
            <w:pPr>
              <w:jc w:val="center"/>
              <w:spacing w:after="0"/>
              <w:rPr>
                <w:sz w:val="20"/>
                <w:szCs w:val="20"/>
                <w:color w:val="auto"/>
              </w:rPr>
            </w:pPr>
            <w:r>
              <w:rPr>
                <w:rFonts w:ascii="Times New Roman" w:cs="Times New Roman" w:eastAsia="Times New Roman" w:hAnsi="Times New Roman"/>
                <w:sz w:val="20"/>
                <w:szCs w:val="20"/>
                <w:b w:val="1"/>
                <w:bCs w:val="1"/>
                <w:color w:val="auto"/>
                <w:w w:val="97"/>
              </w:rPr>
              <w:t>Quarter</w:t>
            </w:r>
          </w:p>
        </w:tc>
        <w:tc>
          <w:tcPr>
            <w:tcW w:w="1320" w:type="dxa"/>
            <w:vAlign w:val="bottom"/>
            <w:tcBorders>
              <w:right w:val="single" w:sz="8" w:color="auto"/>
            </w:tcBorders>
            <w:vMerge w:val="continue"/>
            <w:shd w:val="clear" w:color="auto" w:fill="C0C0C0"/>
          </w:tcPr>
          <w:p>
            <w:pPr>
              <w:spacing w:after="0"/>
              <w:rPr>
                <w:sz w:val="9"/>
                <w:szCs w:val="9"/>
                <w:color w:val="auto"/>
              </w:rPr>
            </w:pPr>
          </w:p>
        </w:tc>
        <w:tc>
          <w:tcPr>
            <w:tcW w:w="4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22"/>
        </w:trPr>
        <w:tc>
          <w:tcPr>
            <w:tcW w:w="80" w:type="dxa"/>
            <w:vAlign w:val="bottom"/>
            <w:tcBorders>
              <w:left w:val="single" w:sz="8" w:color="auto"/>
              <w:right w:val="single" w:sz="8" w:color="auto"/>
            </w:tcBorders>
          </w:tcPr>
          <w:p>
            <w:pPr>
              <w:spacing w:after="0"/>
              <w:rPr>
                <w:sz w:val="10"/>
                <w:szCs w:val="10"/>
                <w:color w:val="auto"/>
              </w:rPr>
            </w:pPr>
          </w:p>
        </w:tc>
        <w:tc>
          <w:tcPr>
            <w:tcW w:w="1320" w:type="dxa"/>
            <w:vAlign w:val="bottom"/>
            <w:tcBorders>
              <w:right w:val="single" w:sz="8" w:color="auto"/>
            </w:tcBorders>
            <w:vMerge w:val="continue"/>
            <w:shd w:val="clear" w:color="auto" w:fill="C0C0C0"/>
          </w:tcPr>
          <w:p>
            <w:pPr>
              <w:spacing w:after="0"/>
              <w:rPr>
                <w:sz w:val="10"/>
                <w:szCs w:val="10"/>
                <w:color w:val="auto"/>
              </w:rPr>
            </w:pPr>
          </w:p>
        </w:tc>
        <w:tc>
          <w:tcPr>
            <w:tcW w:w="1320" w:type="dxa"/>
            <w:vAlign w:val="bottom"/>
            <w:tcBorders>
              <w:right w:val="single" w:sz="8" w:color="auto"/>
            </w:tcBorders>
            <w:vMerge w:val="restart"/>
            <w:shd w:val="clear" w:color="auto" w:fill="C0C0C0"/>
          </w:tcPr>
          <w:p>
            <w:pPr>
              <w:jc w:val="center"/>
              <w:spacing w:after="0"/>
              <w:rPr>
                <w:sz w:val="20"/>
                <w:szCs w:val="20"/>
                <w:color w:val="auto"/>
              </w:rPr>
            </w:pPr>
            <w:r>
              <w:rPr>
                <w:rFonts w:ascii="Times New Roman" w:cs="Times New Roman" w:eastAsia="Times New Roman" w:hAnsi="Times New Roman"/>
                <w:sz w:val="20"/>
                <w:szCs w:val="20"/>
                <w:b w:val="1"/>
                <w:bCs w:val="1"/>
                <w:color w:val="auto"/>
                <w:w w:val="98"/>
              </w:rPr>
              <w:t>Ratio</w:t>
            </w:r>
          </w:p>
        </w:tc>
        <w:tc>
          <w:tcPr>
            <w:tcW w:w="4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41"/>
        </w:trPr>
        <w:tc>
          <w:tcPr>
            <w:tcW w:w="80" w:type="dxa"/>
            <w:vAlign w:val="bottom"/>
            <w:tcBorders>
              <w:left w:val="single" w:sz="8" w:color="auto"/>
              <w:right w:val="single" w:sz="8" w:color="auto"/>
            </w:tcBorders>
          </w:tcPr>
          <w:p>
            <w:pPr>
              <w:spacing w:after="0"/>
              <w:rPr>
                <w:sz w:val="12"/>
                <w:szCs w:val="12"/>
                <w:color w:val="auto"/>
              </w:rPr>
            </w:pPr>
          </w:p>
        </w:tc>
        <w:tc>
          <w:tcPr>
            <w:tcW w:w="1320" w:type="dxa"/>
            <w:vAlign w:val="bottom"/>
            <w:tcBorders>
              <w:right w:val="single" w:sz="8" w:color="auto"/>
            </w:tcBorders>
            <w:vMerge w:val="restart"/>
            <w:shd w:val="clear" w:color="auto" w:fill="C0C0C0"/>
          </w:tcPr>
          <w:p>
            <w:pPr>
              <w:jc w:val="center"/>
              <w:spacing w:after="0"/>
              <w:rPr>
                <w:sz w:val="20"/>
                <w:szCs w:val="20"/>
                <w:color w:val="auto"/>
              </w:rPr>
            </w:pPr>
            <w:r>
              <w:rPr>
                <w:rFonts w:ascii="Times New Roman" w:cs="Times New Roman" w:eastAsia="Times New Roman" w:hAnsi="Times New Roman"/>
                <w:sz w:val="20"/>
                <w:szCs w:val="20"/>
                <w:b w:val="1"/>
                <w:bCs w:val="1"/>
                <w:color w:val="auto"/>
                <w:w w:val="99"/>
              </w:rPr>
              <w:t>Ending</w:t>
            </w:r>
          </w:p>
        </w:tc>
        <w:tc>
          <w:tcPr>
            <w:tcW w:w="1320" w:type="dxa"/>
            <w:vAlign w:val="bottom"/>
            <w:tcBorders>
              <w:right w:val="single" w:sz="8" w:color="auto"/>
            </w:tcBorders>
            <w:vMerge w:val="continue"/>
            <w:shd w:val="clear" w:color="auto" w:fill="C0C0C0"/>
          </w:tcPr>
          <w:p>
            <w:pPr>
              <w:spacing w:after="0"/>
              <w:rPr>
                <w:sz w:val="12"/>
                <w:szCs w:val="12"/>
                <w:color w:val="auto"/>
              </w:rPr>
            </w:pPr>
          </w:p>
        </w:tc>
        <w:tc>
          <w:tcPr>
            <w:tcW w:w="4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70"/>
        </w:trPr>
        <w:tc>
          <w:tcPr>
            <w:tcW w:w="80" w:type="dxa"/>
            <w:vAlign w:val="bottom"/>
            <w:tcBorders>
              <w:left w:val="single" w:sz="8" w:color="auto"/>
              <w:right w:val="single" w:sz="8" w:color="auto"/>
            </w:tcBorders>
          </w:tcPr>
          <w:p>
            <w:pPr>
              <w:spacing w:after="0"/>
              <w:rPr>
                <w:sz w:val="14"/>
                <w:szCs w:val="14"/>
                <w:color w:val="auto"/>
              </w:rPr>
            </w:pPr>
          </w:p>
        </w:tc>
        <w:tc>
          <w:tcPr>
            <w:tcW w:w="1320" w:type="dxa"/>
            <w:vAlign w:val="bottom"/>
            <w:tcBorders>
              <w:bottom w:val="single" w:sz="8" w:color="C0C0C0"/>
              <w:right w:val="single" w:sz="8" w:color="auto"/>
            </w:tcBorders>
            <w:vMerge w:val="continue"/>
            <w:shd w:val="clear" w:color="auto" w:fill="C0C0C0"/>
          </w:tcPr>
          <w:p>
            <w:pPr>
              <w:spacing w:after="0"/>
              <w:rPr>
                <w:sz w:val="14"/>
                <w:szCs w:val="14"/>
                <w:color w:val="auto"/>
              </w:rPr>
            </w:pPr>
          </w:p>
        </w:tc>
        <w:tc>
          <w:tcPr>
            <w:tcW w:w="1320" w:type="dxa"/>
            <w:vAlign w:val="bottom"/>
            <w:tcBorders>
              <w:bottom w:val="single" w:sz="8" w:color="C0C0C0"/>
              <w:right w:val="single" w:sz="8" w:color="auto"/>
            </w:tcBorders>
            <w:shd w:val="clear" w:color="auto" w:fill="C0C0C0"/>
          </w:tcPr>
          <w:p>
            <w:pPr>
              <w:spacing w:after="0"/>
              <w:rPr>
                <w:sz w:val="14"/>
                <w:szCs w:val="14"/>
                <w:color w:val="auto"/>
              </w:rPr>
            </w:pPr>
          </w:p>
        </w:tc>
        <w:tc>
          <w:tcPr>
            <w:tcW w:w="4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00"/>
        </w:trPr>
        <w:tc>
          <w:tcPr>
            <w:tcW w:w="80" w:type="dxa"/>
            <w:vAlign w:val="bottom"/>
            <w:tcBorders>
              <w:left w:val="single" w:sz="8" w:color="auto"/>
              <w:right w:val="single" w:sz="8" w:color="auto"/>
            </w:tcBorders>
          </w:tcPr>
          <w:p>
            <w:pPr>
              <w:spacing w:after="0"/>
              <w:rPr>
                <w:sz w:val="17"/>
                <w:szCs w:val="17"/>
                <w:color w:val="auto"/>
              </w:rPr>
            </w:pPr>
          </w:p>
        </w:tc>
        <w:tc>
          <w:tcPr>
            <w:tcW w:w="1320" w:type="dxa"/>
            <w:vAlign w:val="bottom"/>
            <w:tcBorders>
              <w:top w:val="single" w:sz="8" w:color="auto"/>
              <w:right w:val="single" w:sz="8" w:color="auto"/>
            </w:tcBorders>
          </w:tcPr>
          <w:p>
            <w:pPr>
              <w:ind w:left="60"/>
              <w:spacing w:after="0" w:line="200" w:lineRule="exact"/>
              <w:rPr>
                <w:sz w:val="20"/>
                <w:szCs w:val="20"/>
                <w:color w:val="auto"/>
              </w:rPr>
            </w:pPr>
            <w:r>
              <w:rPr>
                <w:rFonts w:ascii="Times New Roman" w:cs="Times New Roman" w:eastAsia="Times New Roman" w:hAnsi="Times New Roman"/>
                <w:sz w:val="20"/>
                <w:szCs w:val="20"/>
                <w:color w:val="auto"/>
              </w:rPr>
              <w:t>September 30,</w:t>
            </w:r>
          </w:p>
        </w:tc>
        <w:tc>
          <w:tcPr>
            <w:tcW w:w="1320" w:type="dxa"/>
            <w:vAlign w:val="bottom"/>
            <w:tcBorders>
              <w:top w:val="single" w:sz="8" w:color="auto"/>
              <w:right w:val="single" w:sz="8" w:color="auto"/>
            </w:tcBorders>
          </w:tcPr>
          <w:p>
            <w:pPr>
              <w:jc w:val="center"/>
              <w:spacing w:after="0" w:line="200" w:lineRule="exact"/>
              <w:rPr>
                <w:sz w:val="20"/>
                <w:szCs w:val="20"/>
                <w:color w:val="auto"/>
              </w:rPr>
            </w:pPr>
            <w:r>
              <w:rPr>
                <w:rFonts w:ascii="Times New Roman" w:cs="Times New Roman" w:eastAsia="Times New Roman" w:hAnsi="Times New Roman"/>
                <w:sz w:val="20"/>
                <w:szCs w:val="20"/>
                <w:color w:val="auto"/>
              </w:rPr>
              <w:t>4.75:1.00</w:t>
            </w:r>
          </w:p>
        </w:tc>
        <w:tc>
          <w:tcPr>
            <w:tcW w:w="4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58"/>
        </w:trPr>
        <w:tc>
          <w:tcPr>
            <w:tcW w:w="80" w:type="dxa"/>
            <w:vAlign w:val="bottom"/>
            <w:tcBorders>
              <w:left w:val="single" w:sz="8" w:color="auto"/>
              <w:right w:val="single" w:sz="8" w:color="auto"/>
            </w:tcBorders>
          </w:tcPr>
          <w:p>
            <w:pPr>
              <w:spacing w:after="0"/>
              <w:rPr>
                <w:sz w:val="22"/>
                <w:szCs w:val="22"/>
                <w:color w:val="auto"/>
              </w:rPr>
            </w:pPr>
          </w:p>
        </w:tc>
        <w:tc>
          <w:tcPr>
            <w:tcW w:w="132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2024</w:t>
            </w:r>
          </w:p>
        </w:tc>
        <w:tc>
          <w:tcPr>
            <w:tcW w:w="1320" w:type="dxa"/>
            <w:vAlign w:val="bottom"/>
            <w:tcBorders>
              <w:right w:val="single" w:sz="8" w:color="auto"/>
            </w:tcBorders>
          </w:tcPr>
          <w:p>
            <w:pPr>
              <w:spacing w:after="0"/>
              <w:rPr>
                <w:sz w:val="22"/>
                <w:szCs w:val="22"/>
                <w:color w:val="auto"/>
              </w:rPr>
            </w:pPr>
          </w:p>
        </w:tc>
        <w:tc>
          <w:tcPr>
            <w:tcW w:w="4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48"/>
        </w:trPr>
        <w:tc>
          <w:tcPr>
            <w:tcW w:w="80" w:type="dxa"/>
            <w:vAlign w:val="bottom"/>
            <w:tcBorders>
              <w:left w:val="single" w:sz="8" w:color="auto"/>
              <w:right w:val="single" w:sz="8" w:color="auto"/>
            </w:tcBorders>
          </w:tcPr>
          <w:p>
            <w:pPr>
              <w:spacing w:after="0"/>
              <w:rPr>
                <w:sz w:val="4"/>
                <w:szCs w:val="4"/>
                <w:color w:val="auto"/>
              </w:rPr>
            </w:pPr>
          </w:p>
        </w:tc>
        <w:tc>
          <w:tcPr>
            <w:tcW w:w="1320" w:type="dxa"/>
            <w:vAlign w:val="bottom"/>
            <w:tcBorders>
              <w:bottom w:val="single" w:sz="8" w:color="auto"/>
              <w:right w:val="single" w:sz="8" w:color="auto"/>
            </w:tcBorders>
          </w:tcPr>
          <w:p>
            <w:pPr>
              <w:spacing w:after="0"/>
              <w:rPr>
                <w:sz w:val="4"/>
                <w:szCs w:val="4"/>
                <w:color w:val="auto"/>
              </w:rPr>
            </w:pPr>
          </w:p>
        </w:tc>
        <w:tc>
          <w:tcPr>
            <w:tcW w:w="1320" w:type="dxa"/>
            <w:vAlign w:val="bottom"/>
            <w:tcBorders>
              <w:bottom w:val="single" w:sz="8" w:color="auto"/>
              <w:right w:val="single" w:sz="8" w:color="auto"/>
            </w:tcBorders>
          </w:tcPr>
          <w:p>
            <w:pPr>
              <w:spacing w:after="0"/>
              <w:rPr>
                <w:sz w:val="4"/>
                <w:szCs w:val="4"/>
                <w:color w:val="auto"/>
              </w:rPr>
            </w:pPr>
          </w:p>
        </w:tc>
        <w:tc>
          <w:tcPr>
            <w:tcW w:w="40" w:type="dxa"/>
            <w:vAlign w:val="bottom"/>
            <w:tcBorders>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00"/>
        </w:trPr>
        <w:tc>
          <w:tcPr>
            <w:tcW w:w="80" w:type="dxa"/>
            <w:vAlign w:val="bottom"/>
            <w:tcBorders>
              <w:left w:val="single" w:sz="8" w:color="auto"/>
              <w:right w:val="single" w:sz="8" w:color="auto"/>
            </w:tcBorders>
          </w:tcPr>
          <w:p>
            <w:pPr>
              <w:spacing w:after="0"/>
              <w:rPr>
                <w:sz w:val="17"/>
                <w:szCs w:val="17"/>
                <w:color w:val="auto"/>
              </w:rPr>
            </w:pPr>
          </w:p>
        </w:tc>
        <w:tc>
          <w:tcPr>
            <w:tcW w:w="1320" w:type="dxa"/>
            <w:vAlign w:val="bottom"/>
            <w:tcBorders>
              <w:right w:val="single" w:sz="8" w:color="auto"/>
            </w:tcBorders>
          </w:tcPr>
          <w:p>
            <w:pPr>
              <w:ind w:left="60"/>
              <w:spacing w:after="0" w:line="200" w:lineRule="exact"/>
              <w:rPr>
                <w:sz w:val="20"/>
                <w:szCs w:val="20"/>
                <w:color w:val="auto"/>
              </w:rPr>
            </w:pPr>
            <w:r>
              <w:rPr>
                <w:rFonts w:ascii="Times New Roman" w:cs="Times New Roman" w:eastAsia="Times New Roman" w:hAnsi="Times New Roman"/>
                <w:sz w:val="20"/>
                <w:szCs w:val="20"/>
                <w:color w:val="auto"/>
              </w:rPr>
              <w:t>December 31,</w:t>
            </w:r>
          </w:p>
        </w:tc>
        <w:tc>
          <w:tcPr>
            <w:tcW w:w="1320" w:type="dxa"/>
            <w:vAlign w:val="bottom"/>
            <w:tcBorders>
              <w:right w:val="single" w:sz="8" w:color="auto"/>
            </w:tcBorders>
          </w:tcPr>
          <w:p>
            <w:pPr>
              <w:jc w:val="center"/>
              <w:spacing w:after="0" w:line="200" w:lineRule="exact"/>
              <w:rPr>
                <w:sz w:val="20"/>
                <w:szCs w:val="20"/>
                <w:color w:val="auto"/>
              </w:rPr>
            </w:pPr>
            <w:r>
              <w:rPr>
                <w:rFonts w:ascii="Times New Roman" w:cs="Times New Roman" w:eastAsia="Times New Roman" w:hAnsi="Times New Roman"/>
                <w:sz w:val="20"/>
                <w:szCs w:val="20"/>
                <w:color w:val="auto"/>
              </w:rPr>
              <w:t>4.75:1.00</w:t>
            </w:r>
          </w:p>
        </w:tc>
        <w:tc>
          <w:tcPr>
            <w:tcW w:w="4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58"/>
        </w:trPr>
        <w:tc>
          <w:tcPr>
            <w:tcW w:w="80" w:type="dxa"/>
            <w:vAlign w:val="bottom"/>
            <w:tcBorders>
              <w:left w:val="single" w:sz="8" w:color="auto"/>
              <w:right w:val="single" w:sz="8" w:color="auto"/>
            </w:tcBorders>
          </w:tcPr>
          <w:p>
            <w:pPr>
              <w:spacing w:after="0"/>
              <w:rPr>
                <w:sz w:val="22"/>
                <w:szCs w:val="22"/>
                <w:color w:val="auto"/>
              </w:rPr>
            </w:pPr>
          </w:p>
        </w:tc>
        <w:tc>
          <w:tcPr>
            <w:tcW w:w="132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2024</w:t>
            </w:r>
          </w:p>
        </w:tc>
        <w:tc>
          <w:tcPr>
            <w:tcW w:w="1320" w:type="dxa"/>
            <w:vAlign w:val="bottom"/>
            <w:tcBorders>
              <w:right w:val="single" w:sz="8" w:color="auto"/>
            </w:tcBorders>
          </w:tcPr>
          <w:p>
            <w:pPr>
              <w:spacing w:after="0"/>
              <w:rPr>
                <w:sz w:val="22"/>
                <w:szCs w:val="22"/>
                <w:color w:val="auto"/>
              </w:rPr>
            </w:pPr>
          </w:p>
        </w:tc>
        <w:tc>
          <w:tcPr>
            <w:tcW w:w="4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48"/>
        </w:trPr>
        <w:tc>
          <w:tcPr>
            <w:tcW w:w="80" w:type="dxa"/>
            <w:vAlign w:val="bottom"/>
            <w:tcBorders>
              <w:left w:val="single" w:sz="8" w:color="auto"/>
              <w:right w:val="single" w:sz="8" w:color="auto"/>
            </w:tcBorders>
          </w:tcPr>
          <w:p>
            <w:pPr>
              <w:spacing w:after="0"/>
              <w:rPr>
                <w:sz w:val="4"/>
                <w:szCs w:val="4"/>
                <w:color w:val="auto"/>
              </w:rPr>
            </w:pPr>
          </w:p>
        </w:tc>
        <w:tc>
          <w:tcPr>
            <w:tcW w:w="1320" w:type="dxa"/>
            <w:vAlign w:val="bottom"/>
            <w:tcBorders>
              <w:bottom w:val="single" w:sz="8" w:color="auto"/>
              <w:right w:val="single" w:sz="8" w:color="auto"/>
            </w:tcBorders>
          </w:tcPr>
          <w:p>
            <w:pPr>
              <w:spacing w:after="0"/>
              <w:rPr>
                <w:sz w:val="4"/>
                <w:szCs w:val="4"/>
                <w:color w:val="auto"/>
              </w:rPr>
            </w:pPr>
          </w:p>
        </w:tc>
        <w:tc>
          <w:tcPr>
            <w:tcW w:w="1320" w:type="dxa"/>
            <w:vAlign w:val="bottom"/>
            <w:tcBorders>
              <w:bottom w:val="single" w:sz="8" w:color="auto"/>
              <w:right w:val="single" w:sz="8" w:color="auto"/>
            </w:tcBorders>
          </w:tcPr>
          <w:p>
            <w:pPr>
              <w:spacing w:after="0"/>
              <w:rPr>
                <w:sz w:val="4"/>
                <w:szCs w:val="4"/>
                <w:color w:val="auto"/>
              </w:rPr>
            </w:pPr>
          </w:p>
        </w:tc>
        <w:tc>
          <w:tcPr>
            <w:tcW w:w="40" w:type="dxa"/>
            <w:vAlign w:val="bottom"/>
            <w:tcBorders>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00"/>
        </w:trPr>
        <w:tc>
          <w:tcPr>
            <w:tcW w:w="80" w:type="dxa"/>
            <w:vAlign w:val="bottom"/>
            <w:tcBorders>
              <w:left w:val="single" w:sz="8" w:color="auto"/>
              <w:right w:val="single" w:sz="8" w:color="auto"/>
            </w:tcBorders>
          </w:tcPr>
          <w:p>
            <w:pPr>
              <w:spacing w:after="0"/>
              <w:rPr>
                <w:sz w:val="17"/>
                <w:szCs w:val="17"/>
                <w:color w:val="auto"/>
              </w:rPr>
            </w:pPr>
          </w:p>
        </w:tc>
        <w:tc>
          <w:tcPr>
            <w:tcW w:w="1320" w:type="dxa"/>
            <w:vAlign w:val="bottom"/>
            <w:tcBorders>
              <w:right w:val="single" w:sz="8" w:color="auto"/>
            </w:tcBorders>
          </w:tcPr>
          <w:p>
            <w:pPr>
              <w:ind w:left="60"/>
              <w:spacing w:after="0" w:line="200" w:lineRule="exact"/>
              <w:rPr>
                <w:sz w:val="20"/>
                <w:szCs w:val="20"/>
                <w:color w:val="auto"/>
              </w:rPr>
            </w:pPr>
            <w:r>
              <w:rPr>
                <w:rFonts w:ascii="Times New Roman" w:cs="Times New Roman" w:eastAsia="Times New Roman" w:hAnsi="Times New Roman"/>
                <w:sz w:val="20"/>
                <w:szCs w:val="20"/>
                <w:color w:val="auto"/>
              </w:rPr>
              <w:t>March 31,</w:t>
            </w:r>
          </w:p>
        </w:tc>
        <w:tc>
          <w:tcPr>
            <w:tcW w:w="1320" w:type="dxa"/>
            <w:vAlign w:val="bottom"/>
            <w:tcBorders>
              <w:right w:val="single" w:sz="8" w:color="auto"/>
            </w:tcBorders>
          </w:tcPr>
          <w:p>
            <w:pPr>
              <w:jc w:val="center"/>
              <w:spacing w:after="0" w:line="200" w:lineRule="exact"/>
              <w:rPr>
                <w:sz w:val="20"/>
                <w:szCs w:val="20"/>
                <w:color w:val="auto"/>
              </w:rPr>
            </w:pPr>
            <w:r>
              <w:rPr>
                <w:rFonts w:ascii="Times New Roman" w:cs="Times New Roman" w:eastAsia="Times New Roman" w:hAnsi="Times New Roman"/>
                <w:sz w:val="20"/>
                <w:szCs w:val="20"/>
                <w:color w:val="auto"/>
              </w:rPr>
              <w:t>4.75:1.00</w:t>
            </w:r>
          </w:p>
        </w:tc>
        <w:tc>
          <w:tcPr>
            <w:tcW w:w="4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58"/>
        </w:trPr>
        <w:tc>
          <w:tcPr>
            <w:tcW w:w="80" w:type="dxa"/>
            <w:vAlign w:val="bottom"/>
            <w:tcBorders>
              <w:left w:val="single" w:sz="8" w:color="auto"/>
              <w:right w:val="single" w:sz="8" w:color="auto"/>
            </w:tcBorders>
          </w:tcPr>
          <w:p>
            <w:pPr>
              <w:spacing w:after="0"/>
              <w:rPr>
                <w:sz w:val="22"/>
                <w:szCs w:val="22"/>
                <w:color w:val="auto"/>
              </w:rPr>
            </w:pPr>
          </w:p>
        </w:tc>
        <w:tc>
          <w:tcPr>
            <w:tcW w:w="132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2025</w:t>
            </w:r>
          </w:p>
        </w:tc>
        <w:tc>
          <w:tcPr>
            <w:tcW w:w="1320" w:type="dxa"/>
            <w:vAlign w:val="bottom"/>
            <w:tcBorders>
              <w:right w:val="single" w:sz="8" w:color="auto"/>
            </w:tcBorders>
          </w:tcPr>
          <w:p>
            <w:pPr>
              <w:spacing w:after="0"/>
              <w:rPr>
                <w:sz w:val="22"/>
                <w:szCs w:val="22"/>
                <w:color w:val="auto"/>
              </w:rPr>
            </w:pPr>
          </w:p>
        </w:tc>
        <w:tc>
          <w:tcPr>
            <w:tcW w:w="4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48"/>
        </w:trPr>
        <w:tc>
          <w:tcPr>
            <w:tcW w:w="80" w:type="dxa"/>
            <w:vAlign w:val="bottom"/>
            <w:tcBorders>
              <w:left w:val="single" w:sz="8" w:color="auto"/>
              <w:right w:val="single" w:sz="8" w:color="auto"/>
            </w:tcBorders>
          </w:tcPr>
          <w:p>
            <w:pPr>
              <w:spacing w:after="0"/>
              <w:rPr>
                <w:sz w:val="4"/>
                <w:szCs w:val="4"/>
                <w:color w:val="auto"/>
              </w:rPr>
            </w:pPr>
          </w:p>
        </w:tc>
        <w:tc>
          <w:tcPr>
            <w:tcW w:w="1320" w:type="dxa"/>
            <w:vAlign w:val="bottom"/>
            <w:tcBorders>
              <w:bottom w:val="single" w:sz="8" w:color="auto"/>
              <w:right w:val="single" w:sz="8" w:color="auto"/>
            </w:tcBorders>
          </w:tcPr>
          <w:p>
            <w:pPr>
              <w:spacing w:after="0"/>
              <w:rPr>
                <w:sz w:val="4"/>
                <w:szCs w:val="4"/>
                <w:color w:val="auto"/>
              </w:rPr>
            </w:pPr>
          </w:p>
        </w:tc>
        <w:tc>
          <w:tcPr>
            <w:tcW w:w="1320" w:type="dxa"/>
            <w:vAlign w:val="bottom"/>
            <w:tcBorders>
              <w:bottom w:val="single" w:sz="8" w:color="auto"/>
              <w:right w:val="single" w:sz="8" w:color="auto"/>
            </w:tcBorders>
          </w:tcPr>
          <w:p>
            <w:pPr>
              <w:spacing w:after="0"/>
              <w:rPr>
                <w:sz w:val="4"/>
                <w:szCs w:val="4"/>
                <w:color w:val="auto"/>
              </w:rPr>
            </w:pPr>
          </w:p>
        </w:tc>
        <w:tc>
          <w:tcPr>
            <w:tcW w:w="40" w:type="dxa"/>
            <w:vAlign w:val="bottom"/>
            <w:tcBorders>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52"/>
        </w:trPr>
        <w:tc>
          <w:tcPr>
            <w:tcW w:w="80" w:type="dxa"/>
            <w:vAlign w:val="bottom"/>
            <w:tcBorders>
              <w:left w:val="single" w:sz="8" w:color="auto"/>
              <w:right w:val="single" w:sz="8" w:color="auto"/>
            </w:tcBorders>
          </w:tcPr>
          <w:p>
            <w:pPr>
              <w:spacing w:after="0"/>
              <w:rPr>
                <w:sz w:val="21"/>
                <w:szCs w:val="21"/>
                <w:color w:val="auto"/>
              </w:rPr>
            </w:pPr>
          </w:p>
        </w:tc>
        <w:tc>
          <w:tcPr>
            <w:tcW w:w="132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June 30, 2025</w:t>
            </w:r>
          </w:p>
        </w:tc>
        <w:tc>
          <w:tcPr>
            <w:tcW w:w="13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rPr>
              <w:t>4.75:1.00</w:t>
            </w:r>
          </w:p>
        </w:tc>
        <w:tc>
          <w:tcPr>
            <w:tcW w:w="4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5"/>
        </w:trPr>
        <w:tc>
          <w:tcPr>
            <w:tcW w:w="80" w:type="dxa"/>
            <w:vAlign w:val="bottom"/>
            <w:tcBorders>
              <w:left w:val="single" w:sz="8" w:color="auto"/>
              <w:right w:val="single" w:sz="8" w:color="auto"/>
            </w:tcBorders>
          </w:tcPr>
          <w:p>
            <w:pPr>
              <w:spacing w:after="0"/>
              <w:rPr>
                <w:sz w:val="2"/>
                <w:szCs w:val="2"/>
                <w:color w:val="auto"/>
              </w:rPr>
            </w:pPr>
          </w:p>
        </w:tc>
        <w:tc>
          <w:tcPr>
            <w:tcW w:w="1320" w:type="dxa"/>
            <w:vAlign w:val="bottom"/>
            <w:tcBorders>
              <w:bottom w:val="single" w:sz="8" w:color="auto"/>
              <w:right w:val="single" w:sz="8" w:color="auto"/>
            </w:tcBorders>
          </w:tcPr>
          <w:p>
            <w:pPr>
              <w:spacing w:after="0"/>
              <w:rPr>
                <w:sz w:val="2"/>
                <w:szCs w:val="2"/>
                <w:color w:val="auto"/>
              </w:rPr>
            </w:pPr>
          </w:p>
        </w:tc>
        <w:tc>
          <w:tcPr>
            <w:tcW w:w="1320" w:type="dxa"/>
            <w:vAlign w:val="bottom"/>
            <w:tcBorders>
              <w:bottom w:val="single" w:sz="8" w:color="auto"/>
              <w:right w:val="single" w:sz="8" w:color="auto"/>
            </w:tcBorders>
          </w:tcPr>
          <w:p>
            <w:pPr>
              <w:spacing w:after="0"/>
              <w:rPr>
                <w:sz w:val="2"/>
                <w:szCs w:val="2"/>
                <w:color w:val="auto"/>
              </w:rPr>
            </w:pPr>
          </w:p>
        </w:tc>
        <w:tc>
          <w:tcPr>
            <w:tcW w:w="40" w:type="dxa"/>
            <w:vAlign w:val="bottom"/>
            <w:tcBorders>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0"/>
        </w:trPr>
        <w:tc>
          <w:tcPr>
            <w:tcW w:w="80" w:type="dxa"/>
            <w:vAlign w:val="bottom"/>
            <w:tcBorders>
              <w:left w:val="single" w:sz="8" w:color="auto"/>
              <w:right w:val="single" w:sz="8" w:color="auto"/>
            </w:tcBorders>
          </w:tcPr>
          <w:p>
            <w:pPr>
              <w:spacing w:after="0"/>
              <w:rPr>
                <w:sz w:val="17"/>
                <w:szCs w:val="17"/>
                <w:color w:val="auto"/>
              </w:rPr>
            </w:pPr>
          </w:p>
        </w:tc>
        <w:tc>
          <w:tcPr>
            <w:tcW w:w="1320" w:type="dxa"/>
            <w:vAlign w:val="bottom"/>
            <w:tcBorders>
              <w:right w:val="single" w:sz="8" w:color="auto"/>
            </w:tcBorders>
          </w:tcPr>
          <w:p>
            <w:pPr>
              <w:ind w:left="60"/>
              <w:spacing w:after="0" w:line="200" w:lineRule="exact"/>
              <w:rPr>
                <w:sz w:val="20"/>
                <w:szCs w:val="20"/>
                <w:color w:val="auto"/>
              </w:rPr>
            </w:pPr>
            <w:r>
              <w:rPr>
                <w:rFonts w:ascii="Times New Roman" w:cs="Times New Roman" w:eastAsia="Times New Roman" w:hAnsi="Times New Roman"/>
                <w:sz w:val="20"/>
                <w:szCs w:val="20"/>
                <w:color w:val="auto"/>
              </w:rPr>
              <w:t>September 30,</w:t>
            </w:r>
          </w:p>
        </w:tc>
        <w:tc>
          <w:tcPr>
            <w:tcW w:w="1320" w:type="dxa"/>
            <w:vAlign w:val="bottom"/>
            <w:tcBorders>
              <w:right w:val="single" w:sz="8" w:color="auto"/>
            </w:tcBorders>
          </w:tcPr>
          <w:p>
            <w:pPr>
              <w:jc w:val="center"/>
              <w:spacing w:after="0" w:line="200" w:lineRule="exact"/>
              <w:rPr>
                <w:sz w:val="20"/>
                <w:szCs w:val="20"/>
                <w:color w:val="auto"/>
              </w:rPr>
            </w:pPr>
            <w:r>
              <w:rPr>
                <w:rFonts w:ascii="Times New Roman" w:cs="Times New Roman" w:eastAsia="Times New Roman" w:hAnsi="Times New Roman"/>
                <w:sz w:val="20"/>
                <w:szCs w:val="20"/>
                <w:color w:val="auto"/>
              </w:rPr>
              <w:t>4.75:1.00</w:t>
            </w:r>
          </w:p>
        </w:tc>
        <w:tc>
          <w:tcPr>
            <w:tcW w:w="4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58"/>
        </w:trPr>
        <w:tc>
          <w:tcPr>
            <w:tcW w:w="80" w:type="dxa"/>
            <w:vAlign w:val="bottom"/>
            <w:tcBorders>
              <w:left w:val="single" w:sz="8" w:color="auto"/>
              <w:right w:val="single" w:sz="8" w:color="auto"/>
            </w:tcBorders>
          </w:tcPr>
          <w:p>
            <w:pPr>
              <w:spacing w:after="0"/>
              <w:rPr>
                <w:sz w:val="22"/>
                <w:szCs w:val="22"/>
                <w:color w:val="auto"/>
              </w:rPr>
            </w:pPr>
          </w:p>
        </w:tc>
        <w:tc>
          <w:tcPr>
            <w:tcW w:w="132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2025</w:t>
            </w:r>
          </w:p>
        </w:tc>
        <w:tc>
          <w:tcPr>
            <w:tcW w:w="1320" w:type="dxa"/>
            <w:vAlign w:val="bottom"/>
            <w:tcBorders>
              <w:right w:val="single" w:sz="8" w:color="auto"/>
            </w:tcBorders>
          </w:tcPr>
          <w:p>
            <w:pPr>
              <w:spacing w:after="0"/>
              <w:rPr>
                <w:sz w:val="22"/>
                <w:szCs w:val="22"/>
                <w:color w:val="auto"/>
              </w:rPr>
            </w:pPr>
          </w:p>
        </w:tc>
        <w:tc>
          <w:tcPr>
            <w:tcW w:w="4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48"/>
        </w:trPr>
        <w:tc>
          <w:tcPr>
            <w:tcW w:w="80" w:type="dxa"/>
            <w:vAlign w:val="bottom"/>
            <w:tcBorders>
              <w:left w:val="single" w:sz="8" w:color="auto"/>
              <w:right w:val="single" w:sz="8" w:color="auto"/>
            </w:tcBorders>
          </w:tcPr>
          <w:p>
            <w:pPr>
              <w:spacing w:after="0"/>
              <w:rPr>
                <w:sz w:val="4"/>
                <w:szCs w:val="4"/>
                <w:color w:val="auto"/>
              </w:rPr>
            </w:pPr>
          </w:p>
        </w:tc>
        <w:tc>
          <w:tcPr>
            <w:tcW w:w="1320" w:type="dxa"/>
            <w:vAlign w:val="bottom"/>
            <w:tcBorders>
              <w:bottom w:val="single" w:sz="8" w:color="auto"/>
              <w:right w:val="single" w:sz="8" w:color="auto"/>
            </w:tcBorders>
          </w:tcPr>
          <w:p>
            <w:pPr>
              <w:spacing w:after="0"/>
              <w:rPr>
                <w:sz w:val="4"/>
                <w:szCs w:val="4"/>
                <w:color w:val="auto"/>
              </w:rPr>
            </w:pPr>
          </w:p>
        </w:tc>
        <w:tc>
          <w:tcPr>
            <w:tcW w:w="1320" w:type="dxa"/>
            <w:vAlign w:val="bottom"/>
            <w:tcBorders>
              <w:bottom w:val="single" w:sz="8" w:color="auto"/>
              <w:right w:val="single" w:sz="8" w:color="auto"/>
            </w:tcBorders>
          </w:tcPr>
          <w:p>
            <w:pPr>
              <w:spacing w:after="0"/>
              <w:rPr>
                <w:sz w:val="4"/>
                <w:szCs w:val="4"/>
                <w:color w:val="auto"/>
              </w:rPr>
            </w:pPr>
          </w:p>
        </w:tc>
        <w:tc>
          <w:tcPr>
            <w:tcW w:w="40" w:type="dxa"/>
            <w:vAlign w:val="bottom"/>
            <w:tcBorders>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00"/>
        </w:trPr>
        <w:tc>
          <w:tcPr>
            <w:tcW w:w="80" w:type="dxa"/>
            <w:vAlign w:val="bottom"/>
            <w:tcBorders>
              <w:left w:val="single" w:sz="8" w:color="auto"/>
              <w:right w:val="single" w:sz="8" w:color="auto"/>
            </w:tcBorders>
          </w:tcPr>
          <w:p>
            <w:pPr>
              <w:spacing w:after="0"/>
              <w:rPr>
                <w:sz w:val="17"/>
                <w:szCs w:val="17"/>
                <w:color w:val="auto"/>
              </w:rPr>
            </w:pPr>
          </w:p>
        </w:tc>
        <w:tc>
          <w:tcPr>
            <w:tcW w:w="1320" w:type="dxa"/>
            <w:vAlign w:val="bottom"/>
            <w:tcBorders>
              <w:right w:val="single" w:sz="8" w:color="auto"/>
            </w:tcBorders>
          </w:tcPr>
          <w:p>
            <w:pPr>
              <w:ind w:left="60"/>
              <w:spacing w:after="0" w:line="200" w:lineRule="exact"/>
              <w:rPr>
                <w:sz w:val="20"/>
                <w:szCs w:val="20"/>
                <w:color w:val="auto"/>
              </w:rPr>
            </w:pPr>
            <w:r>
              <w:rPr>
                <w:rFonts w:ascii="Times New Roman" w:cs="Times New Roman" w:eastAsia="Times New Roman" w:hAnsi="Times New Roman"/>
                <w:sz w:val="20"/>
                <w:szCs w:val="20"/>
                <w:color w:val="auto"/>
              </w:rPr>
              <w:t>December 31,</w:t>
            </w:r>
          </w:p>
        </w:tc>
        <w:tc>
          <w:tcPr>
            <w:tcW w:w="1320" w:type="dxa"/>
            <w:vAlign w:val="bottom"/>
            <w:tcBorders>
              <w:right w:val="single" w:sz="8" w:color="auto"/>
            </w:tcBorders>
          </w:tcPr>
          <w:p>
            <w:pPr>
              <w:jc w:val="center"/>
              <w:spacing w:after="0" w:line="200" w:lineRule="exact"/>
              <w:rPr>
                <w:sz w:val="20"/>
                <w:szCs w:val="20"/>
                <w:color w:val="auto"/>
              </w:rPr>
            </w:pPr>
            <w:r>
              <w:rPr>
                <w:rFonts w:ascii="Times New Roman" w:cs="Times New Roman" w:eastAsia="Times New Roman" w:hAnsi="Times New Roman"/>
                <w:sz w:val="20"/>
                <w:szCs w:val="20"/>
                <w:color w:val="auto"/>
              </w:rPr>
              <w:t>4.75:1.00</w:t>
            </w:r>
          </w:p>
        </w:tc>
        <w:tc>
          <w:tcPr>
            <w:tcW w:w="4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58"/>
        </w:trPr>
        <w:tc>
          <w:tcPr>
            <w:tcW w:w="80" w:type="dxa"/>
            <w:vAlign w:val="bottom"/>
            <w:tcBorders>
              <w:left w:val="single" w:sz="8" w:color="auto"/>
              <w:right w:val="single" w:sz="8" w:color="auto"/>
            </w:tcBorders>
          </w:tcPr>
          <w:p>
            <w:pPr>
              <w:spacing w:after="0"/>
              <w:rPr>
                <w:sz w:val="22"/>
                <w:szCs w:val="22"/>
                <w:color w:val="auto"/>
              </w:rPr>
            </w:pPr>
          </w:p>
        </w:tc>
        <w:tc>
          <w:tcPr>
            <w:tcW w:w="132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2025</w:t>
            </w:r>
          </w:p>
        </w:tc>
        <w:tc>
          <w:tcPr>
            <w:tcW w:w="1320" w:type="dxa"/>
            <w:vAlign w:val="bottom"/>
            <w:tcBorders>
              <w:right w:val="single" w:sz="8" w:color="auto"/>
            </w:tcBorders>
          </w:tcPr>
          <w:p>
            <w:pPr>
              <w:spacing w:after="0"/>
              <w:rPr>
                <w:sz w:val="22"/>
                <w:szCs w:val="22"/>
                <w:color w:val="auto"/>
              </w:rPr>
            </w:pPr>
          </w:p>
        </w:tc>
        <w:tc>
          <w:tcPr>
            <w:tcW w:w="4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48"/>
        </w:trPr>
        <w:tc>
          <w:tcPr>
            <w:tcW w:w="80" w:type="dxa"/>
            <w:vAlign w:val="bottom"/>
            <w:tcBorders>
              <w:left w:val="single" w:sz="8" w:color="auto"/>
              <w:right w:val="single" w:sz="8" w:color="auto"/>
            </w:tcBorders>
          </w:tcPr>
          <w:p>
            <w:pPr>
              <w:spacing w:after="0"/>
              <w:rPr>
                <w:sz w:val="4"/>
                <w:szCs w:val="4"/>
                <w:color w:val="auto"/>
              </w:rPr>
            </w:pPr>
          </w:p>
        </w:tc>
        <w:tc>
          <w:tcPr>
            <w:tcW w:w="1320" w:type="dxa"/>
            <w:vAlign w:val="bottom"/>
            <w:tcBorders>
              <w:bottom w:val="single" w:sz="8" w:color="auto"/>
              <w:right w:val="single" w:sz="8" w:color="auto"/>
            </w:tcBorders>
          </w:tcPr>
          <w:p>
            <w:pPr>
              <w:spacing w:after="0"/>
              <w:rPr>
                <w:sz w:val="4"/>
                <w:szCs w:val="4"/>
                <w:color w:val="auto"/>
              </w:rPr>
            </w:pPr>
          </w:p>
        </w:tc>
        <w:tc>
          <w:tcPr>
            <w:tcW w:w="1320" w:type="dxa"/>
            <w:vAlign w:val="bottom"/>
            <w:tcBorders>
              <w:bottom w:val="single" w:sz="8" w:color="auto"/>
              <w:right w:val="single" w:sz="8" w:color="auto"/>
            </w:tcBorders>
          </w:tcPr>
          <w:p>
            <w:pPr>
              <w:spacing w:after="0"/>
              <w:rPr>
                <w:sz w:val="4"/>
                <w:szCs w:val="4"/>
                <w:color w:val="auto"/>
              </w:rPr>
            </w:pPr>
          </w:p>
        </w:tc>
        <w:tc>
          <w:tcPr>
            <w:tcW w:w="40" w:type="dxa"/>
            <w:vAlign w:val="bottom"/>
            <w:tcBorders>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00"/>
        </w:trPr>
        <w:tc>
          <w:tcPr>
            <w:tcW w:w="80" w:type="dxa"/>
            <w:vAlign w:val="bottom"/>
            <w:tcBorders>
              <w:left w:val="single" w:sz="8" w:color="auto"/>
              <w:right w:val="single" w:sz="8" w:color="auto"/>
            </w:tcBorders>
          </w:tcPr>
          <w:p>
            <w:pPr>
              <w:spacing w:after="0"/>
              <w:rPr>
                <w:sz w:val="17"/>
                <w:szCs w:val="17"/>
                <w:color w:val="auto"/>
              </w:rPr>
            </w:pPr>
          </w:p>
        </w:tc>
        <w:tc>
          <w:tcPr>
            <w:tcW w:w="1320" w:type="dxa"/>
            <w:vAlign w:val="bottom"/>
            <w:tcBorders>
              <w:right w:val="single" w:sz="8" w:color="auto"/>
            </w:tcBorders>
          </w:tcPr>
          <w:p>
            <w:pPr>
              <w:ind w:left="60"/>
              <w:spacing w:after="0" w:line="200" w:lineRule="exact"/>
              <w:rPr>
                <w:sz w:val="20"/>
                <w:szCs w:val="20"/>
                <w:color w:val="auto"/>
              </w:rPr>
            </w:pPr>
            <w:r>
              <w:rPr>
                <w:rFonts w:ascii="Times New Roman" w:cs="Times New Roman" w:eastAsia="Times New Roman" w:hAnsi="Times New Roman"/>
                <w:sz w:val="20"/>
                <w:szCs w:val="20"/>
                <w:color w:val="auto"/>
              </w:rPr>
              <w:t>March 31,</w:t>
            </w:r>
          </w:p>
        </w:tc>
        <w:tc>
          <w:tcPr>
            <w:tcW w:w="1320" w:type="dxa"/>
            <w:vAlign w:val="bottom"/>
            <w:tcBorders>
              <w:right w:val="single" w:sz="8" w:color="auto"/>
            </w:tcBorders>
          </w:tcPr>
          <w:p>
            <w:pPr>
              <w:jc w:val="center"/>
              <w:spacing w:after="0" w:line="200" w:lineRule="exact"/>
              <w:rPr>
                <w:sz w:val="20"/>
                <w:szCs w:val="20"/>
                <w:color w:val="auto"/>
              </w:rPr>
            </w:pPr>
            <w:r>
              <w:rPr>
                <w:rFonts w:ascii="Times New Roman" w:cs="Times New Roman" w:eastAsia="Times New Roman" w:hAnsi="Times New Roman"/>
                <w:sz w:val="20"/>
                <w:szCs w:val="20"/>
                <w:color w:val="auto"/>
              </w:rPr>
              <w:t>4.00:1.00</w:t>
            </w:r>
          </w:p>
        </w:tc>
        <w:tc>
          <w:tcPr>
            <w:tcW w:w="4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58"/>
        </w:trPr>
        <w:tc>
          <w:tcPr>
            <w:tcW w:w="80" w:type="dxa"/>
            <w:vAlign w:val="bottom"/>
            <w:tcBorders>
              <w:left w:val="single" w:sz="8" w:color="auto"/>
              <w:right w:val="single" w:sz="8" w:color="auto"/>
            </w:tcBorders>
          </w:tcPr>
          <w:p>
            <w:pPr>
              <w:spacing w:after="0"/>
              <w:rPr>
                <w:sz w:val="22"/>
                <w:szCs w:val="22"/>
                <w:color w:val="auto"/>
              </w:rPr>
            </w:pPr>
          </w:p>
        </w:tc>
        <w:tc>
          <w:tcPr>
            <w:tcW w:w="132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2026</w:t>
            </w:r>
          </w:p>
        </w:tc>
        <w:tc>
          <w:tcPr>
            <w:tcW w:w="1320" w:type="dxa"/>
            <w:vAlign w:val="bottom"/>
            <w:tcBorders>
              <w:right w:val="single" w:sz="8" w:color="auto"/>
            </w:tcBorders>
          </w:tcPr>
          <w:p>
            <w:pPr>
              <w:spacing w:after="0"/>
              <w:rPr>
                <w:sz w:val="22"/>
                <w:szCs w:val="22"/>
                <w:color w:val="auto"/>
              </w:rPr>
            </w:pPr>
          </w:p>
        </w:tc>
        <w:tc>
          <w:tcPr>
            <w:tcW w:w="4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48"/>
        </w:trPr>
        <w:tc>
          <w:tcPr>
            <w:tcW w:w="80" w:type="dxa"/>
            <w:vAlign w:val="bottom"/>
            <w:tcBorders>
              <w:left w:val="single" w:sz="8" w:color="auto"/>
              <w:right w:val="single" w:sz="8" w:color="auto"/>
            </w:tcBorders>
          </w:tcPr>
          <w:p>
            <w:pPr>
              <w:spacing w:after="0"/>
              <w:rPr>
                <w:sz w:val="4"/>
                <w:szCs w:val="4"/>
                <w:color w:val="auto"/>
              </w:rPr>
            </w:pPr>
          </w:p>
        </w:tc>
        <w:tc>
          <w:tcPr>
            <w:tcW w:w="1320" w:type="dxa"/>
            <w:vAlign w:val="bottom"/>
            <w:tcBorders>
              <w:bottom w:val="single" w:sz="8" w:color="auto"/>
              <w:right w:val="single" w:sz="8" w:color="auto"/>
            </w:tcBorders>
          </w:tcPr>
          <w:p>
            <w:pPr>
              <w:spacing w:after="0"/>
              <w:rPr>
                <w:sz w:val="4"/>
                <w:szCs w:val="4"/>
                <w:color w:val="auto"/>
              </w:rPr>
            </w:pPr>
          </w:p>
        </w:tc>
        <w:tc>
          <w:tcPr>
            <w:tcW w:w="1320" w:type="dxa"/>
            <w:vAlign w:val="bottom"/>
            <w:tcBorders>
              <w:bottom w:val="single" w:sz="8" w:color="auto"/>
              <w:right w:val="single" w:sz="8" w:color="auto"/>
            </w:tcBorders>
          </w:tcPr>
          <w:p>
            <w:pPr>
              <w:spacing w:after="0"/>
              <w:rPr>
                <w:sz w:val="4"/>
                <w:szCs w:val="4"/>
                <w:color w:val="auto"/>
              </w:rPr>
            </w:pPr>
          </w:p>
        </w:tc>
        <w:tc>
          <w:tcPr>
            <w:tcW w:w="40" w:type="dxa"/>
            <w:vAlign w:val="bottom"/>
            <w:tcBorders>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96"/>
        </w:trPr>
        <w:tc>
          <w:tcPr>
            <w:tcW w:w="80" w:type="dxa"/>
            <w:vAlign w:val="bottom"/>
            <w:tcBorders>
              <w:left w:val="single" w:sz="8" w:color="auto"/>
              <w:right w:val="single" w:sz="8" w:color="auto"/>
            </w:tcBorders>
          </w:tcPr>
          <w:p>
            <w:pPr>
              <w:spacing w:after="0"/>
              <w:rPr>
                <w:sz w:val="17"/>
                <w:szCs w:val="17"/>
                <w:color w:val="auto"/>
              </w:rPr>
            </w:pPr>
          </w:p>
        </w:tc>
        <w:tc>
          <w:tcPr>
            <w:tcW w:w="1320" w:type="dxa"/>
            <w:vAlign w:val="bottom"/>
            <w:tcBorders>
              <w:right w:val="single" w:sz="8" w:color="auto"/>
            </w:tcBorders>
          </w:tcPr>
          <w:p>
            <w:pPr>
              <w:ind w:left="60"/>
              <w:spacing w:after="0" w:line="196" w:lineRule="exact"/>
              <w:rPr>
                <w:sz w:val="20"/>
                <w:szCs w:val="20"/>
                <w:color w:val="auto"/>
              </w:rPr>
            </w:pPr>
            <w:r>
              <w:rPr>
                <w:rFonts w:ascii="Times New Roman" w:cs="Times New Roman" w:eastAsia="Times New Roman" w:hAnsi="Times New Roman"/>
                <w:sz w:val="20"/>
                <w:szCs w:val="20"/>
                <w:b w:val="1"/>
                <w:bCs w:val="1"/>
                <w:i w:val="1"/>
                <w:iCs w:val="1"/>
                <w:color w:val="auto"/>
              </w:rPr>
              <w:t>June 30,</w:t>
            </w:r>
          </w:p>
        </w:tc>
        <w:tc>
          <w:tcPr>
            <w:tcW w:w="1320" w:type="dxa"/>
            <w:vAlign w:val="bottom"/>
            <w:tcBorders>
              <w:right w:val="single" w:sz="8" w:color="auto"/>
            </w:tcBorders>
          </w:tcPr>
          <w:p>
            <w:pPr>
              <w:jc w:val="center"/>
              <w:spacing w:after="0" w:line="196" w:lineRule="exact"/>
              <w:rPr>
                <w:sz w:val="20"/>
                <w:szCs w:val="20"/>
                <w:color w:val="auto"/>
              </w:rPr>
            </w:pPr>
            <w:r>
              <w:rPr>
                <w:rFonts w:ascii="Times New Roman" w:cs="Times New Roman" w:eastAsia="Times New Roman" w:hAnsi="Times New Roman"/>
                <w:sz w:val="20"/>
                <w:szCs w:val="20"/>
                <w:color w:val="auto"/>
              </w:rPr>
              <w:t>4.00:1.00</w:t>
            </w:r>
          </w:p>
        </w:tc>
        <w:tc>
          <w:tcPr>
            <w:tcW w:w="4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80" w:type="dxa"/>
            <w:vAlign w:val="bottom"/>
            <w:tcBorders>
              <w:left w:val="single" w:sz="8" w:color="auto"/>
              <w:right w:val="single" w:sz="8" w:color="auto"/>
            </w:tcBorders>
          </w:tcPr>
          <w:p>
            <w:pPr>
              <w:spacing w:after="0"/>
              <w:rPr>
                <w:sz w:val="19"/>
                <w:szCs w:val="19"/>
                <w:color w:val="auto"/>
              </w:rPr>
            </w:pPr>
          </w:p>
        </w:tc>
        <w:tc>
          <w:tcPr>
            <w:tcW w:w="132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0"/>
                <w:szCs w:val="20"/>
                <w:b w:val="1"/>
                <w:bCs w:val="1"/>
                <w:i w:val="1"/>
                <w:iCs w:val="1"/>
                <w:color w:val="auto"/>
              </w:rPr>
              <w:t>2026</w:t>
            </w:r>
          </w:p>
        </w:tc>
        <w:tc>
          <w:tcPr>
            <w:tcW w:w="13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0"/>
                <w:szCs w:val="20"/>
                <w:b w:val="1"/>
                <w:bCs w:val="1"/>
                <w:i w:val="1"/>
                <w:iCs w:val="1"/>
                <w:color w:val="auto"/>
                <w:w w:val="99"/>
              </w:rPr>
              <w:t>Compliance</w:t>
            </w:r>
          </w:p>
        </w:tc>
        <w:tc>
          <w:tcPr>
            <w:tcW w:w="4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0" w:type="dxa"/>
            <w:vAlign w:val="bottom"/>
            <w:tcBorders>
              <w:left w:val="single" w:sz="8" w:color="auto"/>
              <w:right w:val="single" w:sz="8" w:color="auto"/>
            </w:tcBorders>
          </w:tcPr>
          <w:p>
            <w:pPr>
              <w:spacing w:after="0"/>
              <w:rPr>
                <w:sz w:val="19"/>
                <w:szCs w:val="19"/>
                <w:color w:val="auto"/>
              </w:rPr>
            </w:pPr>
          </w:p>
        </w:tc>
        <w:tc>
          <w:tcPr>
            <w:tcW w:w="1320" w:type="dxa"/>
            <w:vAlign w:val="bottom"/>
            <w:tcBorders>
              <w:right w:val="single" w:sz="8" w:color="auto"/>
            </w:tcBorders>
          </w:tcPr>
          <w:p>
            <w:pPr>
              <w:spacing w:after="0"/>
              <w:rPr>
                <w:sz w:val="19"/>
                <w:szCs w:val="19"/>
                <w:color w:val="auto"/>
              </w:rPr>
            </w:pPr>
          </w:p>
        </w:tc>
        <w:tc>
          <w:tcPr>
            <w:tcW w:w="13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0"/>
                <w:szCs w:val="20"/>
                <w:b w:val="1"/>
                <w:bCs w:val="1"/>
                <w:i w:val="1"/>
                <w:iCs w:val="1"/>
                <w:color w:val="auto"/>
                <w:w w:val="98"/>
              </w:rPr>
              <w:t>waived</w:t>
            </w:r>
          </w:p>
        </w:tc>
        <w:tc>
          <w:tcPr>
            <w:tcW w:w="4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0" w:type="dxa"/>
            <w:vAlign w:val="bottom"/>
            <w:tcBorders>
              <w:left w:val="single" w:sz="8" w:color="auto"/>
              <w:right w:val="single" w:sz="8" w:color="auto"/>
            </w:tcBorders>
          </w:tcPr>
          <w:p>
            <w:pPr>
              <w:spacing w:after="0"/>
              <w:rPr>
                <w:sz w:val="19"/>
                <w:szCs w:val="19"/>
                <w:color w:val="auto"/>
              </w:rPr>
            </w:pPr>
          </w:p>
        </w:tc>
        <w:tc>
          <w:tcPr>
            <w:tcW w:w="1320" w:type="dxa"/>
            <w:vAlign w:val="bottom"/>
            <w:tcBorders>
              <w:right w:val="single" w:sz="8" w:color="auto"/>
            </w:tcBorders>
          </w:tcPr>
          <w:p>
            <w:pPr>
              <w:spacing w:after="0"/>
              <w:rPr>
                <w:sz w:val="19"/>
                <w:szCs w:val="19"/>
                <w:color w:val="auto"/>
              </w:rPr>
            </w:pPr>
          </w:p>
        </w:tc>
        <w:tc>
          <w:tcPr>
            <w:tcW w:w="13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0"/>
                <w:szCs w:val="20"/>
                <w:b w:val="1"/>
                <w:bCs w:val="1"/>
                <w:i w:val="1"/>
                <w:iCs w:val="1"/>
                <w:color w:val="auto"/>
                <w:w w:val="98"/>
              </w:rPr>
              <w:t>pursuant to</w:t>
            </w:r>
          </w:p>
        </w:tc>
        <w:tc>
          <w:tcPr>
            <w:tcW w:w="4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0" w:type="dxa"/>
            <w:vAlign w:val="bottom"/>
            <w:tcBorders>
              <w:left w:val="single" w:sz="8" w:color="auto"/>
              <w:right w:val="single" w:sz="8" w:color="auto"/>
            </w:tcBorders>
          </w:tcPr>
          <w:p>
            <w:pPr>
              <w:spacing w:after="0"/>
              <w:rPr>
                <w:sz w:val="19"/>
                <w:szCs w:val="19"/>
                <w:color w:val="auto"/>
              </w:rPr>
            </w:pPr>
          </w:p>
        </w:tc>
        <w:tc>
          <w:tcPr>
            <w:tcW w:w="1320" w:type="dxa"/>
            <w:vAlign w:val="bottom"/>
            <w:tcBorders>
              <w:right w:val="single" w:sz="8" w:color="auto"/>
            </w:tcBorders>
          </w:tcPr>
          <w:p>
            <w:pPr>
              <w:spacing w:after="0"/>
              <w:rPr>
                <w:sz w:val="19"/>
                <w:szCs w:val="19"/>
                <w:color w:val="auto"/>
              </w:rPr>
            </w:pPr>
          </w:p>
        </w:tc>
        <w:tc>
          <w:tcPr>
            <w:tcW w:w="13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0"/>
                <w:szCs w:val="20"/>
                <w:b w:val="1"/>
                <w:bCs w:val="1"/>
                <w:i w:val="1"/>
                <w:iCs w:val="1"/>
                <w:color w:val="auto"/>
                <w:w w:val="99"/>
              </w:rPr>
              <w:t>the First</w:t>
            </w:r>
          </w:p>
        </w:tc>
        <w:tc>
          <w:tcPr>
            <w:tcW w:w="4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0" w:type="dxa"/>
            <w:vAlign w:val="bottom"/>
            <w:tcBorders>
              <w:left w:val="single" w:sz="8" w:color="auto"/>
              <w:right w:val="single" w:sz="8" w:color="auto"/>
            </w:tcBorders>
          </w:tcPr>
          <w:p>
            <w:pPr>
              <w:spacing w:after="0"/>
              <w:rPr>
                <w:sz w:val="19"/>
                <w:szCs w:val="19"/>
                <w:color w:val="auto"/>
              </w:rPr>
            </w:pPr>
          </w:p>
        </w:tc>
        <w:tc>
          <w:tcPr>
            <w:tcW w:w="1320" w:type="dxa"/>
            <w:vAlign w:val="bottom"/>
            <w:tcBorders>
              <w:right w:val="single" w:sz="8" w:color="auto"/>
            </w:tcBorders>
          </w:tcPr>
          <w:p>
            <w:pPr>
              <w:spacing w:after="0"/>
              <w:rPr>
                <w:sz w:val="19"/>
                <w:szCs w:val="19"/>
                <w:color w:val="auto"/>
              </w:rPr>
            </w:pPr>
          </w:p>
        </w:tc>
        <w:tc>
          <w:tcPr>
            <w:tcW w:w="13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0"/>
                <w:szCs w:val="20"/>
                <w:b w:val="1"/>
                <w:bCs w:val="1"/>
                <w:i w:val="1"/>
                <w:iCs w:val="1"/>
                <w:color w:val="auto"/>
                <w:w w:val="99"/>
              </w:rPr>
              <w:t>Amendment</w:t>
            </w:r>
          </w:p>
        </w:tc>
        <w:tc>
          <w:tcPr>
            <w:tcW w:w="4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0" w:type="dxa"/>
            <w:vAlign w:val="bottom"/>
            <w:tcBorders>
              <w:left w:val="single" w:sz="8" w:color="auto"/>
              <w:right w:val="single" w:sz="8" w:color="auto"/>
            </w:tcBorders>
          </w:tcPr>
          <w:p>
            <w:pPr>
              <w:spacing w:after="0"/>
              <w:rPr>
                <w:sz w:val="19"/>
                <w:szCs w:val="19"/>
                <w:color w:val="auto"/>
              </w:rPr>
            </w:pPr>
          </w:p>
        </w:tc>
        <w:tc>
          <w:tcPr>
            <w:tcW w:w="1320" w:type="dxa"/>
            <w:vAlign w:val="bottom"/>
            <w:tcBorders>
              <w:right w:val="single" w:sz="8" w:color="auto"/>
            </w:tcBorders>
          </w:tcPr>
          <w:p>
            <w:pPr>
              <w:spacing w:after="0"/>
              <w:rPr>
                <w:sz w:val="19"/>
                <w:szCs w:val="19"/>
                <w:color w:val="auto"/>
              </w:rPr>
            </w:pPr>
          </w:p>
        </w:tc>
        <w:tc>
          <w:tcPr>
            <w:tcW w:w="13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0"/>
                <w:szCs w:val="20"/>
                <w:b w:val="1"/>
                <w:bCs w:val="1"/>
                <w:i w:val="1"/>
                <w:iCs w:val="1"/>
                <w:color w:val="auto"/>
                <w:w w:val="98"/>
              </w:rPr>
              <w:t>and Limited</w:t>
            </w:r>
          </w:p>
        </w:tc>
        <w:tc>
          <w:tcPr>
            <w:tcW w:w="4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62"/>
        </w:trPr>
        <w:tc>
          <w:tcPr>
            <w:tcW w:w="80" w:type="dxa"/>
            <w:vAlign w:val="bottom"/>
            <w:tcBorders>
              <w:left w:val="single" w:sz="8" w:color="auto"/>
              <w:right w:val="single" w:sz="8" w:color="auto"/>
            </w:tcBorders>
          </w:tcPr>
          <w:p>
            <w:pPr>
              <w:spacing w:after="0"/>
              <w:rPr>
                <w:sz w:val="22"/>
                <w:szCs w:val="22"/>
                <w:color w:val="auto"/>
              </w:rPr>
            </w:pPr>
          </w:p>
        </w:tc>
        <w:tc>
          <w:tcPr>
            <w:tcW w:w="1320" w:type="dxa"/>
            <w:vAlign w:val="bottom"/>
            <w:tcBorders>
              <w:right w:val="single" w:sz="8" w:color="auto"/>
            </w:tcBorders>
          </w:tcPr>
          <w:p>
            <w:pPr>
              <w:spacing w:after="0"/>
              <w:rPr>
                <w:sz w:val="22"/>
                <w:szCs w:val="22"/>
                <w:color w:val="auto"/>
              </w:rPr>
            </w:pPr>
          </w:p>
        </w:tc>
        <w:tc>
          <w:tcPr>
            <w:tcW w:w="13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0"/>
                <w:szCs w:val="20"/>
                <w:b w:val="1"/>
                <w:bCs w:val="1"/>
                <w:i w:val="1"/>
                <w:iCs w:val="1"/>
                <w:color w:val="auto"/>
                <w:w w:val="95"/>
              </w:rPr>
              <w:t>Waiver</w:t>
            </w:r>
          </w:p>
        </w:tc>
        <w:tc>
          <w:tcPr>
            <w:tcW w:w="4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48"/>
        </w:trPr>
        <w:tc>
          <w:tcPr>
            <w:tcW w:w="80" w:type="dxa"/>
            <w:vAlign w:val="bottom"/>
            <w:tcBorders>
              <w:left w:val="single" w:sz="8" w:color="auto"/>
              <w:right w:val="single" w:sz="8" w:color="auto"/>
            </w:tcBorders>
          </w:tcPr>
          <w:p>
            <w:pPr>
              <w:spacing w:after="0"/>
              <w:rPr>
                <w:sz w:val="4"/>
                <w:szCs w:val="4"/>
                <w:color w:val="auto"/>
              </w:rPr>
            </w:pPr>
          </w:p>
        </w:tc>
        <w:tc>
          <w:tcPr>
            <w:tcW w:w="1320" w:type="dxa"/>
            <w:vAlign w:val="bottom"/>
            <w:tcBorders>
              <w:bottom w:val="single" w:sz="8" w:color="auto"/>
              <w:right w:val="single" w:sz="8" w:color="auto"/>
            </w:tcBorders>
          </w:tcPr>
          <w:p>
            <w:pPr>
              <w:spacing w:after="0"/>
              <w:rPr>
                <w:sz w:val="4"/>
                <w:szCs w:val="4"/>
                <w:color w:val="auto"/>
              </w:rPr>
            </w:pPr>
          </w:p>
        </w:tc>
        <w:tc>
          <w:tcPr>
            <w:tcW w:w="1320" w:type="dxa"/>
            <w:vAlign w:val="bottom"/>
            <w:tcBorders>
              <w:bottom w:val="single" w:sz="8" w:color="auto"/>
              <w:right w:val="single" w:sz="8" w:color="auto"/>
            </w:tcBorders>
          </w:tcPr>
          <w:p>
            <w:pPr>
              <w:spacing w:after="0"/>
              <w:rPr>
                <w:sz w:val="4"/>
                <w:szCs w:val="4"/>
                <w:color w:val="auto"/>
              </w:rPr>
            </w:pPr>
          </w:p>
        </w:tc>
        <w:tc>
          <w:tcPr>
            <w:tcW w:w="40" w:type="dxa"/>
            <w:vAlign w:val="bottom"/>
            <w:tcBorders>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96"/>
        </w:trPr>
        <w:tc>
          <w:tcPr>
            <w:tcW w:w="80" w:type="dxa"/>
            <w:vAlign w:val="bottom"/>
            <w:tcBorders>
              <w:left w:val="single" w:sz="8" w:color="auto"/>
              <w:right w:val="single" w:sz="8" w:color="auto"/>
            </w:tcBorders>
          </w:tcPr>
          <w:p>
            <w:pPr>
              <w:spacing w:after="0"/>
              <w:rPr>
                <w:sz w:val="17"/>
                <w:szCs w:val="17"/>
                <w:color w:val="auto"/>
              </w:rPr>
            </w:pPr>
          </w:p>
        </w:tc>
        <w:tc>
          <w:tcPr>
            <w:tcW w:w="1320" w:type="dxa"/>
            <w:vAlign w:val="bottom"/>
            <w:tcBorders>
              <w:right w:val="single" w:sz="8" w:color="auto"/>
            </w:tcBorders>
          </w:tcPr>
          <w:p>
            <w:pPr>
              <w:ind w:left="60"/>
              <w:spacing w:after="0" w:line="196" w:lineRule="exact"/>
              <w:rPr>
                <w:sz w:val="20"/>
                <w:szCs w:val="20"/>
                <w:color w:val="auto"/>
              </w:rPr>
            </w:pPr>
            <w:r>
              <w:rPr>
                <w:rFonts w:ascii="Times New Roman" w:cs="Times New Roman" w:eastAsia="Times New Roman" w:hAnsi="Times New Roman"/>
                <w:sz w:val="20"/>
                <w:szCs w:val="20"/>
                <w:b w:val="1"/>
                <w:bCs w:val="1"/>
                <w:i w:val="1"/>
                <w:iCs w:val="1"/>
                <w:color w:val="auto"/>
              </w:rPr>
              <w:t>September</w:t>
            </w:r>
          </w:p>
        </w:tc>
        <w:tc>
          <w:tcPr>
            <w:tcW w:w="1320" w:type="dxa"/>
            <w:vAlign w:val="bottom"/>
            <w:tcBorders>
              <w:right w:val="single" w:sz="8" w:color="auto"/>
            </w:tcBorders>
          </w:tcPr>
          <w:p>
            <w:pPr>
              <w:jc w:val="center"/>
              <w:spacing w:after="0" w:line="196" w:lineRule="exact"/>
              <w:rPr>
                <w:sz w:val="20"/>
                <w:szCs w:val="20"/>
                <w:color w:val="auto"/>
              </w:rPr>
            </w:pPr>
            <w:r>
              <w:rPr>
                <w:rFonts w:ascii="Times New Roman" w:cs="Times New Roman" w:eastAsia="Times New Roman" w:hAnsi="Times New Roman"/>
                <w:sz w:val="20"/>
                <w:szCs w:val="20"/>
                <w:b w:val="1"/>
                <w:bCs w:val="1"/>
                <w:i w:val="1"/>
                <w:iCs w:val="1"/>
                <w:color w:val="auto"/>
                <w:w w:val="99"/>
              </w:rPr>
              <w:t>4.50:1.00</w:t>
            </w:r>
          </w:p>
        </w:tc>
        <w:tc>
          <w:tcPr>
            <w:tcW w:w="4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62"/>
        </w:trPr>
        <w:tc>
          <w:tcPr>
            <w:tcW w:w="80" w:type="dxa"/>
            <w:vAlign w:val="bottom"/>
            <w:tcBorders>
              <w:left w:val="single" w:sz="8" w:color="auto"/>
              <w:right w:val="single" w:sz="8" w:color="auto"/>
            </w:tcBorders>
          </w:tcPr>
          <w:p>
            <w:pPr>
              <w:spacing w:after="0"/>
              <w:rPr>
                <w:sz w:val="22"/>
                <w:szCs w:val="22"/>
                <w:color w:val="auto"/>
              </w:rPr>
            </w:pPr>
          </w:p>
        </w:tc>
        <w:tc>
          <w:tcPr>
            <w:tcW w:w="132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0"/>
                <w:szCs w:val="20"/>
                <w:b w:val="1"/>
                <w:bCs w:val="1"/>
                <w:i w:val="1"/>
                <w:iCs w:val="1"/>
                <w:color w:val="auto"/>
              </w:rPr>
              <w:t>30, 2026</w:t>
            </w:r>
          </w:p>
        </w:tc>
        <w:tc>
          <w:tcPr>
            <w:tcW w:w="1320" w:type="dxa"/>
            <w:vAlign w:val="bottom"/>
            <w:tcBorders>
              <w:right w:val="single" w:sz="8" w:color="auto"/>
            </w:tcBorders>
          </w:tcPr>
          <w:p>
            <w:pPr>
              <w:spacing w:after="0"/>
              <w:rPr>
                <w:sz w:val="22"/>
                <w:szCs w:val="22"/>
                <w:color w:val="auto"/>
              </w:rPr>
            </w:pPr>
          </w:p>
        </w:tc>
        <w:tc>
          <w:tcPr>
            <w:tcW w:w="4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48"/>
        </w:trPr>
        <w:tc>
          <w:tcPr>
            <w:tcW w:w="80" w:type="dxa"/>
            <w:vAlign w:val="bottom"/>
            <w:tcBorders>
              <w:left w:val="single" w:sz="8" w:color="auto"/>
              <w:right w:val="single" w:sz="8" w:color="auto"/>
            </w:tcBorders>
          </w:tcPr>
          <w:p>
            <w:pPr>
              <w:spacing w:after="0"/>
              <w:rPr>
                <w:sz w:val="4"/>
                <w:szCs w:val="4"/>
                <w:color w:val="auto"/>
              </w:rPr>
            </w:pPr>
          </w:p>
        </w:tc>
        <w:tc>
          <w:tcPr>
            <w:tcW w:w="1320" w:type="dxa"/>
            <w:vAlign w:val="bottom"/>
            <w:tcBorders>
              <w:bottom w:val="single" w:sz="8" w:color="auto"/>
              <w:right w:val="single" w:sz="8" w:color="auto"/>
            </w:tcBorders>
          </w:tcPr>
          <w:p>
            <w:pPr>
              <w:spacing w:after="0"/>
              <w:rPr>
                <w:sz w:val="4"/>
                <w:szCs w:val="4"/>
                <w:color w:val="auto"/>
              </w:rPr>
            </w:pPr>
          </w:p>
        </w:tc>
        <w:tc>
          <w:tcPr>
            <w:tcW w:w="1320" w:type="dxa"/>
            <w:vAlign w:val="bottom"/>
            <w:tcBorders>
              <w:bottom w:val="single" w:sz="8" w:color="auto"/>
              <w:right w:val="single" w:sz="8" w:color="auto"/>
            </w:tcBorders>
          </w:tcPr>
          <w:p>
            <w:pPr>
              <w:spacing w:after="0"/>
              <w:rPr>
                <w:sz w:val="4"/>
                <w:szCs w:val="4"/>
                <w:color w:val="auto"/>
              </w:rPr>
            </w:pPr>
          </w:p>
        </w:tc>
        <w:tc>
          <w:tcPr>
            <w:tcW w:w="40" w:type="dxa"/>
            <w:vAlign w:val="bottom"/>
            <w:tcBorders>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96"/>
        </w:trPr>
        <w:tc>
          <w:tcPr>
            <w:tcW w:w="80" w:type="dxa"/>
            <w:vAlign w:val="bottom"/>
            <w:tcBorders>
              <w:left w:val="single" w:sz="8" w:color="auto"/>
              <w:right w:val="single" w:sz="8" w:color="auto"/>
            </w:tcBorders>
          </w:tcPr>
          <w:p>
            <w:pPr>
              <w:spacing w:after="0"/>
              <w:rPr>
                <w:sz w:val="17"/>
                <w:szCs w:val="17"/>
                <w:color w:val="auto"/>
              </w:rPr>
            </w:pPr>
          </w:p>
        </w:tc>
        <w:tc>
          <w:tcPr>
            <w:tcW w:w="1320" w:type="dxa"/>
            <w:vAlign w:val="bottom"/>
            <w:tcBorders>
              <w:right w:val="single" w:sz="8" w:color="auto"/>
            </w:tcBorders>
          </w:tcPr>
          <w:p>
            <w:pPr>
              <w:ind w:left="60"/>
              <w:spacing w:after="0" w:line="196" w:lineRule="exact"/>
              <w:rPr>
                <w:sz w:val="20"/>
                <w:szCs w:val="20"/>
                <w:color w:val="auto"/>
              </w:rPr>
            </w:pPr>
            <w:r>
              <w:rPr>
                <w:rFonts w:ascii="Times New Roman" w:cs="Times New Roman" w:eastAsia="Times New Roman" w:hAnsi="Times New Roman"/>
                <w:sz w:val="20"/>
                <w:szCs w:val="20"/>
                <w:b w:val="1"/>
                <w:bCs w:val="1"/>
                <w:i w:val="1"/>
                <w:iCs w:val="1"/>
                <w:color w:val="auto"/>
              </w:rPr>
              <w:t>December 31,</w:t>
            </w:r>
          </w:p>
        </w:tc>
        <w:tc>
          <w:tcPr>
            <w:tcW w:w="1320" w:type="dxa"/>
            <w:vAlign w:val="bottom"/>
            <w:tcBorders>
              <w:right w:val="single" w:sz="8" w:color="auto"/>
            </w:tcBorders>
          </w:tcPr>
          <w:p>
            <w:pPr>
              <w:jc w:val="center"/>
              <w:spacing w:after="0" w:line="196" w:lineRule="exact"/>
              <w:rPr>
                <w:sz w:val="20"/>
                <w:szCs w:val="20"/>
                <w:color w:val="auto"/>
              </w:rPr>
            </w:pPr>
            <w:r>
              <w:rPr>
                <w:rFonts w:ascii="Times New Roman" w:cs="Times New Roman" w:eastAsia="Times New Roman" w:hAnsi="Times New Roman"/>
                <w:sz w:val="20"/>
                <w:szCs w:val="20"/>
                <w:color w:val="auto"/>
                <w:w w:val="99"/>
              </w:rPr>
              <w:t>4.00:1.00”</w:t>
            </w:r>
          </w:p>
        </w:tc>
        <w:tc>
          <w:tcPr>
            <w:tcW w:w="4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80" w:type="dxa"/>
            <w:vAlign w:val="bottom"/>
            <w:tcBorders>
              <w:left w:val="single" w:sz="8" w:color="auto"/>
              <w:right w:val="single" w:sz="8" w:color="auto"/>
            </w:tcBorders>
          </w:tcPr>
          <w:p>
            <w:pPr>
              <w:spacing w:after="0"/>
              <w:rPr>
                <w:sz w:val="20"/>
                <w:szCs w:val="20"/>
                <w:color w:val="auto"/>
              </w:rPr>
            </w:pPr>
          </w:p>
        </w:tc>
        <w:tc>
          <w:tcPr>
            <w:tcW w:w="132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0"/>
                <w:szCs w:val="20"/>
                <w:b w:val="1"/>
                <w:bCs w:val="1"/>
                <w:i w:val="1"/>
                <w:iCs w:val="1"/>
                <w:color w:val="auto"/>
              </w:rPr>
              <w:t xml:space="preserve">2026 </w:t>
            </w:r>
            <w:r>
              <w:rPr>
                <w:rFonts w:ascii="Times New Roman" w:cs="Times New Roman" w:eastAsia="Times New Roman" w:hAnsi="Times New Roman"/>
                <w:sz w:val="20"/>
                <w:szCs w:val="20"/>
                <w:color w:val="auto"/>
              </w:rPr>
              <w:t>and each</w:t>
            </w:r>
          </w:p>
        </w:tc>
        <w:tc>
          <w:tcPr>
            <w:tcW w:w="1320" w:type="dxa"/>
            <w:vAlign w:val="bottom"/>
            <w:tcBorders>
              <w:right w:val="single" w:sz="8" w:color="auto"/>
            </w:tcBorders>
          </w:tcPr>
          <w:p>
            <w:pPr>
              <w:spacing w:after="0"/>
              <w:rPr>
                <w:sz w:val="20"/>
                <w:szCs w:val="20"/>
                <w:color w:val="auto"/>
              </w:rPr>
            </w:pPr>
          </w:p>
        </w:tc>
        <w:tc>
          <w:tcPr>
            <w:tcW w:w="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80" w:type="dxa"/>
            <w:vAlign w:val="bottom"/>
            <w:tcBorders>
              <w:left w:val="single" w:sz="8" w:color="auto"/>
              <w:right w:val="single" w:sz="8" w:color="auto"/>
            </w:tcBorders>
          </w:tcPr>
          <w:p>
            <w:pPr>
              <w:spacing w:after="0"/>
              <w:rPr>
                <w:sz w:val="19"/>
                <w:szCs w:val="19"/>
                <w:color w:val="auto"/>
              </w:rPr>
            </w:pPr>
          </w:p>
        </w:tc>
        <w:tc>
          <w:tcPr>
            <w:tcW w:w="132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fiscal quarter</w:t>
            </w:r>
          </w:p>
        </w:tc>
        <w:tc>
          <w:tcPr>
            <w:tcW w:w="1320" w:type="dxa"/>
            <w:vAlign w:val="bottom"/>
            <w:tcBorders>
              <w:right w:val="single" w:sz="8" w:color="auto"/>
            </w:tcBorders>
          </w:tcPr>
          <w:p>
            <w:pPr>
              <w:spacing w:after="0"/>
              <w:rPr>
                <w:sz w:val="19"/>
                <w:szCs w:val="19"/>
                <w:color w:val="auto"/>
              </w:rPr>
            </w:pPr>
          </w:p>
        </w:tc>
        <w:tc>
          <w:tcPr>
            <w:tcW w:w="4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58"/>
        </w:trPr>
        <w:tc>
          <w:tcPr>
            <w:tcW w:w="80" w:type="dxa"/>
            <w:vAlign w:val="bottom"/>
            <w:tcBorders>
              <w:left w:val="single" w:sz="8" w:color="auto"/>
              <w:right w:val="single" w:sz="8" w:color="auto"/>
            </w:tcBorders>
          </w:tcPr>
          <w:p>
            <w:pPr>
              <w:spacing w:after="0"/>
              <w:rPr>
                <w:sz w:val="22"/>
                <w:szCs w:val="22"/>
                <w:color w:val="auto"/>
              </w:rPr>
            </w:pPr>
          </w:p>
        </w:tc>
        <w:tc>
          <w:tcPr>
            <w:tcW w:w="132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thereafter</w:t>
            </w:r>
          </w:p>
        </w:tc>
        <w:tc>
          <w:tcPr>
            <w:tcW w:w="1320" w:type="dxa"/>
            <w:vAlign w:val="bottom"/>
            <w:tcBorders>
              <w:right w:val="single" w:sz="8" w:color="auto"/>
            </w:tcBorders>
          </w:tcPr>
          <w:p>
            <w:pPr>
              <w:spacing w:after="0"/>
              <w:rPr>
                <w:sz w:val="22"/>
                <w:szCs w:val="22"/>
                <w:color w:val="auto"/>
              </w:rPr>
            </w:pPr>
          </w:p>
        </w:tc>
        <w:tc>
          <w:tcPr>
            <w:tcW w:w="4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55"/>
        </w:trPr>
        <w:tc>
          <w:tcPr>
            <w:tcW w:w="80" w:type="dxa"/>
            <w:vAlign w:val="bottom"/>
            <w:tcBorders>
              <w:left w:val="single" w:sz="8" w:color="auto"/>
              <w:bottom w:val="single" w:sz="8" w:color="auto"/>
              <w:right w:val="single" w:sz="8" w:color="auto"/>
            </w:tcBorders>
          </w:tcPr>
          <w:p>
            <w:pPr>
              <w:spacing w:after="0"/>
              <w:rPr>
                <w:sz w:val="4"/>
                <w:szCs w:val="4"/>
                <w:color w:val="auto"/>
              </w:rPr>
            </w:pPr>
          </w:p>
        </w:tc>
        <w:tc>
          <w:tcPr>
            <w:tcW w:w="1320" w:type="dxa"/>
            <w:vAlign w:val="bottom"/>
            <w:tcBorders>
              <w:bottom w:val="single" w:sz="8" w:color="auto"/>
              <w:right w:val="single" w:sz="8" w:color="auto"/>
            </w:tcBorders>
          </w:tcPr>
          <w:p>
            <w:pPr>
              <w:spacing w:after="0"/>
              <w:rPr>
                <w:sz w:val="4"/>
                <w:szCs w:val="4"/>
                <w:color w:val="auto"/>
              </w:rPr>
            </w:pPr>
          </w:p>
        </w:tc>
        <w:tc>
          <w:tcPr>
            <w:tcW w:w="1320" w:type="dxa"/>
            <w:vAlign w:val="bottom"/>
            <w:tcBorders>
              <w:bottom w:val="single" w:sz="8" w:color="auto"/>
              <w:right w:val="single" w:sz="8" w:color="auto"/>
            </w:tcBorders>
          </w:tcPr>
          <w:p>
            <w:pPr>
              <w:spacing w:after="0"/>
              <w:rPr>
                <w:sz w:val="4"/>
                <w:szCs w:val="4"/>
                <w:color w:val="auto"/>
              </w:rPr>
            </w:pPr>
          </w:p>
        </w:tc>
        <w:tc>
          <w:tcPr>
            <w:tcW w:w="4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34"/>
        </w:trPr>
        <w:tc>
          <w:tcPr>
            <w:tcW w:w="80" w:type="dxa"/>
            <w:vAlign w:val="bottom"/>
            <w:tcBorders>
              <w:left w:val="single" w:sz="8" w:color="auto"/>
              <w:bottom w:val="single" w:sz="8" w:color="auto"/>
              <w:right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320" w:type="dxa"/>
            <w:vAlign w:val="bottom"/>
            <w:tcBorders>
              <w:bottom w:val="single" w:sz="8" w:color="auto"/>
              <w:right w:val="single" w:sz="8" w:color="auto"/>
            </w:tcBorders>
          </w:tcPr>
          <w:p>
            <w:pPr>
              <w:spacing w:after="0"/>
              <w:rPr>
                <w:sz w:val="2"/>
                <w:szCs w:val="2"/>
                <w:color w:val="auto"/>
              </w:rPr>
            </w:pPr>
          </w:p>
        </w:tc>
        <w:tc>
          <w:tcPr>
            <w:tcW w:w="4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4</w:t>
      </w:r>
    </w:p>
    <w:p>
      <w:pPr>
        <w:sectPr>
          <w:pgSz w:w="11900" w:h="16838" w:orient="portrait"/>
          <w:cols w:equalWidth="0" w:num="1">
            <w:col w:w="9019"/>
          </w:cols>
          <w:pgMar w:left="1440" w:top="896" w:right="1440" w:bottom="360" w:gutter="0" w:footer="0" w:header="0"/>
        </w:sectPr>
      </w:pPr>
    </w:p>
    <w:p>
      <w:pPr>
        <w:spacing w:after="0" w:line="11"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4"/>
          <w:szCs w:val="14"/>
          <w:color w:val="auto"/>
        </w:rPr>
        <w:t>US-DOCS\171161013.8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339725</wp:posOffset>
            </wp:positionH>
            <wp:positionV relativeFrom="paragraph">
              <wp:posOffset>339090</wp:posOffset>
            </wp:positionV>
            <wp:extent cx="5040630" cy="2540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75">
                      <a:extLst>
                        <a:ext uri="{28A0092B-C50C-407E-A947-70E740481C1C}"/>
                      </a:extLst>
                    </a:blip>
                    <a:srcRect/>
                    <a:stretch>
                      <a:fillRect/>
                    </a:stretch>
                  </pic:blipFill>
                  <pic:spPr bwMode="auto">
                    <a:xfrm>
                      <a:off x="0" y="0"/>
                      <a:ext cx="5040630" cy="25400"/>
                    </a:xfrm>
                    <a:prstGeom prst="rect">
                      <a:avLst/>
                    </a:prstGeom>
                    <a:noFill/>
                  </pic:spPr>
                </pic:pic>
              </a:graphicData>
            </a:graphic>
          </wp:anchor>
        </w:drawing>
      </w:r>
    </w:p>
    <w:p>
      <w:pPr>
        <w:sectPr>
          <w:pgSz w:w="11900" w:h="16838" w:orient="portrait"/>
          <w:cols w:equalWidth="0" w:num="1">
            <w:col w:w="9019"/>
          </w:cols>
          <w:pgMar w:left="1440" w:top="896" w:right="1440" w:bottom="360" w:gutter="0" w:footer="0" w:header="0"/>
          <w:type w:val="continuous"/>
        </w:sectPr>
      </w:pPr>
    </w:p>
    <w:bookmarkStart w:id="55" w:name="page56"/>
    <w:bookmarkEnd w:id="55"/>
    <w:p>
      <w:pPr>
        <w:ind w:left="2480" w:hanging="320"/>
        <w:spacing w:after="0"/>
        <w:tabs>
          <w:tab w:leader="none" w:pos="2480" w:val="left"/>
        </w:tabs>
        <w:numPr>
          <w:ilvl w:val="0"/>
          <w:numId w:val="1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Section 7.2(h) of the Credit Agreement is hereby amended and restated as</w:t>
      </w:r>
    </w:p>
    <w:p>
      <w:pPr>
        <w:spacing w:after="0" w:line="21" w:lineRule="exact"/>
        <w:rPr>
          <w:rFonts w:ascii="Times New Roman" w:cs="Times New Roman" w:eastAsia="Times New Roman" w:hAnsi="Times New Roman"/>
          <w:sz w:val="20"/>
          <w:szCs w:val="20"/>
          <w:color w:val="auto"/>
        </w:rPr>
      </w:pPr>
    </w:p>
    <w:p>
      <w:pPr>
        <w:ind w:left="1520"/>
        <w:spacing w:after="0"/>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follows:</w:t>
      </w:r>
    </w:p>
    <w:p>
      <w:pPr>
        <w:spacing w:after="0" w:line="194" w:lineRule="exact"/>
        <w:rPr>
          <w:sz w:val="20"/>
          <w:szCs w:val="20"/>
          <w:color w:val="auto"/>
        </w:rPr>
      </w:pPr>
    </w:p>
    <w:p>
      <w:pPr>
        <w:ind w:left="540" w:right="559" w:firstLine="1296"/>
        <w:spacing w:after="0" w:line="250" w:lineRule="auto"/>
        <w:rPr>
          <w:sz w:val="20"/>
          <w:szCs w:val="20"/>
          <w:color w:val="auto"/>
        </w:rPr>
      </w:pPr>
      <w:r>
        <w:rPr>
          <w:rFonts w:ascii="Times New Roman" w:cs="Times New Roman" w:eastAsia="Times New Roman" w:hAnsi="Times New Roman"/>
          <w:sz w:val="20"/>
          <w:szCs w:val="20"/>
          <w:color w:val="auto"/>
        </w:rPr>
        <w:t>“(h) Indebtedness of Holdings and its Subsidiaries in an aggregate principal amount, for all such Indebtedness taken together, not to exceed the greater of (x) $37,500,000 and</w:t>
      </w:r>
    </w:p>
    <w:p>
      <w:pPr>
        <w:spacing w:after="0" w:line="2" w:lineRule="exact"/>
        <w:rPr>
          <w:sz w:val="20"/>
          <w:szCs w:val="20"/>
          <w:color w:val="auto"/>
        </w:rPr>
      </w:pPr>
    </w:p>
    <w:p>
      <w:pPr>
        <w:jc w:val="both"/>
        <w:ind w:left="540" w:right="559"/>
        <w:spacing w:after="0"/>
        <w:tabs>
          <w:tab w:leader="none" w:pos="829" w:val="left"/>
        </w:tabs>
        <w:numPr>
          <w:ilvl w:val="0"/>
          <w:numId w:val="1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37.5% of Consolidated Adjusted EBITDA for the most recently ended Reference Period at any one time outstanding; </w:t>
      </w:r>
      <w:r>
        <w:rPr>
          <w:rFonts w:ascii="Times New Roman" w:cs="Times New Roman" w:eastAsia="Times New Roman" w:hAnsi="Times New Roman"/>
          <w:sz w:val="20"/>
          <w:szCs w:val="20"/>
          <w:b w:val="1"/>
          <w:bCs w:val="1"/>
          <w:i w:val="1"/>
          <w:iCs w:val="1"/>
          <w:color w:val="auto"/>
        </w:rPr>
        <w:t>provided that, from and after the First Amendment Effective Date, after</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b w:val="1"/>
          <w:bCs w:val="1"/>
          <w:i w:val="1"/>
          <w:iCs w:val="1"/>
          <w:color w:val="auto"/>
        </w:rPr>
        <w:t>giving effect to the incurrence of such Indebtedness (other than with respect to an amount of Indebtedness not to exceed $2,500,000 at any one time outstanding), the Consolidated Net Leverage Ratio, on a Pro Forma Basis after giving effect such incurrence, does not exceed 3.00:1.00;</w:t>
      </w:r>
      <w:r>
        <w:rPr>
          <w:rFonts w:ascii="Times New Roman" w:cs="Times New Roman" w:eastAsia="Times New Roman" w:hAnsi="Times New Roman"/>
          <w:sz w:val="20"/>
          <w:szCs w:val="20"/>
          <w:color w:val="auto"/>
        </w:rPr>
        <w:t>”</w:t>
      </w:r>
    </w:p>
    <w:p>
      <w:pPr>
        <w:spacing w:after="0" w:line="191" w:lineRule="exact"/>
        <w:rPr>
          <w:sz w:val="20"/>
          <w:szCs w:val="20"/>
          <w:color w:val="auto"/>
        </w:rPr>
      </w:pPr>
    </w:p>
    <w:p>
      <w:pPr>
        <w:ind w:left="2480" w:hanging="320"/>
        <w:spacing w:after="0"/>
        <w:tabs>
          <w:tab w:leader="none" w:pos="2480" w:val="left"/>
        </w:tabs>
        <w:numPr>
          <w:ilvl w:val="0"/>
          <w:numId w:val="1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Section 7.6(b) of the Credit Agreement is hereby amended and restated as</w:t>
      </w:r>
    </w:p>
    <w:p>
      <w:pPr>
        <w:spacing w:after="0" w:line="21" w:lineRule="exact"/>
        <w:rPr>
          <w:rFonts w:ascii="Times New Roman" w:cs="Times New Roman" w:eastAsia="Times New Roman" w:hAnsi="Times New Roman"/>
          <w:sz w:val="20"/>
          <w:szCs w:val="20"/>
          <w:color w:val="auto"/>
        </w:rPr>
      </w:pPr>
    </w:p>
    <w:p>
      <w:pPr>
        <w:ind w:left="1520"/>
        <w:spacing w:after="0"/>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follows:</w:t>
      </w:r>
    </w:p>
    <w:p>
      <w:pPr>
        <w:spacing w:after="0" w:line="194" w:lineRule="exact"/>
        <w:rPr>
          <w:sz w:val="20"/>
          <w:szCs w:val="20"/>
          <w:color w:val="auto"/>
        </w:rPr>
      </w:pPr>
    </w:p>
    <w:p>
      <w:pPr>
        <w:jc w:val="both"/>
        <w:ind w:left="540" w:right="559" w:firstLine="1296"/>
        <w:spacing w:after="0" w:line="243" w:lineRule="auto"/>
        <w:rPr>
          <w:sz w:val="20"/>
          <w:szCs w:val="20"/>
          <w:color w:val="auto"/>
        </w:rPr>
      </w:pPr>
      <w:r>
        <w:rPr>
          <w:rFonts w:ascii="Times New Roman" w:cs="Times New Roman" w:eastAsia="Times New Roman" w:hAnsi="Times New Roman"/>
          <w:sz w:val="20"/>
          <w:szCs w:val="20"/>
          <w:color w:val="auto"/>
        </w:rPr>
        <w:t>“(b) each Loan Party may (i) purchase Capital Stock or Capital Stock options from present or former directors, officers or employees of any Group Member, including, without limitation, upon the death, disability or termination of employment of such director, officer or employee; provided that the aggregate amount of payments made under this clause (i) shall not exceed (1) $2,500,000 during any fiscal year of Holdings with unused amounts in any fiscal year being carried over to subsequent fiscal years</w:t>
      </w:r>
      <w:r>
        <w:rPr>
          <w:rFonts w:ascii="Times New Roman" w:cs="Times New Roman" w:eastAsia="Times New Roman" w:hAnsi="Times New Roman"/>
          <w:sz w:val="20"/>
          <w:szCs w:val="20"/>
          <w:b w:val="1"/>
          <w:bCs w:val="1"/>
          <w:i w:val="1"/>
          <w:iCs w:val="1"/>
          <w:color w:val="auto"/>
        </w:rPr>
        <w:t>, provided that after giving effect to such Restricted</w:t>
      </w:r>
    </w:p>
    <w:p>
      <w:pPr>
        <w:spacing w:after="0" w:line="2" w:lineRule="exact"/>
        <w:rPr>
          <w:sz w:val="20"/>
          <w:szCs w:val="20"/>
          <w:color w:val="auto"/>
        </w:rPr>
      </w:pPr>
    </w:p>
    <w:p>
      <w:pPr>
        <w:jc w:val="both"/>
        <w:ind w:left="540" w:right="559"/>
        <w:spacing w:after="0"/>
        <w:rPr>
          <w:sz w:val="20"/>
          <w:szCs w:val="20"/>
          <w:color w:val="auto"/>
        </w:rPr>
      </w:pPr>
      <w:r>
        <w:rPr>
          <w:rFonts w:ascii="Times New Roman" w:cs="Times New Roman" w:eastAsia="Times New Roman" w:hAnsi="Times New Roman"/>
          <w:sz w:val="20"/>
          <w:szCs w:val="20"/>
          <w:b w:val="1"/>
          <w:bCs w:val="1"/>
          <w:i w:val="1"/>
          <w:iCs w:val="1"/>
          <w:color w:val="auto"/>
        </w:rPr>
        <w:t xml:space="preserve">Payment (including with respect to the ability to carry such amounts over to subsequent fiscal years), the Consolidated Net Leverage Ratio, on a Pro Forma Basis after giving effect such Restricted Payment (or carryforward), does not exceed 3.00:1.00 </w:t>
      </w:r>
      <w:r>
        <w:rPr>
          <w:rFonts w:ascii="Times New Roman" w:cs="Times New Roman" w:eastAsia="Times New Roman" w:hAnsi="Times New Roman"/>
          <w:sz w:val="20"/>
          <w:szCs w:val="20"/>
          <w:color w:val="auto"/>
        </w:rPr>
        <w:t>plus (2) $5,000,000, provided</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that after giving effect to such Restricted Payment, the Consolidated Net Leverage Ratio, on a Pro Forma Basis after giving effect such Restricted Payment, does not exceed 2.40:1.00, plus (3) $10,000,000, provided that after giving effect to such Restricted Payment, the Consolidated Net Leverage Ratio, on a Pro Forma Basis after giving effect such Restricted Payment, does not exceed 1.90:1.00, (ii) declare and make dividend payments or other distributions payable solely in the common stock or other common Capital Stock of Holdings; and (iii) make Restricted Payments to pay employee taxes in connection with its employee Retirement Savings Plan, company stock plan or equity plan; provided that the aggregate amount of payments made under this clause (iii) shall not exceed $7,500,000 during any fiscal year of Holdings with unused amounts in any fiscal year being carried over to the immediately succeeding fiscal year in an aggregate amount not to exceed $7,500,000;”</w:t>
      </w:r>
    </w:p>
    <w:p>
      <w:pPr>
        <w:spacing w:after="0" w:line="187" w:lineRule="exact"/>
        <w:rPr>
          <w:sz w:val="20"/>
          <w:szCs w:val="20"/>
          <w:color w:val="auto"/>
        </w:rPr>
      </w:pPr>
    </w:p>
    <w:p>
      <w:pPr>
        <w:ind w:left="2480" w:hanging="320"/>
        <w:spacing w:after="0"/>
        <w:tabs>
          <w:tab w:leader="none" w:pos="2480" w:val="left"/>
        </w:tabs>
        <w:numPr>
          <w:ilvl w:val="0"/>
          <w:numId w:val="1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Section 7.6(g) of the Credit Agreement is hereby amended and restated as</w:t>
      </w:r>
    </w:p>
    <w:p>
      <w:pPr>
        <w:spacing w:after="0" w:line="21" w:lineRule="exact"/>
        <w:rPr>
          <w:rFonts w:ascii="Times New Roman" w:cs="Times New Roman" w:eastAsia="Times New Roman" w:hAnsi="Times New Roman"/>
          <w:sz w:val="20"/>
          <w:szCs w:val="20"/>
          <w:color w:val="auto"/>
        </w:rPr>
      </w:pPr>
    </w:p>
    <w:p>
      <w:pPr>
        <w:ind w:left="1520"/>
        <w:spacing w:after="0"/>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follows:</w:t>
      </w:r>
    </w:p>
    <w:p>
      <w:pPr>
        <w:spacing w:after="0" w:line="194" w:lineRule="exact"/>
        <w:rPr>
          <w:sz w:val="20"/>
          <w:szCs w:val="20"/>
          <w:color w:val="auto"/>
        </w:rPr>
      </w:pPr>
    </w:p>
    <w:p>
      <w:pPr>
        <w:jc w:val="both"/>
        <w:ind w:left="540" w:right="559" w:firstLine="648"/>
        <w:spacing w:after="0" w:line="247" w:lineRule="auto"/>
        <w:rPr>
          <w:sz w:val="20"/>
          <w:szCs w:val="20"/>
          <w:color w:val="auto"/>
        </w:rPr>
      </w:pPr>
      <w:r>
        <w:rPr>
          <w:rFonts w:ascii="Times New Roman" w:cs="Times New Roman" w:eastAsia="Times New Roman" w:hAnsi="Times New Roman"/>
          <w:sz w:val="20"/>
          <w:szCs w:val="20"/>
          <w:color w:val="auto"/>
        </w:rPr>
        <w:t xml:space="preserve">“(g) Holdings and its Subsidiaries may make Restricted Payments not otherwise permitted by one of the foregoing clauses of this Section 7.6; provided that </w:t>
      </w:r>
      <w:r>
        <w:rPr>
          <w:rFonts w:ascii="Times New Roman" w:cs="Times New Roman" w:eastAsia="Times New Roman" w:hAnsi="Times New Roman"/>
          <w:sz w:val="20"/>
          <w:szCs w:val="20"/>
          <w:b w:val="1"/>
          <w:bCs w:val="1"/>
          <w:i w:val="1"/>
          <w:iCs w:val="1"/>
          <w:color w:val="auto"/>
        </w:rPr>
        <w:t>(i)</w:t>
      </w:r>
      <w:r>
        <w:rPr>
          <w:rFonts w:ascii="Times New Roman" w:cs="Times New Roman" w:eastAsia="Times New Roman" w:hAnsi="Times New Roman"/>
          <w:sz w:val="20"/>
          <w:szCs w:val="20"/>
          <w:color w:val="auto"/>
        </w:rPr>
        <w:t xml:space="preserve"> the aggregate amount of all such Restricted Payments made pursuant to this clause (g) shall not exceed $2,500,000 </w:t>
      </w:r>
      <w:r>
        <w:rPr>
          <w:rFonts w:ascii="Times New Roman" w:cs="Times New Roman" w:eastAsia="Times New Roman" w:hAnsi="Times New Roman"/>
          <w:sz w:val="20"/>
          <w:szCs w:val="20"/>
          <w:b w:val="1"/>
          <w:bCs w:val="1"/>
          <w:i w:val="1"/>
          <w:iCs w:val="1"/>
          <w:color w:val="auto"/>
        </w:rPr>
        <w:t>and</w:t>
      </w:r>
    </w:p>
    <w:p>
      <w:pPr>
        <w:ind w:left="540" w:right="559"/>
        <w:spacing w:after="0" w:line="246" w:lineRule="auto"/>
        <w:tabs>
          <w:tab w:leader="none" w:pos="834" w:val="left"/>
        </w:tabs>
        <w:numPr>
          <w:ilvl w:val="0"/>
          <w:numId w:val="20"/>
        </w:numPr>
        <w:rPr>
          <w:rFonts w:ascii="Times New Roman" w:cs="Times New Roman" w:eastAsia="Times New Roman" w:hAnsi="Times New Roman"/>
          <w:sz w:val="20"/>
          <w:szCs w:val="20"/>
          <w:b w:val="1"/>
          <w:bCs w:val="1"/>
          <w:i w:val="1"/>
          <w:iCs w:val="1"/>
          <w:color w:val="auto"/>
        </w:rPr>
      </w:pPr>
      <w:r>
        <w:rPr>
          <w:rFonts w:ascii="Times New Roman" w:cs="Times New Roman" w:eastAsia="Times New Roman" w:hAnsi="Times New Roman"/>
          <w:sz w:val="20"/>
          <w:szCs w:val="20"/>
          <w:b w:val="1"/>
          <w:bCs w:val="1"/>
          <w:i w:val="1"/>
          <w:iCs w:val="1"/>
          <w:color w:val="auto"/>
        </w:rPr>
        <w:t>after giving effect to such Restricted Payment, the Consolidated Net Leverage Ratio, on a Pro Forma Basis after giving effect such Restricted Payment, does not exceed 3.00:1.00</w:t>
      </w:r>
      <w:r>
        <w:rPr>
          <w:rFonts w:ascii="Times New Roman" w:cs="Times New Roman" w:eastAsia="Times New Roman" w:hAnsi="Times New Roman"/>
          <w:sz w:val="20"/>
          <w:szCs w:val="20"/>
          <w:color w:val="auto"/>
        </w:rPr>
        <w:t>;”</w:t>
      </w:r>
    </w:p>
    <w:p>
      <w:pPr>
        <w:spacing w:after="0" w:line="182" w:lineRule="exact"/>
        <w:rPr>
          <w:sz w:val="20"/>
          <w:szCs w:val="20"/>
          <w:color w:val="auto"/>
        </w:rPr>
      </w:pPr>
    </w:p>
    <w:p>
      <w:pPr>
        <w:ind w:left="2480" w:hanging="320"/>
        <w:spacing w:after="0"/>
        <w:tabs>
          <w:tab w:leader="none" w:pos="2480" w:val="left"/>
        </w:tabs>
        <w:numPr>
          <w:ilvl w:val="0"/>
          <w:numId w:val="2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Section 7.6(k) of the Credit Agreement is hereby amended and restated as</w:t>
      </w:r>
    </w:p>
    <w:p>
      <w:pPr>
        <w:spacing w:after="0" w:line="21" w:lineRule="exact"/>
        <w:rPr>
          <w:rFonts w:ascii="Times New Roman" w:cs="Times New Roman" w:eastAsia="Times New Roman" w:hAnsi="Times New Roman"/>
          <w:sz w:val="20"/>
          <w:szCs w:val="20"/>
          <w:color w:val="auto"/>
        </w:rPr>
      </w:pPr>
    </w:p>
    <w:p>
      <w:pPr>
        <w:ind w:left="1520"/>
        <w:spacing w:after="0"/>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follows:</w:t>
      </w:r>
    </w:p>
    <w:p>
      <w:pPr>
        <w:spacing w:after="0" w:line="194" w:lineRule="exact"/>
        <w:rPr>
          <w:sz w:val="20"/>
          <w:szCs w:val="20"/>
          <w:color w:val="auto"/>
        </w:rPr>
      </w:pPr>
    </w:p>
    <w:p>
      <w:pPr>
        <w:jc w:val="both"/>
        <w:ind w:left="540" w:right="559" w:firstLine="1296"/>
        <w:spacing w:after="0" w:line="254" w:lineRule="auto"/>
        <w:rPr>
          <w:sz w:val="20"/>
          <w:szCs w:val="20"/>
          <w:color w:val="auto"/>
        </w:rPr>
      </w:pPr>
      <w:r>
        <w:rPr>
          <w:rFonts w:ascii="Times New Roman" w:cs="Times New Roman" w:eastAsia="Times New Roman" w:hAnsi="Times New Roman"/>
          <w:sz w:val="20"/>
          <w:szCs w:val="20"/>
          <w:color w:val="auto"/>
        </w:rPr>
        <w:t xml:space="preserve">“(k) the Group Members may repurchase Capital Stock of Holdings pursuant to a board-approved share repurchase plan for aggregate consideration not to exceed $15,000,000, so long as </w:t>
      </w:r>
      <w:r>
        <w:rPr>
          <w:rFonts w:ascii="Times New Roman" w:cs="Times New Roman" w:eastAsia="Times New Roman" w:hAnsi="Times New Roman"/>
          <w:sz w:val="20"/>
          <w:szCs w:val="20"/>
          <w:b w:val="1"/>
          <w:bCs w:val="1"/>
          <w:i w:val="1"/>
          <w:iCs w:val="1"/>
          <w:color w:val="auto"/>
        </w:rPr>
        <w:t>(i)</w:t>
      </w:r>
      <w:r>
        <w:rPr>
          <w:rFonts w:ascii="Times New Roman" w:cs="Times New Roman" w:eastAsia="Times New Roman" w:hAnsi="Times New Roman"/>
          <w:sz w:val="20"/>
          <w:szCs w:val="20"/>
          <w:color w:val="auto"/>
        </w:rPr>
        <w:t xml:space="preserve"> immediately before and immediately after giving effect to any such repurchase,</w:t>
      </w:r>
    </w:p>
    <w:p>
      <w:pPr>
        <w:spacing w:after="0" w:line="21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5</w:t>
      </w:r>
    </w:p>
    <w:p>
      <w:pPr>
        <w:spacing w:after="0" w:line="11"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4"/>
          <w:szCs w:val="14"/>
          <w:color w:val="auto"/>
        </w:rPr>
        <w:t>US-DOCS\171161013.8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339725</wp:posOffset>
            </wp:positionH>
            <wp:positionV relativeFrom="paragraph">
              <wp:posOffset>339090</wp:posOffset>
            </wp:positionV>
            <wp:extent cx="5040630" cy="2603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76">
                      <a:extLst>
                        <a:ext uri="{28A0092B-C50C-407E-A947-70E740481C1C}"/>
                      </a:extLst>
                    </a:blip>
                    <a:srcRect/>
                    <a:stretch>
                      <a:fillRect/>
                    </a:stretch>
                  </pic:blipFill>
                  <pic:spPr bwMode="auto">
                    <a:xfrm>
                      <a:off x="0" y="0"/>
                      <a:ext cx="5040630" cy="26035"/>
                    </a:xfrm>
                    <a:prstGeom prst="rect">
                      <a:avLst/>
                    </a:prstGeom>
                    <a:noFill/>
                  </pic:spPr>
                </pic:pic>
              </a:graphicData>
            </a:graphic>
          </wp:anchor>
        </w:drawing>
      </w:r>
    </w:p>
    <w:p>
      <w:pPr>
        <w:sectPr>
          <w:pgSz w:w="11900" w:h="16838" w:orient="portrait"/>
          <w:cols w:equalWidth="0" w:num="1">
            <w:col w:w="9019"/>
          </w:cols>
          <w:pgMar w:left="1440" w:top="900" w:right="1440" w:bottom="1440" w:gutter="0" w:footer="0" w:header="0"/>
        </w:sectPr>
      </w:pPr>
    </w:p>
    <w:bookmarkStart w:id="56" w:name="page57"/>
    <w:bookmarkEnd w:id="56"/>
    <w:p>
      <w:pPr>
        <w:ind w:left="540" w:right="559"/>
        <w:spacing w:after="0" w:line="250" w:lineRule="auto"/>
        <w:rPr>
          <w:sz w:val="20"/>
          <w:szCs w:val="20"/>
          <w:color w:val="auto"/>
        </w:rPr>
      </w:pPr>
      <w:r>
        <w:rPr>
          <w:rFonts w:ascii="Times New Roman" w:cs="Times New Roman" w:eastAsia="Times New Roman" w:hAnsi="Times New Roman"/>
          <w:sz w:val="20"/>
          <w:szCs w:val="20"/>
          <w:color w:val="auto"/>
        </w:rPr>
        <w:t xml:space="preserve">Holdings and its Subsidiaries shall be in compliance on a Pro Forma Basis with the covenant set forth in </w:t>
      </w:r>
      <w:r>
        <w:rPr>
          <w:rFonts w:ascii="Times New Roman" w:cs="Times New Roman" w:eastAsia="Times New Roman" w:hAnsi="Times New Roman"/>
          <w:sz w:val="20"/>
          <w:szCs w:val="20"/>
          <w:u w:val="single" w:color="auto"/>
          <w:color w:val="auto"/>
        </w:rPr>
        <w:t>Section 7.1</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b w:val="1"/>
          <w:bCs w:val="1"/>
          <w:i w:val="1"/>
          <w:iCs w:val="1"/>
          <w:color w:val="auto"/>
        </w:rPr>
        <w:t>and (ii) that after giving effect to such Restricted Payment, the Consolidated</w:t>
      </w:r>
    </w:p>
    <w:p>
      <w:pPr>
        <w:spacing w:after="0" w:line="2" w:lineRule="exact"/>
        <w:rPr>
          <w:sz w:val="20"/>
          <w:szCs w:val="20"/>
          <w:color w:val="auto"/>
        </w:rPr>
      </w:pPr>
    </w:p>
    <w:p>
      <w:pPr>
        <w:ind w:left="540" w:right="559"/>
        <w:spacing w:after="0" w:line="246" w:lineRule="auto"/>
        <w:rPr>
          <w:sz w:val="20"/>
          <w:szCs w:val="20"/>
          <w:color w:val="auto"/>
        </w:rPr>
      </w:pPr>
      <w:r>
        <w:rPr>
          <w:rFonts w:ascii="Times New Roman" w:cs="Times New Roman" w:eastAsia="Times New Roman" w:hAnsi="Times New Roman"/>
          <w:sz w:val="20"/>
          <w:szCs w:val="20"/>
          <w:b w:val="1"/>
          <w:bCs w:val="1"/>
          <w:i w:val="1"/>
          <w:iCs w:val="1"/>
          <w:color w:val="auto"/>
        </w:rPr>
        <w:t>Net Leverage Ratio, on a Pro Forma Basis after giving effect such Restricted Payment, does not exceed 3.00:1.00</w:t>
      </w:r>
      <w:r>
        <w:rPr>
          <w:rFonts w:ascii="Times New Roman" w:cs="Times New Roman" w:eastAsia="Times New Roman" w:hAnsi="Times New Roman"/>
          <w:sz w:val="20"/>
          <w:szCs w:val="20"/>
          <w:color w:val="auto"/>
        </w:rPr>
        <w:t>; and”</w:t>
      </w:r>
    </w:p>
    <w:p>
      <w:pPr>
        <w:spacing w:after="0" w:line="182" w:lineRule="exact"/>
        <w:rPr>
          <w:sz w:val="20"/>
          <w:szCs w:val="20"/>
          <w:color w:val="auto"/>
        </w:rPr>
      </w:pPr>
    </w:p>
    <w:p>
      <w:pPr>
        <w:ind w:left="1180"/>
        <w:spacing w:after="0"/>
        <w:rPr>
          <w:sz w:val="20"/>
          <w:szCs w:val="20"/>
          <w:color w:val="auto"/>
        </w:rPr>
      </w:pPr>
      <w:r>
        <w:rPr>
          <w:rFonts w:ascii="Times New Roman" w:cs="Times New Roman" w:eastAsia="Times New Roman" w:hAnsi="Times New Roman"/>
          <w:sz w:val="20"/>
          <w:szCs w:val="20"/>
          <w:color w:val="auto"/>
        </w:rPr>
        <w:t xml:space="preserve">Section 3. </w:t>
      </w:r>
      <w:r>
        <w:rPr>
          <w:rFonts w:ascii="Times New Roman" w:cs="Times New Roman" w:eastAsia="Times New Roman" w:hAnsi="Times New Roman"/>
          <w:sz w:val="20"/>
          <w:szCs w:val="20"/>
          <w:u w:val="single" w:color="auto"/>
          <w:color w:val="auto"/>
        </w:rPr>
        <w:t>Limited Waiver</w:t>
      </w:r>
      <w:r>
        <w:rPr>
          <w:rFonts w:ascii="Times New Roman" w:cs="Times New Roman" w:eastAsia="Times New Roman" w:hAnsi="Times New Roman"/>
          <w:sz w:val="20"/>
          <w:szCs w:val="20"/>
          <w:color w:val="auto"/>
        </w:rPr>
        <w:t>.</w:t>
      </w:r>
    </w:p>
    <w:p>
      <w:pPr>
        <w:spacing w:after="0" w:line="216" w:lineRule="exact"/>
        <w:rPr>
          <w:sz w:val="20"/>
          <w:szCs w:val="20"/>
          <w:color w:val="auto"/>
        </w:rPr>
      </w:pPr>
    </w:p>
    <w:p>
      <w:pPr>
        <w:jc w:val="both"/>
        <w:ind w:left="1180" w:right="559" w:firstLine="656"/>
        <w:spacing w:after="0" w:line="249" w:lineRule="auto"/>
        <w:tabs>
          <w:tab w:leader="none" w:pos="2476" w:val="left"/>
        </w:tabs>
        <w:numPr>
          <w:ilvl w:val="0"/>
          <w:numId w:val="2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Subject to the satisfaction (or waiver) of the conditions precedent specified in Section 5 below, each of the Consenting Lenders hereby agrees to waive compliance by Holdings with Section 7.1(a) of the Amended Credit Agreement, solely for the fiscal quarter ending on or about June 30, 2026.</w:t>
      </w:r>
    </w:p>
    <w:p>
      <w:pPr>
        <w:spacing w:after="0" w:line="193" w:lineRule="exact"/>
        <w:rPr>
          <w:rFonts w:ascii="Times New Roman" w:cs="Times New Roman" w:eastAsia="Times New Roman" w:hAnsi="Times New Roman"/>
          <w:sz w:val="20"/>
          <w:szCs w:val="20"/>
          <w:color w:val="auto"/>
        </w:rPr>
      </w:pPr>
    </w:p>
    <w:p>
      <w:pPr>
        <w:jc w:val="both"/>
        <w:ind w:left="1180" w:right="559" w:firstLine="656"/>
        <w:spacing w:after="0" w:line="241" w:lineRule="auto"/>
        <w:tabs>
          <w:tab w:leader="none" w:pos="2476" w:val="left"/>
        </w:tabs>
        <w:numPr>
          <w:ilvl w:val="0"/>
          <w:numId w:val="2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This waiver in clause (a) above is limited in nature and nothing contained herein is intended or shall be deemed or construed (i) to, other than as expressly set forth in this Agreement, constitute a waiver of any future compliance with any term or provision of any Loan Document or applicable law or (ii) to establish a custom or course of dealing between the Loan Parties, on the one hand, and the Administrative Agent and/or any Lender, on the other hand. For the avoidance of doubt, this limited waiver shall not constitute a waiver of any covenant or condition that requires compliance with Section 7.1(a), and Holdings and its Subsidiaries shall not be permitted to take any action under the Amended Credit Agreement which requires, or is conditioned on, compliance with Section 7.1 from the period commencing on the First Amendment Effective Date and ending on the date on which Holdings delivers to the Administrative Agent a Compliance Certificate which shows that it is in compliance with, or in reference to, the financial covenant set forth in Section 7.1(a) of the Amended Credit Agreement for the four consecutive quarter period ending on or about December 31, 2026.</w:t>
      </w:r>
    </w:p>
    <w:p>
      <w:pPr>
        <w:spacing w:after="0" w:line="209" w:lineRule="exact"/>
        <w:rPr>
          <w:sz w:val="20"/>
          <w:szCs w:val="20"/>
          <w:color w:val="auto"/>
        </w:rPr>
      </w:pPr>
    </w:p>
    <w:p>
      <w:pPr>
        <w:jc w:val="both"/>
        <w:ind w:left="540" w:right="559" w:firstLine="648"/>
        <w:spacing w:after="0" w:line="254" w:lineRule="auto"/>
        <w:rPr>
          <w:sz w:val="20"/>
          <w:szCs w:val="20"/>
          <w:color w:val="auto"/>
        </w:rPr>
      </w:pPr>
      <w:r>
        <w:rPr>
          <w:rFonts w:ascii="Times New Roman" w:cs="Times New Roman" w:eastAsia="Times New Roman" w:hAnsi="Times New Roman"/>
          <w:sz w:val="20"/>
          <w:szCs w:val="20"/>
          <w:color w:val="auto"/>
        </w:rPr>
        <w:t xml:space="preserve">Section 4. </w:t>
      </w:r>
      <w:r>
        <w:rPr>
          <w:rFonts w:ascii="Times New Roman" w:cs="Times New Roman" w:eastAsia="Times New Roman" w:hAnsi="Times New Roman"/>
          <w:sz w:val="20"/>
          <w:szCs w:val="20"/>
          <w:u w:val="single" w:color="auto"/>
          <w:color w:val="auto"/>
        </w:rPr>
        <w:t>Representations and Warranties</w:t>
      </w:r>
      <w:r>
        <w:rPr>
          <w:rFonts w:ascii="Times New Roman" w:cs="Times New Roman" w:eastAsia="Times New Roman" w:hAnsi="Times New Roman"/>
          <w:sz w:val="20"/>
          <w:szCs w:val="20"/>
          <w:color w:val="auto"/>
        </w:rPr>
        <w:t>. Each Loan Party represents and warrants to each Agent and the Lenders as of the First Amendment Effective Date, immediately after giving effect to this Agreement, that:</w:t>
      </w:r>
    </w:p>
    <w:p>
      <w:pPr>
        <w:spacing w:after="0" w:line="174" w:lineRule="exact"/>
        <w:rPr>
          <w:sz w:val="20"/>
          <w:szCs w:val="20"/>
          <w:color w:val="auto"/>
        </w:rPr>
      </w:pPr>
    </w:p>
    <w:p>
      <w:pPr>
        <w:jc w:val="both"/>
        <w:ind w:left="1180" w:right="559" w:firstLine="705"/>
        <w:spacing w:after="0" w:line="244" w:lineRule="auto"/>
        <w:tabs>
          <w:tab w:leader="none" w:pos="2476" w:val="left"/>
        </w:tabs>
        <w:numPr>
          <w:ilvl w:val="1"/>
          <w:numId w:val="2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representations and warranties set forth in Section 4 of the Amended Credit Agreement, and in each of the other Loan Documents, are true and correct in all material respects on the First Amendment Effective Date as if made on and as of the First Amendment Effective Date (or, if any such representation or warranty is expressly stated to have been made as of a specific date, such representation or warranty shall be true and correct in all material respects as of such specific date), and as if each reference in such Section to “this Agreement” included reference to this Agreement; and</w:t>
      </w:r>
    </w:p>
    <w:p>
      <w:pPr>
        <w:spacing w:after="0" w:line="199" w:lineRule="exact"/>
        <w:rPr>
          <w:rFonts w:ascii="Times New Roman" w:cs="Times New Roman" w:eastAsia="Times New Roman" w:hAnsi="Times New Roman"/>
          <w:sz w:val="20"/>
          <w:szCs w:val="20"/>
          <w:color w:val="auto"/>
        </w:rPr>
      </w:pPr>
    </w:p>
    <w:p>
      <w:pPr>
        <w:jc w:val="both"/>
        <w:ind w:left="1180" w:right="559" w:firstLine="656"/>
        <w:spacing w:after="0" w:line="254" w:lineRule="auto"/>
        <w:tabs>
          <w:tab w:leader="none" w:pos="2476" w:val="left"/>
        </w:tabs>
        <w:numPr>
          <w:ilvl w:val="0"/>
          <w:numId w:val="2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 Default or Event of Default has occurred and is continuing as of the First Amendment Effective Date, in each case, immediately after giving effect to this Agreement.</w:t>
      </w:r>
    </w:p>
    <w:p>
      <w:pPr>
        <w:spacing w:after="0" w:line="188" w:lineRule="exact"/>
        <w:rPr>
          <w:sz w:val="20"/>
          <w:szCs w:val="20"/>
          <w:color w:val="auto"/>
        </w:rPr>
      </w:pPr>
    </w:p>
    <w:p>
      <w:pPr>
        <w:jc w:val="both"/>
        <w:ind w:left="540" w:right="559" w:firstLine="648"/>
        <w:spacing w:after="0" w:line="246" w:lineRule="auto"/>
        <w:rPr>
          <w:sz w:val="20"/>
          <w:szCs w:val="20"/>
          <w:color w:val="auto"/>
        </w:rPr>
      </w:pPr>
      <w:r>
        <w:rPr>
          <w:rFonts w:ascii="Times New Roman" w:cs="Times New Roman" w:eastAsia="Times New Roman" w:hAnsi="Times New Roman"/>
          <w:sz w:val="20"/>
          <w:szCs w:val="20"/>
          <w:color w:val="auto"/>
        </w:rPr>
        <w:t xml:space="preserve">Section 5. </w:t>
      </w:r>
      <w:r>
        <w:rPr>
          <w:rFonts w:ascii="Times New Roman" w:cs="Times New Roman" w:eastAsia="Times New Roman" w:hAnsi="Times New Roman"/>
          <w:sz w:val="20"/>
          <w:szCs w:val="20"/>
          <w:u w:val="single" w:color="auto"/>
          <w:color w:val="auto"/>
        </w:rPr>
        <w:t>Conditions Precedent</w:t>
      </w:r>
      <w:r>
        <w:rPr>
          <w:rFonts w:ascii="Times New Roman" w:cs="Times New Roman" w:eastAsia="Times New Roman" w:hAnsi="Times New Roman"/>
          <w:sz w:val="20"/>
          <w:szCs w:val="20"/>
          <w:color w:val="auto"/>
        </w:rPr>
        <w:t>. The amendments set forth in Section 2 hereof and the limited waiver set forth in Section 3 hereof shall become effective upon the satisfaction (or waiver by the Required Lenders) of the following conditions precedent (the date on which such conditions precedent are satisfied or waived being referred to herein as the “</w:t>
      </w:r>
      <w:r>
        <w:rPr>
          <w:rFonts w:ascii="Times New Roman" w:cs="Times New Roman" w:eastAsia="Times New Roman" w:hAnsi="Times New Roman"/>
          <w:sz w:val="20"/>
          <w:szCs w:val="20"/>
          <w:u w:val="single" w:color="auto"/>
          <w:color w:val="auto"/>
        </w:rPr>
        <w:t>First Amendment Effective</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Date</w:t>
      </w:r>
      <w:r>
        <w:rPr>
          <w:rFonts w:ascii="Times New Roman" w:cs="Times New Roman" w:eastAsia="Times New Roman" w:hAnsi="Times New Roman"/>
          <w:sz w:val="20"/>
          <w:szCs w:val="20"/>
          <w:color w:val="auto"/>
        </w:rPr>
        <w:t>”):</w:t>
      </w:r>
    </w:p>
    <w:p>
      <w:pPr>
        <w:spacing w:after="0" w:line="185" w:lineRule="exact"/>
        <w:rPr>
          <w:sz w:val="20"/>
          <w:szCs w:val="20"/>
          <w:color w:val="auto"/>
        </w:rPr>
      </w:pPr>
    </w:p>
    <w:p>
      <w:pPr>
        <w:ind w:left="1180" w:right="559" w:firstLine="656"/>
        <w:spacing w:after="0" w:line="269" w:lineRule="auto"/>
        <w:tabs>
          <w:tab w:leader="none" w:pos="2476" w:val="left"/>
        </w:tabs>
        <w:numPr>
          <w:ilvl w:val="0"/>
          <w:numId w:val="2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Execution</w:t>
      </w:r>
      <w:r>
        <w:rPr>
          <w:rFonts w:ascii="Times New Roman" w:cs="Times New Roman" w:eastAsia="Times New Roman" w:hAnsi="Times New Roman"/>
          <w:sz w:val="20"/>
          <w:szCs w:val="20"/>
          <w:color w:val="auto"/>
        </w:rPr>
        <w:t>. The Administrative Agent shall have received counterparts of this Agreement executed by the Borrower, Holdings and the Lenders constituting the</w:t>
      </w:r>
    </w:p>
    <w:p>
      <w:pPr>
        <w:spacing w:after="0" w:line="19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6</w:t>
      </w:r>
    </w:p>
    <w:p>
      <w:pPr>
        <w:spacing w:after="0" w:line="11"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4"/>
          <w:szCs w:val="14"/>
          <w:color w:val="auto"/>
        </w:rPr>
        <w:t>US-DOCS\171161013.8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339725</wp:posOffset>
            </wp:positionH>
            <wp:positionV relativeFrom="paragraph">
              <wp:posOffset>339090</wp:posOffset>
            </wp:positionV>
            <wp:extent cx="5040630" cy="2540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77">
                      <a:extLst>
                        <a:ext uri="{28A0092B-C50C-407E-A947-70E740481C1C}"/>
                      </a:extLst>
                    </a:blip>
                    <a:srcRect/>
                    <a:stretch>
                      <a:fillRect/>
                    </a:stretch>
                  </pic:blipFill>
                  <pic:spPr bwMode="auto">
                    <a:xfrm>
                      <a:off x="0" y="0"/>
                      <a:ext cx="5040630" cy="25400"/>
                    </a:xfrm>
                    <a:prstGeom prst="rect">
                      <a:avLst/>
                    </a:prstGeom>
                    <a:noFill/>
                  </pic:spPr>
                </pic:pic>
              </a:graphicData>
            </a:graphic>
          </wp:anchor>
        </w:drawing>
      </w:r>
    </w:p>
    <w:p>
      <w:pPr>
        <w:sectPr>
          <w:pgSz w:w="11900" w:h="16838" w:orient="portrait"/>
          <w:cols w:equalWidth="0" w:num="1">
            <w:col w:w="9019"/>
          </w:cols>
          <w:pgMar w:left="1440" w:top="900" w:right="1440" w:bottom="1440" w:gutter="0" w:footer="0" w:header="0"/>
        </w:sectPr>
      </w:pPr>
    </w:p>
    <w:bookmarkStart w:id="57" w:name="page58"/>
    <w:bookmarkEnd w:id="57"/>
    <w:p>
      <w:pPr>
        <w:ind w:left="1180" w:right="559"/>
        <w:spacing w:after="0" w:line="269" w:lineRule="auto"/>
        <w:rPr>
          <w:sz w:val="20"/>
          <w:szCs w:val="20"/>
          <w:color w:val="auto"/>
        </w:rPr>
      </w:pPr>
      <w:r>
        <w:rPr>
          <w:rFonts w:ascii="Times New Roman" w:cs="Times New Roman" w:eastAsia="Times New Roman" w:hAnsi="Times New Roman"/>
          <w:sz w:val="20"/>
          <w:szCs w:val="20"/>
          <w:color w:val="auto"/>
        </w:rPr>
        <w:t>Required Lenders under the Credit Agreement (which, in each case, may include telecopy or electronic transmission of a signed signature page of this Agreement).</w:t>
      </w:r>
    </w:p>
    <w:p>
      <w:pPr>
        <w:spacing w:after="0" w:line="173" w:lineRule="exact"/>
        <w:rPr>
          <w:sz w:val="20"/>
          <w:szCs w:val="20"/>
          <w:color w:val="auto"/>
        </w:rPr>
      </w:pPr>
    </w:p>
    <w:p>
      <w:pPr>
        <w:jc w:val="both"/>
        <w:ind w:left="1180" w:right="559" w:firstLine="656"/>
        <w:spacing w:after="0" w:line="246" w:lineRule="auto"/>
        <w:tabs>
          <w:tab w:leader="none" w:pos="2476" w:val="left"/>
        </w:tabs>
        <w:numPr>
          <w:ilvl w:val="0"/>
          <w:numId w:val="2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Effective Date Certificate</w:t>
      </w:r>
      <w:r>
        <w:rPr>
          <w:rFonts w:ascii="Times New Roman" w:cs="Times New Roman" w:eastAsia="Times New Roman" w:hAnsi="Times New Roman"/>
          <w:sz w:val="20"/>
          <w:szCs w:val="20"/>
          <w:color w:val="auto"/>
        </w:rPr>
        <w:t>. The Administrative Agent shall have received an originally executed First Amendment Effective Date Certificate, together with all attachments thereto, in form and substance reasonably satisfactory to the Administrative Agent, pursuant to which a Responsible Officer of the Borrower shall certify to the representations and warranties being made pursuant to Section 4 hereof.</w:t>
      </w:r>
    </w:p>
    <w:p>
      <w:pPr>
        <w:spacing w:after="0" w:line="198" w:lineRule="exact"/>
        <w:rPr>
          <w:rFonts w:ascii="Times New Roman" w:cs="Times New Roman" w:eastAsia="Times New Roman" w:hAnsi="Times New Roman"/>
          <w:sz w:val="20"/>
          <w:szCs w:val="20"/>
          <w:color w:val="auto"/>
        </w:rPr>
      </w:pPr>
    </w:p>
    <w:p>
      <w:pPr>
        <w:ind w:left="2480" w:hanging="644"/>
        <w:spacing w:after="0"/>
        <w:tabs>
          <w:tab w:leader="none" w:pos="2480" w:val="left"/>
        </w:tabs>
        <w:numPr>
          <w:ilvl w:val="0"/>
          <w:numId w:val="2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Fees and Expenses</w:t>
      </w:r>
      <w:r>
        <w:rPr>
          <w:rFonts w:ascii="Times New Roman" w:cs="Times New Roman" w:eastAsia="Times New Roman" w:hAnsi="Times New Roman"/>
          <w:sz w:val="20"/>
          <w:szCs w:val="20"/>
          <w:color w:val="auto"/>
        </w:rPr>
        <w:t>.</w:t>
      </w:r>
    </w:p>
    <w:p>
      <w:pPr>
        <w:spacing w:after="0" w:line="229" w:lineRule="exact"/>
        <w:rPr>
          <w:sz w:val="20"/>
          <w:szCs w:val="20"/>
          <w:color w:val="auto"/>
        </w:rPr>
      </w:pPr>
    </w:p>
    <w:p>
      <w:pPr>
        <w:jc w:val="both"/>
        <w:ind w:left="1180" w:right="559" w:firstLine="656"/>
        <w:spacing w:after="0" w:line="254" w:lineRule="auto"/>
        <w:tabs>
          <w:tab w:leader="none" w:pos="2112" w:val="left"/>
        </w:tabs>
        <w:numPr>
          <w:ilvl w:val="0"/>
          <w:numId w:val="2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Administrative Agent shall have received all fees required to be paid on the First Amendment Effective Date pursuant to the First Amendment Payments Letter dated the date hereof between the Administrative Agent, Holdings and the Borrower.</w:t>
      </w:r>
    </w:p>
    <w:p>
      <w:pPr>
        <w:spacing w:after="0" w:line="187" w:lineRule="exact"/>
        <w:rPr>
          <w:rFonts w:ascii="Times New Roman" w:cs="Times New Roman" w:eastAsia="Times New Roman" w:hAnsi="Times New Roman"/>
          <w:sz w:val="20"/>
          <w:szCs w:val="20"/>
          <w:color w:val="auto"/>
        </w:rPr>
      </w:pPr>
    </w:p>
    <w:p>
      <w:pPr>
        <w:jc w:val="both"/>
        <w:ind w:left="1180" w:right="559" w:firstLine="656"/>
        <w:spacing w:after="0" w:line="245" w:lineRule="auto"/>
        <w:tabs>
          <w:tab w:leader="none" w:pos="2156" w:val="left"/>
        </w:tabs>
        <w:numPr>
          <w:ilvl w:val="0"/>
          <w:numId w:val="2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Borrower shall have paid all reasonable and documented out-of-pocket fees, charges and disbursements due and payable under the Loan Documents on or prior to the date hereof, including all reasonable and documented out-of-pocket fees, charges and disbursements of Administrative Agent, Milbank LLP, primary counsel to Administrative Agent to the extent invoiced at least one (1) Business Day prior to the First Amendment Effective Date.</w:t>
      </w:r>
    </w:p>
    <w:p>
      <w:pPr>
        <w:spacing w:after="0" w:line="198" w:lineRule="exact"/>
        <w:rPr>
          <w:sz w:val="20"/>
          <w:szCs w:val="20"/>
          <w:color w:val="auto"/>
        </w:rPr>
      </w:pPr>
    </w:p>
    <w:p>
      <w:pPr>
        <w:jc w:val="both"/>
        <w:ind w:left="540" w:right="559" w:firstLine="648"/>
        <w:spacing w:after="0" w:line="246" w:lineRule="auto"/>
        <w:rPr>
          <w:sz w:val="20"/>
          <w:szCs w:val="20"/>
          <w:color w:val="auto"/>
        </w:rPr>
      </w:pPr>
      <w:r>
        <w:rPr>
          <w:rFonts w:ascii="Times New Roman" w:cs="Times New Roman" w:eastAsia="Times New Roman" w:hAnsi="Times New Roman"/>
          <w:sz w:val="20"/>
          <w:szCs w:val="20"/>
          <w:color w:val="auto"/>
        </w:rPr>
        <w:t xml:space="preserve">Section 6. </w:t>
      </w:r>
      <w:r>
        <w:rPr>
          <w:rFonts w:ascii="Times New Roman" w:cs="Times New Roman" w:eastAsia="Times New Roman" w:hAnsi="Times New Roman"/>
          <w:sz w:val="20"/>
          <w:szCs w:val="20"/>
          <w:u w:val="single" w:color="auto"/>
          <w:color w:val="auto"/>
        </w:rPr>
        <w:t>No Novation or Mutual Departure</w:t>
      </w:r>
      <w:r>
        <w:rPr>
          <w:rFonts w:ascii="Times New Roman" w:cs="Times New Roman" w:eastAsia="Times New Roman" w:hAnsi="Times New Roman"/>
          <w:sz w:val="20"/>
          <w:szCs w:val="20"/>
          <w:color w:val="auto"/>
        </w:rPr>
        <w:t>. The Borrower expressly acknowledges and agrees that there has not been, and this Agreement does not constitute or establish, a novation with respect to the Credit Agreement or any other Loan Document, or a mutual departure from the strict terms, provisions, and conditions thereof, other than with respect to the amendments contained in Section 2 hereof and the waiver set forth in Section 3 hereof.</w:t>
      </w:r>
    </w:p>
    <w:p>
      <w:pPr>
        <w:spacing w:after="0" w:line="185" w:lineRule="exact"/>
        <w:rPr>
          <w:sz w:val="20"/>
          <w:szCs w:val="20"/>
          <w:color w:val="auto"/>
        </w:rPr>
      </w:pPr>
    </w:p>
    <w:p>
      <w:pPr>
        <w:jc w:val="both"/>
        <w:ind w:left="540" w:right="559" w:firstLine="648"/>
        <w:spacing w:after="0" w:line="259" w:lineRule="auto"/>
        <w:rPr>
          <w:sz w:val="20"/>
          <w:szCs w:val="20"/>
          <w:color w:val="auto"/>
        </w:rPr>
      </w:pPr>
      <w:r>
        <w:rPr>
          <w:rFonts w:ascii="Times New Roman" w:cs="Times New Roman" w:eastAsia="Times New Roman" w:hAnsi="Times New Roman"/>
          <w:sz w:val="19"/>
          <w:szCs w:val="19"/>
          <w:color w:val="auto"/>
        </w:rPr>
        <w:t xml:space="preserve">Section 7. </w:t>
      </w:r>
      <w:r>
        <w:rPr>
          <w:rFonts w:ascii="Times New Roman" w:cs="Times New Roman" w:eastAsia="Times New Roman" w:hAnsi="Times New Roman"/>
          <w:sz w:val="19"/>
          <w:szCs w:val="19"/>
          <w:u w:val="single" w:color="auto"/>
          <w:color w:val="auto"/>
        </w:rPr>
        <w:t>Covenants</w:t>
      </w:r>
      <w:r>
        <w:rPr>
          <w:rFonts w:ascii="Times New Roman" w:cs="Times New Roman" w:eastAsia="Times New Roman" w:hAnsi="Times New Roman"/>
          <w:sz w:val="19"/>
          <w:szCs w:val="19"/>
          <w:color w:val="auto"/>
        </w:rPr>
        <w:t>. Holdings and the Borrower hereby expressly agree and acknowledge that from and after the First Amendment Effective Date, until the date on which Holdings delivers to the Administrative Agent a Compliance Certificate which shows that it is in compliance with the financial covenant set forth in Section 7.1(a) of the Amended Credit Agreement for the four consecutive quarter period ending on or about December 31, 2026, Holdings and its Subsidiaries shall not be permitted to take any action under the Amended Credit Agreement which requires, or is conditioned on, compliance with, or in reference to, Section 7.1 of the Amended Credit Agreement.</w:t>
      </w:r>
    </w:p>
    <w:p>
      <w:pPr>
        <w:spacing w:after="0" w:line="172" w:lineRule="exact"/>
        <w:rPr>
          <w:sz w:val="20"/>
          <w:szCs w:val="20"/>
          <w:color w:val="auto"/>
        </w:rPr>
      </w:pPr>
    </w:p>
    <w:p>
      <w:pPr>
        <w:jc w:val="both"/>
        <w:ind w:left="540" w:right="559" w:firstLine="648"/>
        <w:spacing w:after="0" w:line="241" w:lineRule="auto"/>
        <w:rPr>
          <w:sz w:val="20"/>
          <w:szCs w:val="20"/>
          <w:color w:val="auto"/>
        </w:rPr>
      </w:pPr>
      <w:r>
        <w:rPr>
          <w:rFonts w:ascii="Times New Roman" w:cs="Times New Roman" w:eastAsia="Times New Roman" w:hAnsi="Times New Roman"/>
          <w:sz w:val="20"/>
          <w:szCs w:val="20"/>
          <w:color w:val="auto"/>
        </w:rPr>
        <w:t xml:space="preserve">Section 8. </w:t>
      </w:r>
      <w:r>
        <w:rPr>
          <w:rFonts w:ascii="Times New Roman" w:cs="Times New Roman" w:eastAsia="Times New Roman" w:hAnsi="Times New Roman"/>
          <w:sz w:val="20"/>
          <w:szCs w:val="20"/>
          <w:u w:val="single" w:color="auto"/>
          <w:color w:val="auto"/>
        </w:rPr>
        <w:t>Confirmation</w:t>
      </w:r>
      <w:r>
        <w:rPr>
          <w:rFonts w:ascii="Times New Roman" w:cs="Times New Roman" w:eastAsia="Times New Roman" w:hAnsi="Times New Roman"/>
          <w:sz w:val="20"/>
          <w:szCs w:val="20"/>
          <w:color w:val="auto"/>
        </w:rPr>
        <w:t>. Each Loan Party (a) confirms its obligations under the Collateral Documents, (b) confirms that its obligations under the Credit Agreement, as modified hereby, are entitled to the benefits of the pledges set forth in the Collateral Documents, (c) confirms that its obligations under the Credit Agreement, as modified hereby, constitute “Obligations” and (d) agrees that the Credit Agreement, as modified hereby, is the “Credit Agreement” under, and for all purposes of, the Collateral Documents. Each party, by its execution of this Agreement, hereby confirms that the Obligations shall remain in full force and effect, and such Obligations shall continue to be entitled to the benefits of the grant set forth in the Collateral Documents. Each Guarantor (x) confirms its guarantee obligations under the Credit Agreement, (y) confirms that its obligations under the Credit Agreement, as modified hereby, are entitled to the benefits of the guarantee set forth in the Credit Agreement, and (z) confirms that its obligations under the Credit Agreement as modified hereby constitute “Guaranteed Obligations”. Each party, by its execution of this Agreement, hereby confirms that the Guaranteed Obligations shall remain in full force and effect.</w:t>
      </w:r>
    </w:p>
    <w:p>
      <w:pPr>
        <w:spacing w:after="0" w:line="200" w:lineRule="exact"/>
        <w:rPr>
          <w:sz w:val="20"/>
          <w:szCs w:val="20"/>
          <w:color w:val="auto"/>
        </w:rPr>
      </w:pPr>
    </w:p>
    <w:p>
      <w:pPr>
        <w:spacing w:after="0" w:line="24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7</w:t>
      </w:r>
    </w:p>
    <w:p>
      <w:pPr>
        <w:spacing w:after="0" w:line="11"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4"/>
          <w:szCs w:val="14"/>
          <w:color w:val="auto"/>
        </w:rPr>
        <w:t>US-DOCS\171161013.8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339725</wp:posOffset>
            </wp:positionH>
            <wp:positionV relativeFrom="paragraph">
              <wp:posOffset>339090</wp:posOffset>
            </wp:positionV>
            <wp:extent cx="5040630" cy="2540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8">
                      <a:extLst>
                        <a:ext uri="{28A0092B-C50C-407E-A947-70E740481C1C}"/>
                      </a:extLst>
                    </a:blip>
                    <a:srcRect/>
                    <a:stretch>
                      <a:fillRect/>
                    </a:stretch>
                  </pic:blipFill>
                  <pic:spPr bwMode="auto">
                    <a:xfrm>
                      <a:off x="0" y="0"/>
                      <a:ext cx="5040630" cy="25400"/>
                    </a:xfrm>
                    <a:prstGeom prst="rect">
                      <a:avLst/>
                    </a:prstGeom>
                    <a:noFill/>
                  </pic:spPr>
                </pic:pic>
              </a:graphicData>
            </a:graphic>
          </wp:anchor>
        </w:drawing>
      </w:r>
    </w:p>
    <w:p>
      <w:pPr>
        <w:sectPr>
          <w:pgSz w:w="11900" w:h="16838" w:orient="portrait"/>
          <w:cols w:equalWidth="0" w:num="1">
            <w:col w:w="9019"/>
          </w:cols>
          <w:pgMar w:left="1440" w:top="900" w:right="1440" w:bottom="1440" w:gutter="0" w:footer="0" w:header="0"/>
        </w:sectPr>
      </w:pPr>
    </w:p>
    <w:bookmarkStart w:id="58" w:name="page59"/>
    <w:bookmarkEnd w:id="58"/>
    <w:p>
      <w:pPr>
        <w:ind w:left="1180"/>
        <w:spacing w:after="0"/>
        <w:rPr>
          <w:sz w:val="20"/>
          <w:szCs w:val="20"/>
          <w:color w:val="auto"/>
        </w:rPr>
      </w:pPr>
      <w:r>
        <w:rPr>
          <w:rFonts w:ascii="Times New Roman" w:cs="Times New Roman" w:eastAsia="Times New Roman" w:hAnsi="Times New Roman"/>
          <w:sz w:val="20"/>
          <w:szCs w:val="20"/>
          <w:color w:val="auto"/>
        </w:rPr>
        <w:t xml:space="preserve">Section 9. </w:t>
      </w:r>
      <w:r>
        <w:rPr>
          <w:rFonts w:ascii="Times New Roman" w:cs="Times New Roman" w:eastAsia="Times New Roman" w:hAnsi="Times New Roman"/>
          <w:sz w:val="20"/>
          <w:szCs w:val="20"/>
          <w:u w:val="single" w:color="auto"/>
          <w:color w:val="auto"/>
        </w:rPr>
        <w:t>Miscellaneous</w:t>
      </w:r>
      <w:r>
        <w:rPr>
          <w:rFonts w:ascii="Times New Roman" w:cs="Times New Roman" w:eastAsia="Times New Roman" w:hAnsi="Times New Roman"/>
          <w:sz w:val="20"/>
          <w:szCs w:val="20"/>
          <w:color w:val="auto"/>
        </w:rPr>
        <w:t>.</w:t>
      </w:r>
    </w:p>
    <w:p>
      <w:pPr>
        <w:spacing w:after="0" w:line="216" w:lineRule="exact"/>
        <w:rPr>
          <w:sz w:val="20"/>
          <w:szCs w:val="20"/>
          <w:color w:val="auto"/>
        </w:rPr>
      </w:pPr>
    </w:p>
    <w:p>
      <w:pPr>
        <w:jc w:val="both"/>
        <w:ind w:left="540" w:right="559" w:firstLine="1296"/>
        <w:spacing w:after="0"/>
        <w:tabs>
          <w:tab w:leader="none" w:pos="2484" w:val="left"/>
        </w:tabs>
        <w:numPr>
          <w:ilvl w:val="0"/>
          <w:numId w:val="2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This Agreement shall be limited as written and nothing herein shall be deemed to constitute a consent, amendment or waiver of any other term, provision or condition of any of the Loan Documents in any other instance than as expressly set forth herein or prejudice any right or remedy that any party hereto may now have or may in the future have under any of the Loan Documents. Except as herein provided, the Credit Agreement shall remain unchanged and in full force and effect. This Agreement, the Amended Credit Agreement and the other Loan Documents constitute the entire agreement among the parties with respect to the subject matter hereof and thereof and supersede all other prior agreements and understandings, both written and verbal, among the parties or any of them with respect to the subject matter hereof. This Agreement may be executed in any number of counterparts, each of which when so executed and delivered shall be deemed an original, but all such counterparts together shall constitute but one and the same amendatory instrument and any of the parties hereto may execute this Agreement by signing any such counterpart. Delivery of an executed counterpart of a signature page of this Agreement by facsimile or in electronic format (i.e., “pdf” or “tif”) shall be effective as delivery of a manually executed counterpart of this Agreement. The words “execution,” “signed,” “signature,” and words of like import in this Agreement or any other Loan Document, or in any amendment or other modification hereof or thereof (including waivers and consents), shall be deemed to include electronic signatures or the keeping of records in electronic form, each of which shall be of the same legal effect, validity or enforceability as a manually executed signature or the use of a paper-based recordkeeping system, as the case may be, to the extent and as provided for in any applicable law, including the Federal Electronic Signatures in Global and National Commerce Act, the New York State Electronic Signatures and Records Act, or any other similar state laws based on the Uniform Electronic Transactions Act, and the delivery.</w:t>
      </w:r>
    </w:p>
    <w:p>
      <w:pPr>
        <w:spacing w:after="0" w:line="218" w:lineRule="exact"/>
        <w:rPr>
          <w:rFonts w:ascii="Times New Roman" w:cs="Times New Roman" w:eastAsia="Times New Roman" w:hAnsi="Times New Roman"/>
          <w:sz w:val="20"/>
          <w:szCs w:val="20"/>
          <w:color w:val="auto"/>
        </w:rPr>
      </w:pPr>
    </w:p>
    <w:p>
      <w:pPr>
        <w:jc w:val="both"/>
        <w:ind w:left="540" w:right="559" w:firstLine="1296"/>
        <w:spacing w:after="0" w:line="243" w:lineRule="auto"/>
        <w:tabs>
          <w:tab w:leader="none" w:pos="2484" w:val="left"/>
        </w:tabs>
        <w:numPr>
          <w:ilvl w:val="0"/>
          <w:numId w:val="2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THIS AGREEMENT AND THE RIGHTS AND OBLIGATIONS OF THE PARTIES HEREUNDER (INCLUDING ANY CLAIMS SOUNDING IN CONTRACT LAW OR TORT LAW ARISING OUT OF THE SUBJECT MATTER HEREOF AND ANY DETERMINATIONS WITH RESPECT TO POST-JUDGMENT INTEREST) SHALL BE GOVERNED BY, AND SHALL BE CONSTRUED AND ENFORCED IN ACCORDANCE WITH, THE LAWS OF THE STATE OF NEW YORK WITHOUT REGARD TO CONFLICT OF LAWS PRINCIPLES THEREOF THAT WOULD RESULT IN THE APPLICATION OF ANY LAW OTHER THAN THE LAW OF THE STATE OF NEW YORK.</w:t>
      </w:r>
    </w:p>
    <w:p>
      <w:pPr>
        <w:spacing w:after="0" w:line="202" w:lineRule="exact"/>
        <w:rPr>
          <w:rFonts w:ascii="Times New Roman" w:cs="Times New Roman" w:eastAsia="Times New Roman" w:hAnsi="Times New Roman"/>
          <w:sz w:val="20"/>
          <w:szCs w:val="20"/>
          <w:color w:val="auto"/>
        </w:rPr>
      </w:pPr>
    </w:p>
    <w:p>
      <w:pPr>
        <w:jc w:val="both"/>
        <w:ind w:left="540" w:right="559" w:firstLine="1296"/>
        <w:spacing w:after="0" w:line="249" w:lineRule="auto"/>
        <w:tabs>
          <w:tab w:leader="none" w:pos="2484" w:val="left"/>
        </w:tabs>
        <w:numPr>
          <w:ilvl w:val="0"/>
          <w:numId w:val="2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Each of the undersigned Lenders, by its execution hereof, authorizes and directs the Administrative Agent to execute and deliver this Agreement upon the satisfaction (or waiver) of the conditions precedent described above (which shall be conclusively evidenced by such Lender’s execution hereof).</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[Signature pages follow]</w:t>
      </w:r>
    </w:p>
    <w:p>
      <w:pPr>
        <w:spacing w:after="0" w:line="25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8</w:t>
      </w:r>
    </w:p>
    <w:p>
      <w:pPr>
        <w:spacing w:after="0" w:line="11"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4"/>
          <w:szCs w:val="14"/>
          <w:color w:val="auto"/>
        </w:rPr>
        <w:t>US-DOCS\171161013.8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339725</wp:posOffset>
            </wp:positionH>
            <wp:positionV relativeFrom="paragraph">
              <wp:posOffset>339090</wp:posOffset>
            </wp:positionV>
            <wp:extent cx="5040630" cy="2540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9">
                      <a:extLst>
                        <a:ext uri="{28A0092B-C50C-407E-A947-70E740481C1C}"/>
                      </a:extLst>
                    </a:blip>
                    <a:srcRect/>
                    <a:stretch>
                      <a:fillRect/>
                    </a:stretch>
                  </pic:blipFill>
                  <pic:spPr bwMode="auto">
                    <a:xfrm>
                      <a:off x="0" y="0"/>
                      <a:ext cx="5040630" cy="25400"/>
                    </a:xfrm>
                    <a:prstGeom prst="rect">
                      <a:avLst/>
                    </a:prstGeom>
                    <a:noFill/>
                  </pic:spPr>
                </pic:pic>
              </a:graphicData>
            </a:graphic>
          </wp:anchor>
        </w:drawing>
      </w:r>
    </w:p>
    <w:p>
      <w:pPr>
        <w:sectPr>
          <w:pgSz w:w="11900" w:h="16838" w:orient="portrait"/>
          <w:cols w:equalWidth="0" w:num="1">
            <w:col w:w="9019"/>
          </w:cols>
          <w:pgMar w:left="1440" w:top="900" w:right="1440" w:bottom="1440" w:gutter="0" w:footer="0" w:header="0"/>
        </w:sectPr>
      </w:pPr>
    </w:p>
    <w:bookmarkStart w:id="59" w:name="page60"/>
    <w:bookmarkEnd w:id="59"/>
    <w:p>
      <w:pPr>
        <w:jc w:val="both"/>
        <w:ind w:left="540" w:right="559" w:firstLine="648"/>
        <w:spacing w:after="0" w:line="254" w:lineRule="auto"/>
        <w:rPr>
          <w:sz w:val="20"/>
          <w:szCs w:val="20"/>
          <w:color w:val="auto"/>
        </w:rPr>
      </w:pPr>
      <w:r>
        <w:rPr>
          <w:rFonts w:ascii="Times New Roman" w:cs="Times New Roman" w:eastAsia="Times New Roman" w:hAnsi="Times New Roman"/>
          <w:sz w:val="20"/>
          <w:szCs w:val="20"/>
          <w:color w:val="auto"/>
        </w:rPr>
        <w:t>IN WITNESS WHEREOF, the parties hereto have caused this Agreement to be duly executed and delivered by their respective officers thereunto duly authorized as of the date first written above.</w:t>
      </w:r>
    </w:p>
    <w:p>
      <w:pPr>
        <w:spacing w:after="0" w:line="170" w:lineRule="exact"/>
        <w:rPr>
          <w:sz w:val="20"/>
          <w:szCs w:val="20"/>
          <w:color w:val="auto"/>
        </w:rPr>
      </w:pPr>
    </w:p>
    <w:p>
      <w:pPr>
        <w:ind w:left="3940"/>
        <w:spacing w:after="0"/>
        <w:rPr>
          <w:sz w:val="20"/>
          <w:szCs w:val="20"/>
          <w:color w:val="auto"/>
        </w:rPr>
      </w:pPr>
      <w:r>
        <w:rPr>
          <w:rFonts w:ascii="Times New Roman" w:cs="Times New Roman" w:eastAsia="Times New Roman" w:hAnsi="Times New Roman"/>
          <w:sz w:val="20"/>
          <w:szCs w:val="20"/>
          <w:b w:val="1"/>
          <w:bCs w:val="1"/>
          <w:u w:val="single" w:color="auto"/>
          <w:color w:val="auto"/>
        </w:rPr>
        <w:t>BORROWER</w:t>
      </w:r>
    </w:p>
    <w:p>
      <w:pPr>
        <w:spacing w:after="0" w:line="229" w:lineRule="exact"/>
        <w:rPr>
          <w:sz w:val="20"/>
          <w:szCs w:val="20"/>
          <w:color w:val="auto"/>
        </w:rPr>
      </w:pPr>
    </w:p>
    <w:p>
      <w:pPr>
        <w:ind w:left="3940"/>
        <w:spacing w:after="0"/>
        <w:rPr>
          <w:sz w:val="20"/>
          <w:szCs w:val="20"/>
          <w:color w:val="auto"/>
        </w:rPr>
      </w:pPr>
      <w:r>
        <w:rPr>
          <w:rFonts w:ascii="Times New Roman" w:cs="Times New Roman" w:eastAsia="Times New Roman" w:hAnsi="Times New Roman"/>
          <w:sz w:val="20"/>
          <w:szCs w:val="20"/>
          <w:b w:val="1"/>
          <w:bCs w:val="1"/>
          <w:color w:val="auto"/>
        </w:rPr>
        <w:t>Ribbon Communications Operating Company, Inc.</w:t>
      </w:r>
    </w:p>
    <w:p>
      <w:pPr>
        <w:spacing w:after="0" w:line="200" w:lineRule="exact"/>
        <w:rPr>
          <w:sz w:val="20"/>
          <w:szCs w:val="20"/>
          <w:color w:val="auto"/>
        </w:rPr>
      </w:pPr>
    </w:p>
    <w:p>
      <w:pPr>
        <w:spacing w:after="0" w:line="244" w:lineRule="exact"/>
        <w:rPr>
          <w:sz w:val="20"/>
          <w:szCs w:val="20"/>
          <w:color w:val="auto"/>
        </w:rPr>
      </w:pPr>
    </w:p>
    <w:tbl>
      <w:tblPr>
        <w:tblLayout w:type="fixed"/>
        <w:tblInd w:w="3940" w:type="dxa"/>
        <w:tblCellMar>
          <w:top w:w="0" w:type="dxa"/>
          <w:left w:w="0" w:type="dxa"/>
          <w:bottom w:w="0" w:type="dxa"/>
          <w:right w:w="0" w:type="dxa"/>
        </w:tblCellMar>
      </w:tblPr>
      <w:tr>
        <w:trPr>
          <w:trHeight w:val="230"/>
        </w:trPr>
        <w:tc>
          <w:tcPr>
            <w:tcW w:w="460" w:type="dxa"/>
            <w:vAlign w:val="bottom"/>
          </w:tcPr>
          <w:p>
            <w:pPr>
              <w:spacing w:after="0"/>
              <w:rPr>
                <w:sz w:val="20"/>
                <w:szCs w:val="20"/>
                <w:color w:val="auto"/>
              </w:rPr>
            </w:pPr>
            <w:r>
              <w:rPr>
                <w:rFonts w:ascii="Times New Roman" w:cs="Times New Roman" w:eastAsia="Times New Roman" w:hAnsi="Times New Roman"/>
                <w:sz w:val="20"/>
                <w:szCs w:val="20"/>
                <w:color w:val="auto"/>
              </w:rPr>
              <w:t>By:</w:t>
            </w:r>
          </w:p>
        </w:tc>
        <w:tc>
          <w:tcPr>
            <w:tcW w:w="3680" w:type="dxa"/>
            <w:vAlign w:val="bottom"/>
            <w:gridSpan w:val="4"/>
          </w:tcPr>
          <w:p>
            <w:pPr>
              <w:ind w:left="180"/>
              <w:spacing w:after="0"/>
              <w:rPr>
                <w:sz w:val="20"/>
                <w:szCs w:val="20"/>
                <w:color w:val="auto"/>
              </w:rPr>
            </w:pPr>
            <w:r>
              <w:rPr>
                <w:rFonts w:ascii="Times New Roman" w:cs="Times New Roman" w:eastAsia="Times New Roman" w:hAnsi="Times New Roman"/>
                <w:sz w:val="20"/>
                <w:szCs w:val="20"/>
                <w:color w:val="auto"/>
              </w:rPr>
              <w:t>/s/ Patrick Macken</w:t>
            </w:r>
          </w:p>
        </w:tc>
      </w:tr>
      <w:tr>
        <w:trPr>
          <w:trHeight w:val="210"/>
        </w:trPr>
        <w:tc>
          <w:tcPr>
            <w:tcW w:w="460" w:type="dxa"/>
            <w:vAlign w:val="bottom"/>
            <w:tcBorders>
              <w:bottom w:val="single" w:sz="8" w:color="auto"/>
            </w:tcBorders>
          </w:tcPr>
          <w:p>
            <w:pPr>
              <w:spacing w:after="0" w:line="209" w:lineRule="exact"/>
              <w:rPr>
                <w:sz w:val="20"/>
                <w:szCs w:val="20"/>
                <w:color w:val="auto"/>
              </w:rPr>
            </w:pPr>
            <w:r>
              <w:rPr>
                <w:rFonts w:ascii="Times New Roman" w:cs="Times New Roman" w:eastAsia="Times New Roman" w:hAnsi="Times New Roman"/>
                <w:sz w:val="20"/>
                <w:szCs w:val="20"/>
                <w:color w:val="auto"/>
              </w:rPr>
              <w:t>​</w:t>
            </w:r>
          </w:p>
        </w:tc>
        <w:tc>
          <w:tcPr>
            <w:tcW w:w="180" w:type="dxa"/>
            <w:vAlign w:val="bottom"/>
            <w:tcBorders>
              <w:bottom w:val="single" w:sz="8" w:color="auto"/>
            </w:tcBorders>
          </w:tcPr>
          <w:p>
            <w:pPr>
              <w:spacing w:after="0"/>
              <w:rPr>
                <w:sz w:val="18"/>
                <w:szCs w:val="18"/>
                <w:color w:val="auto"/>
              </w:rPr>
            </w:pPr>
          </w:p>
        </w:tc>
        <w:tc>
          <w:tcPr>
            <w:tcW w:w="1500" w:type="dxa"/>
            <w:vAlign w:val="bottom"/>
            <w:tcBorders>
              <w:top w:val="single" w:sz="8" w:color="auto"/>
              <w:bottom w:val="single" w:sz="8" w:color="auto"/>
            </w:tcBorders>
          </w:tcPr>
          <w:p>
            <w:pPr>
              <w:spacing w:after="0"/>
              <w:rPr>
                <w:sz w:val="18"/>
                <w:szCs w:val="18"/>
                <w:color w:val="auto"/>
              </w:rPr>
            </w:pPr>
          </w:p>
        </w:tc>
        <w:tc>
          <w:tcPr>
            <w:tcW w:w="740" w:type="dxa"/>
            <w:vAlign w:val="bottom"/>
            <w:tcBorders>
              <w:bottom w:val="single" w:sz="8" w:color="auto"/>
            </w:tcBorders>
          </w:tcPr>
          <w:p>
            <w:pPr>
              <w:spacing w:after="0"/>
              <w:rPr>
                <w:sz w:val="18"/>
                <w:szCs w:val="18"/>
                <w:color w:val="auto"/>
              </w:rPr>
            </w:pPr>
          </w:p>
        </w:tc>
        <w:tc>
          <w:tcPr>
            <w:tcW w:w="1260" w:type="dxa"/>
            <w:vAlign w:val="bottom"/>
          </w:tcPr>
          <w:p>
            <w:pPr>
              <w:spacing w:after="0"/>
              <w:rPr>
                <w:sz w:val="18"/>
                <w:szCs w:val="18"/>
                <w:color w:val="auto"/>
              </w:rPr>
            </w:pPr>
          </w:p>
        </w:tc>
      </w:tr>
      <w:tr>
        <w:trPr>
          <w:trHeight w:val="227"/>
        </w:trPr>
        <w:tc>
          <w:tcPr>
            <w:tcW w:w="4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500" w:type="dxa"/>
            <w:vAlign w:val="bottom"/>
            <w:gridSpan w:val="3"/>
          </w:tcPr>
          <w:p>
            <w:pPr>
              <w:ind w:left="20"/>
              <w:spacing w:after="0" w:line="228" w:lineRule="exact"/>
              <w:rPr>
                <w:sz w:val="20"/>
                <w:szCs w:val="20"/>
                <w:color w:val="auto"/>
              </w:rPr>
            </w:pPr>
            <w:r>
              <w:rPr>
                <w:rFonts w:ascii="Times New Roman" w:cs="Times New Roman" w:eastAsia="Times New Roman" w:hAnsi="Times New Roman"/>
                <w:sz w:val="20"/>
                <w:szCs w:val="20"/>
                <w:color w:val="auto"/>
              </w:rPr>
              <w:t>Name: Patrick Macken</w:t>
            </w:r>
          </w:p>
        </w:tc>
      </w:tr>
      <w:tr>
        <w:trPr>
          <w:trHeight w:val="258"/>
        </w:trPr>
        <w:tc>
          <w:tcPr>
            <w:tcW w:w="4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3500" w:type="dxa"/>
            <w:vAlign w:val="bottom"/>
            <w:gridSpan w:val="3"/>
          </w:tcPr>
          <w:p>
            <w:pPr>
              <w:ind w:left="20"/>
              <w:spacing w:after="0"/>
              <w:rPr>
                <w:sz w:val="20"/>
                <w:szCs w:val="20"/>
                <w:color w:val="auto"/>
              </w:rPr>
            </w:pPr>
            <w:r>
              <w:rPr>
                <w:rFonts w:ascii="Times New Roman" w:cs="Times New Roman" w:eastAsia="Times New Roman" w:hAnsi="Times New Roman"/>
                <w:sz w:val="20"/>
                <w:szCs w:val="20"/>
                <w:color w:val="auto"/>
                <w:w w:val="97"/>
              </w:rPr>
              <w:t>Title: President and Chief Executive Officer</w:t>
            </w:r>
          </w:p>
        </w:tc>
      </w:tr>
    </w:tbl>
    <w:p>
      <w:pPr>
        <w:spacing w:after="0" w:line="200" w:lineRule="exact"/>
        <w:rPr>
          <w:sz w:val="20"/>
          <w:szCs w:val="20"/>
          <w:color w:val="auto"/>
        </w:rPr>
      </w:pPr>
    </w:p>
    <w:p>
      <w:pPr>
        <w:spacing w:after="0" w:line="226" w:lineRule="exact"/>
        <w:rPr>
          <w:sz w:val="20"/>
          <w:szCs w:val="20"/>
          <w:color w:val="auto"/>
        </w:rPr>
      </w:pPr>
    </w:p>
    <w:p>
      <w:pPr>
        <w:ind w:left="3940"/>
        <w:spacing w:after="0"/>
        <w:rPr>
          <w:sz w:val="20"/>
          <w:szCs w:val="20"/>
          <w:color w:val="auto"/>
        </w:rPr>
      </w:pPr>
      <w:r>
        <w:rPr>
          <w:rFonts w:ascii="Times New Roman" w:cs="Times New Roman" w:eastAsia="Times New Roman" w:hAnsi="Times New Roman"/>
          <w:sz w:val="20"/>
          <w:szCs w:val="20"/>
          <w:b w:val="1"/>
          <w:bCs w:val="1"/>
          <w:u w:val="single" w:color="auto"/>
          <w:color w:val="auto"/>
        </w:rPr>
        <w:t>HOLDINGS</w:t>
      </w:r>
    </w:p>
    <w:p>
      <w:pPr>
        <w:spacing w:after="0" w:line="229" w:lineRule="exact"/>
        <w:rPr>
          <w:sz w:val="20"/>
          <w:szCs w:val="20"/>
          <w:color w:val="auto"/>
        </w:rPr>
      </w:pPr>
    </w:p>
    <w:p>
      <w:pPr>
        <w:ind w:left="3940"/>
        <w:spacing w:after="0"/>
        <w:rPr>
          <w:sz w:val="20"/>
          <w:szCs w:val="20"/>
          <w:color w:val="auto"/>
        </w:rPr>
      </w:pPr>
      <w:r>
        <w:rPr>
          <w:rFonts w:ascii="Times New Roman" w:cs="Times New Roman" w:eastAsia="Times New Roman" w:hAnsi="Times New Roman"/>
          <w:sz w:val="20"/>
          <w:szCs w:val="20"/>
          <w:b w:val="1"/>
          <w:bCs w:val="1"/>
          <w:color w:val="auto"/>
        </w:rPr>
        <w:t>Ribbon Communications Inc.</w:t>
      </w:r>
    </w:p>
    <w:p>
      <w:pPr>
        <w:spacing w:after="0" w:line="215" w:lineRule="exact"/>
        <w:rPr>
          <w:sz w:val="20"/>
          <w:szCs w:val="20"/>
          <w:color w:val="auto"/>
        </w:rPr>
      </w:pPr>
    </w:p>
    <w:tbl>
      <w:tblPr>
        <w:tblLayout w:type="fixed"/>
        <w:tblInd w:w="3940" w:type="dxa"/>
        <w:tblCellMar>
          <w:top w:w="0" w:type="dxa"/>
          <w:left w:w="0" w:type="dxa"/>
          <w:bottom w:w="0" w:type="dxa"/>
          <w:right w:w="0" w:type="dxa"/>
        </w:tblCellMar>
      </w:tblPr>
      <w:tr>
        <w:trPr>
          <w:trHeight w:val="230"/>
        </w:trPr>
        <w:tc>
          <w:tcPr>
            <w:tcW w:w="460" w:type="dxa"/>
            <w:vAlign w:val="bottom"/>
          </w:tcPr>
          <w:p>
            <w:pPr>
              <w:spacing w:after="0"/>
              <w:rPr>
                <w:sz w:val="20"/>
                <w:szCs w:val="20"/>
                <w:color w:val="auto"/>
              </w:rPr>
            </w:pPr>
            <w:r>
              <w:rPr>
                <w:rFonts w:ascii="Times New Roman" w:cs="Times New Roman" w:eastAsia="Times New Roman" w:hAnsi="Times New Roman"/>
                <w:sz w:val="20"/>
                <w:szCs w:val="20"/>
                <w:color w:val="auto"/>
              </w:rPr>
              <w:t>By:</w:t>
            </w:r>
          </w:p>
        </w:tc>
        <w:tc>
          <w:tcPr>
            <w:tcW w:w="2420" w:type="dxa"/>
            <w:vAlign w:val="bottom"/>
            <w:gridSpan w:val="3"/>
          </w:tcPr>
          <w:p>
            <w:pPr>
              <w:ind w:left="180"/>
              <w:spacing w:after="0"/>
              <w:rPr>
                <w:sz w:val="20"/>
                <w:szCs w:val="20"/>
                <w:color w:val="auto"/>
              </w:rPr>
            </w:pPr>
            <w:r>
              <w:rPr>
                <w:rFonts w:ascii="Times New Roman" w:cs="Times New Roman" w:eastAsia="Times New Roman" w:hAnsi="Times New Roman"/>
                <w:sz w:val="20"/>
                <w:szCs w:val="20"/>
                <w:color w:val="auto"/>
              </w:rPr>
              <w:t>/s/ Patrick Macken</w:t>
            </w:r>
          </w:p>
        </w:tc>
      </w:tr>
      <w:tr>
        <w:trPr>
          <w:trHeight w:val="210"/>
        </w:trPr>
        <w:tc>
          <w:tcPr>
            <w:tcW w:w="460" w:type="dxa"/>
            <w:vAlign w:val="bottom"/>
            <w:tcBorders>
              <w:bottom w:val="single" w:sz="8" w:color="auto"/>
            </w:tcBorders>
          </w:tcPr>
          <w:p>
            <w:pPr>
              <w:spacing w:after="0" w:line="209" w:lineRule="exact"/>
              <w:rPr>
                <w:sz w:val="20"/>
                <w:szCs w:val="20"/>
                <w:color w:val="auto"/>
              </w:rPr>
            </w:pPr>
            <w:r>
              <w:rPr>
                <w:rFonts w:ascii="Times New Roman" w:cs="Times New Roman" w:eastAsia="Times New Roman" w:hAnsi="Times New Roman"/>
                <w:sz w:val="20"/>
                <w:szCs w:val="20"/>
                <w:color w:val="auto"/>
              </w:rPr>
              <w:t>​</w:t>
            </w:r>
          </w:p>
        </w:tc>
        <w:tc>
          <w:tcPr>
            <w:tcW w:w="180" w:type="dxa"/>
            <w:vAlign w:val="bottom"/>
            <w:tcBorders>
              <w:bottom w:val="single" w:sz="8" w:color="auto"/>
            </w:tcBorders>
          </w:tcPr>
          <w:p>
            <w:pPr>
              <w:spacing w:after="0"/>
              <w:rPr>
                <w:sz w:val="18"/>
                <w:szCs w:val="18"/>
                <w:color w:val="auto"/>
              </w:rPr>
            </w:pPr>
          </w:p>
        </w:tc>
        <w:tc>
          <w:tcPr>
            <w:tcW w:w="1500" w:type="dxa"/>
            <w:vAlign w:val="bottom"/>
            <w:tcBorders>
              <w:top w:val="single" w:sz="8" w:color="auto"/>
              <w:bottom w:val="single" w:sz="8" w:color="auto"/>
            </w:tcBorders>
          </w:tcPr>
          <w:p>
            <w:pPr>
              <w:spacing w:after="0"/>
              <w:rPr>
                <w:sz w:val="18"/>
                <w:szCs w:val="18"/>
                <w:color w:val="auto"/>
              </w:rPr>
            </w:pPr>
          </w:p>
        </w:tc>
        <w:tc>
          <w:tcPr>
            <w:tcW w:w="740" w:type="dxa"/>
            <w:vAlign w:val="bottom"/>
            <w:tcBorders>
              <w:bottom w:val="single" w:sz="8" w:color="auto"/>
            </w:tcBorders>
          </w:tcPr>
          <w:p>
            <w:pPr>
              <w:spacing w:after="0"/>
              <w:rPr>
                <w:sz w:val="18"/>
                <w:szCs w:val="18"/>
                <w:color w:val="auto"/>
              </w:rPr>
            </w:pPr>
          </w:p>
        </w:tc>
      </w:tr>
      <w:tr>
        <w:trPr>
          <w:trHeight w:val="227"/>
        </w:trPr>
        <w:tc>
          <w:tcPr>
            <w:tcW w:w="4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240" w:type="dxa"/>
            <w:vAlign w:val="bottom"/>
            <w:gridSpan w:val="2"/>
          </w:tcPr>
          <w:p>
            <w:pPr>
              <w:ind w:left="20"/>
              <w:spacing w:after="0" w:line="228" w:lineRule="exact"/>
              <w:rPr>
                <w:sz w:val="20"/>
                <w:szCs w:val="20"/>
                <w:color w:val="auto"/>
              </w:rPr>
            </w:pPr>
            <w:r>
              <w:rPr>
                <w:rFonts w:ascii="Times New Roman" w:cs="Times New Roman" w:eastAsia="Times New Roman" w:hAnsi="Times New Roman"/>
                <w:sz w:val="20"/>
                <w:szCs w:val="20"/>
                <w:color w:val="auto"/>
              </w:rPr>
              <w:t>Name: Patrick Macken</w:t>
            </w:r>
          </w:p>
        </w:tc>
      </w:tr>
      <w:tr>
        <w:trPr>
          <w:trHeight w:val="258"/>
        </w:trPr>
        <w:tc>
          <w:tcPr>
            <w:tcW w:w="4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2240" w:type="dxa"/>
            <w:vAlign w:val="bottom"/>
            <w:gridSpan w:val="2"/>
          </w:tcPr>
          <w:p>
            <w:pPr>
              <w:ind w:left="20"/>
              <w:spacing w:after="0"/>
              <w:rPr>
                <w:sz w:val="20"/>
                <w:szCs w:val="20"/>
                <w:color w:val="auto"/>
              </w:rPr>
            </w:pPr>
            <w:r>
              <w:rPr>
                <w:rFonts w:ascii="Times New Roman" w:cs="Times New Roman" w:eastAsia="Times New Roman" w:hAnsi="Times New Roman"/>
                <w:sz w:val="20"/>
                <w:szCs w:val="20"/>
                <w:color w:val="auto"/>
              </w:rPr>
              <w:t>Title: Chief Legal Officer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4"/>
          <w:szCs w:val="14"/>
          <w:color w:val="auto"/>
        </w:rPr>
        <w:t>US-DOCS\171161013.8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339725</wp:posOffset>
            </wp:positionH>
            <wp:positionV relativeFrom="paragraph">
              <wp:posOffset>349250</wp:posOffset>
            </wp:positionV>
            <wp:extent cx="5040630" cy="2540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80">
                      <a:extLst>
                        <a:ext uri="{28A0092B-C50C-407E-A947-70E740481C1C}"/>
                      </a:extLst>
                    </a:blip>
                    <a:srcRect/>
                    <a:stretch>
                      <a:fillRect/>
                    </a:stretch>
                  </pic:blipFill>
                  <pic:spPr bwMode="auto">
                    <a:xfrm>
                      <a:off x="0" y="0"/>
                      <a:ext cx="5040630" cy="25400"/>
                    </a:xfrm>
                    <a:prstGeom prst="rect">
                      <a:avLst/>
                    </a:prstGeom>
                    <a:noFill/>
                  </pic:spPr>
                </pic:pic>
              </a:graphicData>
            </a:graphic>
          </wp:anchor>
        </w:drawing>
      </w:r>
    </w:p>
    <w:p>
      <w:pPr>
        <w:sectPr>
          <w:pgSz w:w="11900" w:h="16838" w:orient="portrait"/>
          <w:cols w:equalWidth="0" w:num="1">
            <w:col w:w="9019"/>
          </w:cols>
          <w:pgMar w:left="1440" w:top="900" w:right="1440" w:bottom="1440" w:gutter="0" w:footer="0" w:header="0"/>
        </w:sectPr>
      </w:pPr>
    </w:p>
    <w:bookmarkStart w:id="60" w:name="page61"/>
    <w:bookmarkEnd w:id="60"/>
    <w:p>
      <w:pPr>
        <w:ind w:left="4420"/>
        <w:spacing w:after="0"/>
        <w:rPr>
          <w:sz w:val="20"/>
          <w:szCs w:val="20"/>
          <w:color w:val="auto"/>
        </w:rPr>
      </w:pPr>
      <w:r>
        <w:rPr>
          <w:rFonts w:ascii="Times New Roman" w:cs="Times New Roman" w:eastAsia="Times New Roman" w:hAnsi="Times New Roman"/>
          <w:sz w:val="20"/>
          <w:szCs w:val="20"/>
          <w:b w:val="1"/>
          <w:bCs w:val="1"/>
          <w:u w:val="single" w:color="auto"/>
          <w:color w:val="auto"/>
        </w:rPr>
        <w:t>ADMINISTRATIVE AGENT</w:t>
      </w:r>
    </w:p>
    <w:p>
      <w:pPr>
        <w:spacing w:after="0" w:line="229"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20"/>
          <w:szCs w:val="20"/>
          <w:b w:val="1"/>
          <w:bCs w:val="1"/>
          <w:color w:val="auto"/>
        </w:rPr>
        <w:t>HPS INVESTMENT PARTNERS, LLC</w:t>
      </w:r>
      <w:r>
        <w:rPr>
          <w:rFonts w:ascii="Times New Roman" w:cs="Times New Roman" w:eastAsia="Times New Roman" w:hAnsi="Times New Roman"/>
          <w:sz w:val="20"/>
          <w:szCs w:val="20"/>
          <w:color w:val="auto"/>
        </w:rPr>
        <w:t>,</w:t>
      </w:r>
    </w:p>
    <w:p>
      <w:pPr>
        <w:spacing w:after="0" w:line="26"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20"/>
          <w:szCs w:val="20"/>
          <w:color w:val="auto"/>
        </w:rPr>
        <w:t>as Administrative Agent</w:t>
      </w:r>
    </w:p>
    <w:p>
      <w:pPr>
        <w:spacing w:after="0" w:line="200" w:lineRule="exact"/>
        <w:rPr>
          <w:sz w:val="20"/>
          <w:szCs w:val="20"/>
          <w:color w:val="auto"/>
        </w:rPr>
      </w:pPr>
    </w:p>
    <w:p>
      <w:pPr>
        <w:spacing w:after="0" w:line="218" w:lineRule="exact"/>
        <w:rPr>
          <w:sz w:val="20"/>
          <w:szCs w:val="20"/>
          <w:color w:val="auto"/>
        </w:rPr>
      </w:pPr>
    </w:p>
    <w:tbl>
      <w:tblPr>
        <w:tblLayout w:type="fixed"/>
        <w:tblInd w:w="4420" w:type="dxa"/>
        <w:tblCellMar>
          <w:top w:w="0" w:type="dxa"/>
          <w:left w:w="0" w:type="dxa"/>
          <w:bottom w:w="0" w:type="dxa"/>
          <w:right w:w="0" w:type="dxa"/>
        </w:tblCellMar>
      </w:tblPr>
      <w:tr>
        <w:trPr>
          <w:trHeight w:val="230"/>
        </w:trPr>
        <w:tc>
          <w:tcPr>
            <w:tcW w:w="2600" w:type="dxa"/>
            <w:vAlign w:val="bottom"/>
            <w:gridSpan w:val="4"/>
          </w:tcPr>
          <w:p>
            <w:pPr>
              <w:spacing w:after="0"/>
              <w:rPr>
                <w:sz w:val="20"/>
                <w:szCs w:val="20"/>
                <w:color w:val="auto"/>
              </w:rPr>
            </w:pPr>
            <w:r>
              <w:rPr>
                <w:rFonts w:ascii="Times New Roman" w:cs="Times New Roman" w:eastAsia="Times New Roman" w:hAnsi="Times New Roman"/>
                <w:sz w:val="20"/>
                <w:szCs w:val="20"/>
                <w:color w:val="auto"/>
              </w:rPr>
              <w:t>By: /s/ Daniel Zevnik   ​</w:t>
            </w:r>
          </w:p>
        </w:tc>
        <w:tc>
          <w:tcPr>
            <w:tcW w:w="640" w:type="dxa"/>
            <w:vAlign w:val="bottom"/>
          </w:tcPr>
          <w:p>
            <w:pPr>
              <w:spacing w:after="0"/>
              <w:rPr>
                <w:sz w:val="20"/>
                <w:szCs w:val="20"/>
                <w:color w:val="auto"/>
              </w:rPr>
            </w:pPr>
            <w:r>
              <w:rPr>
                <w:rFonts w:ascii="Times New Roman" w:cs="Times New Roman" w:eastAsia="Times New Roman" w:hAnsi="Times New Roman"/>
                <w:sz w:val="20"/>
                <w:szCs w:val="20"/>
                <w:color w:val="auto"/>
              </w:rPr>
              <w:t>​</w:t>
            </w:r>
          </w:p>
        </w:tc>
        <w:tc>
          <w:tcPr>
            <w:tcW w:w="640" w:type="dxa"/>
            <w:vAlign w:val="bottom"/>
          </w:tcPr>
          <w:p>
            <w:pPr>
              <w:spacing w:after="0"/>
              <w:rPr>
                <w:sz w:val="20"/>
                <w:szCs w:val="20"/>
                <w:color w:val="auto"/>
              </w:rPr>
            </w:pPr>
            <w:r>
              <w:rPr>
                <w:rFonts w:ascii="Times New Roman" w:cs="Times New Roman" w:eastAsia="Times New Roman" w:hAnsi="Times New Roman"/>
                <w:sz w:val="20"/>
                <w:szCs w:val="20"/>
                <w:color w:val="auto"/>
              </w:rPr>
              <w:t>​</w:t>
            </w:r>
          </w:p>
        </w:tc>
      </w:tr>
      <w:tr>
        <w:trPr>
          <w:trHeight w:val="227"/>
        </w:trPr>
        <w:tc>
          <w:tcPr>
            <w:tcW w:w="300" w:type="dxa"/>
            <w:vAlign w:val="bottom"/>
          </w:tcPr>
          <w:p>
            <w:pPr>
              <w:spacing w:after="0"/>
              <w:rPr>
                <w:sz w:val="19"/>
                <w:szCs w:val="19"/>
                <w:color w:val="auto"/>
              </w:rPr>
            </w:pPr>
          </w:p>
        </w:tc>
        <w:tc>
          <w:tcPr>
            <w:tcW w:w="1640" w:type="dxa"/>
            <w:vAlign w:val="bottom"/>
            <w:tcBorders>
              <w:top w:val="single" w:sz="8" w:color="auto"/>
            </w:tcBorders>
          </w:tcPr>
          <w:p>
            <w:pPr>
              <w:ind w:left="40"/>
              <w:spacing w:after="0" w:line="228" w:lineRule="exact"/>
              <w:rPr>
                <w:sz w:val="20"/>
                <w:szCs w:val="20"/>
                <w:color w:val="auto"/>
              </w:rPr>
            </w:pPr>
            <w:r>
              <w:rPr>
                <w:rFonts w:ascii="Times New Roman" w:cs="Times New Roman" w:eastAsia="Times New Roman" w:hAnsi="Times New Roman"/>
                <w:sz w:val="20"/>
                <w:szCs w:val="20"/>
                <w:color w:val="auto"/>
              </w:rPr>
              <w:t>Name:</w:t>
            </w:r>
          </w:p>
        </w:tc>
        <w:tc>
          <w:tcPr>
            <w:tcW w:w="20" w:type="dxa"/>
            <w:vAlign w:val="bottom"/>
          </w:tcPr>
          <w:p>
            <w:pPr>
              <w:spacing w:after="0"/>
              <w:rPr>
                <w:sz w:val="19"/>
                <w:szCs w:val="19"/>
                <w:color w:val="auto"/>
              </w:rPr>
            </w:pPr>
          </w:p>
        </w:tc>
        <w:tc>
          <w:tcPr>
            <w:tcW w:w="64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spacing w:after="0"/>
              <w:rPr>
                <w:sz w:val="19"/>
                <w:szCs w:val="19"/>
                <w:color w:val="auto"/>
              </w:rPr>
            </w:pPr>
          </w:p>
        </w:tc>
      </w:tr>
      <w:tr>
        <w:trPr>
          <w:trHeight w:val="258"/>
        </w:trPr>
        <w:tc>
          <w:tcPr>
            <w:tcW w:w="300" w:type="dxa"/>
            <w:vAlign w:val="bottom"/>
          </w:tcPr>
          <w:p>
            <w:pPr>
              <w:spacing w:after="0"/>
              <w:rPr>
                <w:sz w:val="22"/>
                <w:szCs w:val="22"/>
                <w:color w:val="auto"/>
              </w:rPr>
            </w:pPr>
          </w:p>
        </w:tc>
        <w:tc>
          <w:tcPr>
            <w:tcW w:w="2300" w:type="dxa"/>
            <w:vAlign w:val="bottom"/>
            <w:gridSpan w:val="3"/>
          </w:tcPr>
          <w:p>
            <w:pPr>
              <w:ind w:left="40"/>
              <w:spacing w:after="0"/>
              <w:rPr>
                <w:sz w:val="20"/>
                <w:szCs w:val="20"/>
                <w:color w:val="auto"/>
              </w:rPr>
            </w:pPr>
            <w:r>
              <w:rPr>
                <w:rFonts w:ascii="Times New Roman" w:cs="Times New Roman" w:eastAsia="Times New Roman" w:hAnsi="Times New Roman"/>
                <w:sz w:val="20"/>
                <w:szCs w:val="20"/>
                <w:color w:val="auto"/>
              </w:rPr>
              <w:t>Title:</w:t>
            </w:r>
          </w:p>
        </w:tc>
        <w:tc>
          <w:tcPr>
            <w:tcW w:w="640" w:type="dxa"/>
            <w:vAlign w:val="bottom"/>
          </w:tcPr>
          <w:p>
            <w:pPr>
              <w:spacing w:after="0"/>
              <w:rPr>
                <w:sz w:val="22"/>
                <w:szCs w:val="22"/>
                <w:color w:val="auto"/>
              </w:rPr>
            </w:pPr>
          </w:p>
        </w:tc>
        <w:tc>
          <w:tcPr>
            <w:tcW w:w="640" w:type="dxa"/>
            <w:vAlign w:val="bottom"/>
          </w:tcPr>
          <w:p>
            <w:pPr>
              <w:spacing w:after="0"/>
              <w:rPr>
                <w:sz w:val="22"/>
                <w:szCs w:val="22"/>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4"/>
          <w:szCs w:val="14"/>
          <w:color w:val="auto"/>
        </w:rPr>
        <w:t>US-DOCS\171161013.8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339725</wp:posOffset>
            </wp:positionH>
            <wp:positionV relativeFrom="paragraph">
              <wp:posOffset>349250</wp:posOffset>
            </wp:positionV>
            <wp:extent cx="5040630" cy="2540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81">
                      <a:extLst>
                        <a:ext uri="{28A0092B-C50C-407E-A947-70E740481C1C}"/>
                      </a:extLst>
                    </a:blip>
                    <a:srcRect/>
                    <a:stretch>
                      <a:fillRect/>
                    </a:stretch>
                  </pic:blipFill>
                  <pic:spPr bwMode="auto">
                    <a:xfrm>
                      <a:off x="0" y="0"/>
                      <a:ext cx="5040630" cy="25400"/>
                    </a:xfrm>
                    <a:prstGeom prst="rect">
                      <a:avLst/>
                    </a:prstGeom>
                    <a:noFill/>
                  </pic:spPr>
                </pic:pic>
              </a:graphicData>
            </a:graphic>
          </wp:anchor>
        </w:drawing>
      </w:r>
    </w:p>
    <w:p>
      <w:pPr>
        <w:sectPr>
          <w:pgSz w:w="11900" w:h="16838" w:orient="portrait"/>
          <w:cols w:equalWidth="0" w:num="1">
            <w:col w:w="9019"/>
          </w:cols>
          <w:pgMar w:left="1440" w:top="1341" w:right="1440" w:bottom="1440" w:gutter="0" w:footer="0" w:header="0"/>
        </w:sectPr>
      </w:pPr>
    </w:p>
    <w:bookmarkStart w:id="61" w:name="page62"/>
    <w:bookmarkEnd w:id="61"/>
    <w:p>
      <w:pPr>
        <w:ind w:left="4420"/>
        <w:spacing w:after="0"/>
        <w:rPr>
          <w:sz w:val="20"/>
          <w:szCs w:val="20"/>
          <w:color w:val="auto"/>
        </w:rPr>
      </w:pPr>
      <w:r>
        <w:rPr>
          <w:rFonts w:ascii="Times New Roman" w:cs="Times New Roman" w:eastAsia="Times New Roman" w:hAnsi="Times New Roman"/>
          <w:sz w:val="20"/>
          <w:szCs w:val="20"/>
          <w:b w:val="1"/>
          <w:bCs w:val="1"/>
          <w:u w:val="single" w:color="auto"/>
          <w:color w:val="auto"/>
        </w:rPr>
        <w:t>LENDERS</w:t>
      </w:r>
    </w:p>
    <w:p>
      <w:pPr>
        <w:spacing w:after="0" w:line="233"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20"/>
          <w:szCs w:val="20"/>
          <w:color w:val="auto"/>
        </w:rPr>
        <w:t>HPS SPECIALTY LOAN FUND V, L.P.,</w:t>
      </w:r>
    </w:p>
    <w:p>
      <w:pPr>
        <w:spacing w:after="0" w:line="21"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20"/>
          <w:szCs w:val="20"/>
          <w:color w:val="auto"/>
        </w:rPr>
        <w:t>as a Lender</w:t>
      </w:r>
    </w:p>
    <w:p>
      <w:pPr>
        <w:ind w:left="4420"/>
        <w:spacing w:after="0"/>
        <w:rPr>
          <w:sz w:val="20"/>
          <w:szCs w:val="20"/>
          <w:color w:val="auto"/>
        </w:rPr>
      </w:pPr>
      <w:r>
        <w:rPr>
          <w:rFonts w:ascii="Times New Roman" w:cs="Times New Roman" w:eastAsia="Times New Roman" w:hAnsi="Times New Roman"/>
          <w:sz w:val="19"/>
          <w:szCs w:val="19"/>
          <w:color w:val="auto"/>
        </w:rPr>
        <w:t>By: HPS Investment Partners, LLC, its Investment</w:t>
      </w:r>
    </w:p>
    <w:p>
      <w:pPr>
        <w:spacing w:after="0" w:line="11"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20"/>
          <w:szCs w:val="20"/>
          <w:color w:val="auto"/>
        </w:rPr>
        <w:t>Manager</w:t>
      </w:r>
    </w:p>
    <w:p>
      <w:pPr>
        <w:spacing w:after="0" w:line="200" w:lineRule="exact"/>
        <w:rPr>
          <w:sz w:val="20"/>
          <w:szCs w:val="20"/>
          <w:color w:val="auto"/>
        </w:rPr>
      </w:pPr>
    </w:p>
    <w:p>
      <w:pPr>
        <w:spacing w:after="0" w:line="218" w:lineRule="exact"/>
        <w:rPr>
          <w:sz w:val="20"/>
          <w:szCs w:val="20"/>
          <w:color w:val="auto"/>
        </w:rPr>
      </w:pPr>
    </w:p>
    <w:tbl>
      <w:tblPr>
        <w:tblLayout w:type="fixed"/>
        <w:tblInd w:w="4420" w:type="dxa"/>
        <w:tblCellMar>
          <w:top w:w="0" w:type="dxa"/>
          <w:left w:w="0" w:type="dxa"/>
          <w:bottom w:w="0" w:type="dxa"/>
          <w:right w:w="0" w:type="dxa"/>
        </w:tblCellMar>
      </w:tblPr>
      <w:tr>
        <w:trPr>
          <w:trHeight w:val="230"/>
        </w:trPr>
        <w:tc>
          <w:tcPr>
            <w:tcW w:w="2600" w:type="dxa"/>
            <w:vAlign w:val="bottom"/>
            <w:gridSpan w:val="4"/>
          </w:tcPr>
          <w:p>
            <w:pPr>
              <w:spacing w:after="0"/>
              <w:rPr>
                <w:sz w:val="20"/>
                <w:szCs w:val="20"/>
                <w:color w:val="auto"/>
              </w:rPr>
            </w:pPr>
            <w:r>
              <w:rPr>
                <w:rFonts w:ascii="Times New Roman" w:cs="Times New Roman" w:eastAsia="Times New Roman" w:hAnsi="Times New Roman"/>
                <w:sz w:val="20"/>
                <w:szCs w:val="20"/>
                <w:color w:val="auto"/>
              </w:rPr>
              <w:t>By: /s/ Daniel Zevnik   ​</w:t>
            </w:r>
          </w:p>
        </w:tc>
        <w:tc>
          <w:tcPr>
            <w:tcW w:w="640" w:type="dxa"/>
            <w:vAlign w:val="bottom"/>
          </w:tcPr>
          <w:p>
            <w:pPr>
              <w:spacing w:after="0"/>
              <w:rPr>
                <w:sz w:val="20"/>
                <w:szCs w:val="20"/>
                <w:color w:val="auto"/>
              </w:rPr>
            </w:pPr>
            <w:r>
              <w:rPr>
                <w:rFonts w:ascii="Times New Roman" w:cs="Times New Roman" w:eastAsia="Times New Roman" w:hAnsi="Times New Roman"/>
                <w:sz w:val="20"/>
                <w:szCs w:val="20"/>
                <w:color w:val="auto"/>
              </w:rPr>
              <w:t>​</w:t>
            </w:r>
          </w:p>
        </w:tc>
        <w:tc>
          <w:tcPr>
            <w:tcW w:w="640" w:type="dxa"/>
            <w:vAlign w:val="bottom"/>
          </w:tcPr>
          <w:p>
            <w:pPr>
              <w:spacing w:after="0"/>
              <w:rPr>
                <w:sz w:val="20"/>
                <w:szCs w:val="20"/>
                <w:color w:val="auto"/>
              </w:rPr>
            </w:pPr>
            <w:r>
              <w:rPr>
                <w:rFonts w:ascii="Times New Roman" w:cs="Times New Roman" w:eastAsia="Times New Roman" w:hAnsi="Times New Roman"/>
                <w:sz w:val="20"/>
                <w:szCs w:val="20"/>
                <w:color w:val="auto"/>
              </w:rPr>
              <w:t>​</w:t>
            </w:r>
          </w:p>
        </w:tc>
      </w:tr>
      <w:tr>
        <w:trPr>
          <w:trHeight w:val="20"/>
        </w:trPr>
        <w:tc>
          <w:tcPr>
            <w:tcW w:w="340" w:type="dxa"/>
            <w:vAlign w:val="bottom"/>
          </w:tcPr>
          <w:p>
            <w:pPr>
              <w:spacing w:after="0" w:line="20" w:lineRule="exact"/>
              <w:rPr>
                <w:sz w:val="1"/>
                <w:szCs w:val="1"/>
                <w:color w:val="auto"/>
              </w:rPr>
            </w:pPr>
          </w:p>
        </w:tc>
        <w:tc>
          <w:tcPr>
            <w:tcW w:w="160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r>
      <w:tr>
        <w:trPr>
          <w:trHeight w:val="227"/>
        </w:trPr>
        <w:tc>
          <w:tcPr>
            <w:tcW w:w="2600" w:type="dxa"/>
            <w:vAlign w:val="bottom"/>
            <w:gridSpan w:val="4"/>
          </w:tcPr>
          <w:p>
            <w:pPr>
              <w:ind w:left="340"/>
              <w:spacing w:after="0" w:line="228" w:lineRule="exact"/>
              <w:rPr>
                <w:sz w:val="20"/>
                <w:szCs w:val="20"/>
                <w:color w:val="auto"/>
              </w:rPr>
            </w:pPr>
            <w:r>
              <w:rPr>
                <w:rFonts w:ascii="Times New Roman" w:cs="Times New Roman" w:eastAsia="Times New Roman" w:hAnsi="Times New Roman"/>
                <w:sz w:val="20"/>
                <w:szCs w:val="20"/>
                <w:color w:val="auto"/>
              </w:rPr>
              <w:t>Name: Daniel Zevnik</w:t>
            </w:r>
          </w:p>
        </w:tc>
        <w:tc>
          <w:tcPr>
            <w:tcW w:w="640" w:type="dxa"/>
            <w:vAlign w:val="bottom"/>
          </w:tcPr>
          <w:p>
            <w:pPr>
              <w:spacing w:after="0"/>
              <w:rPr>
                <w:sz w:val="19"/>
                <w:szCs w:val="19"/>
                <w:color w:val="auto"/>
              </w:rPr>
            </w:pPr>
          </w:p>
        </w:tc>
        <w:tc>
          <w:tcPr>
            <w:tcW w:w="640" w:type="dxa"/>
            <w:vAlign w:val="bottom"/>
          </w:tcPr>
          <w:p>
            <w:pPr>
              <w:spacing w:after="0"/>
              <w:rPr>
                <w:sz w:val="19"/>
                <w:szCs w:val="19"/>
                <w:color w:val="auto"/>
              </w:rPr>
            </w:pPr>
          </w:p>
        </w:tc>
      </w:tr>
      <w:tr>
        <w:trPr>
          <w:trHeight w:val="258"/>
        </w:trPr>
        <w:tc>
          <w:tcPr>
            <w:tcW w:w="2600" w:type="dxa"/>
            <w:vAlign w:val="bottom"/>
            <w:gridSpan w:val="4"/>
          </w:tcPr>
          <w:p>
            <w:pPr>
              <w:ind w:left="340"/>
              <w:spacing w:after="0"/>
              <w:rPr>
                <w:sz w:val="20"/>
                <w:szCs w:val="20"/>
                <w:color w:val="auto"/>
              </w:rPr>
            </w:pPr>
            <w:r>
              <w:rPr>
                <w:rFonts w:ascii="Times New Roman" w:cs="Times New Roman" w:eastAsia="Times New Roman" w:hAnsi="Times New Roman"/>
                <w:sz w:val="20"/>
                <w:szCs w:val="20"/>
                <w:color w:val="auto"/>
              </w:rPr>
              <w:t>Title:  Managing Director</w:t>
            </w:r>
          </w:p>
        </w:tc>
        <w:tc>
          <w:tcPr>
            <w:tcW w:w="640" w:type="dxa"/>
            <w:vAlign w:val="bottom"/>
          </w:tcPr>
          <w:p>
            <w:pPr>
              <w:spacing w:after="0"/>
              <w:rPr>
                <w:sz w:val="22"/>
                <w:szCs w:val="22"/>
                <w:color w:val="auto"/>
              </w:rPr>
            </w:pPr>
          </w:p>
        </w:tc>
        <w:tc>
          <w:tcPr>
            <w:tcW w:w="640" w:type="dxa"/>
            <w:vAlign w:val="bottom"/>
          </w:tcPr>
          <w:p>
            <w:pPr>
              <w:spacing w:after="0"/>
              <w:rPr>
                <w:sz w:val="22"/>
                <w:szCs w:val="22"/>
                <w:color w:val="auto"/>
              </w:rPr>
            </w:pPr>
          </w:p>
        </w:tc>
      </w:tr>
    </w:tbl>
    <w:p>
      <w:pPr>
        <w:spacing w:after="0" w:line="200" w:lineRule="exact"/>
        <w:rPr>
          <w:sz w:val="20"/>
          <w:szCs w:val="20"/>
          <w:color w:val="auto"/>
        </w:rPr>
      </w:pPr>
    </w:p>
    <w:p>
      <w:pPr>
        <w:spacing w:after="0" w:line="230"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20"/>
          <w:szCs w:val="20"/>
          <w:color w:val="auto"/>
        </w:rPr>
        <w:t>HPS SPECIALTY LOAN FUND V-L, L.P.,</w:t>
      </w:r>
    </w:p>
    <w:p>
      <w:pPr>
        <w:spacing w:after="0" w:line="21"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20"/>
          <w:szCs w:val="20"/>
          <w:color w:val="auto"/>
        </w:rPr>
        <w:t>as a Lender</w:t>
      </w:r>
    </w:p>
    <w:p>
      <w:pPr>
        <w:ind w:left="4420"/>
        <w:spacing w:after="0"/>
        <w:rPr>
          <w:sz w:val="20"/>
          <w:szCs w:val="20"/>
          <w:color w:val="auto"/>
        </w:rPr>
      </w:pPr>
      <w:r>
        <w:rPr>
          <w:rFonts w:ascii="Times New Roman" w:cs="Times New Roman" w:eastAsia="Times New Roman" w:hAnsi="Times New Roman"/>
          <w:sz w:val="19"/>
          <w:szCs w:val="19"/>
          <w:color w:val="auto"/>
        </w:rPr>
        <w:t>By: HPS Investment Partners, LLC, its Investment</w:t>
      </w:r>
    </w:p>
    <w:p>
      <w:pPr>
        <w:spacing w:after="0" w:line="11"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20"/>
          <w:szCs w:val="20"/>
          <w:color w:val="auto"/>
        </w:rPr>
        <w:t>Manager</w:t>
      </w:r>
    </w:p>
    <w:p>
      <w:pPr>
        <w:spacing w:after="0" w:line="200" w:lineRule="exact"/>
        <w:rPr>
          <w:sz w:val="20"/>
          <w:szCs w:val="20"/>
          <w:color w:val="auto"/>
        </w:rPr>
      </w:pPr>
    </w:p>
    <w:p>
      <w:pPr>
        <w:spacing w:after="0" w:line="218" w:lineRule="exact"/>
        <w:rPr>
          <w:sz w:val="20"/>
          <w:szCs w:val="20"/>
          <w:color w:val="auto"/>
        </w:rPr>
      </w:pPr>
    </w:p>
    <w:tbl>
      <w:tblPr>
        <w:tblLayout w:type="fixed"/>
        <w:tblInd w:w="4420" w:type="dxa"/>
        <w:tblCellMar>
          <w:top w:w="0" w:type="dxa"/>
          <w:left w:w="0" w:type="dxa"/>
          <w:bottom w:w="0" w:type="dxa"/>
          <w:right w:w="0" w:type="dxa"/>
        </w:tblCellMar>
      </w:tblPr>
      <w:tr>
        <w:trPr>
          <w:trHeight w:val="230"/>
        </w:trPr>
        <w:tc>
          <w:tcPr>
            <w:tcW w:w="2600" w:type="dxa"/>
            <w:vAlign w:val="bottom"/>
            <w:gridSpan w:val="4"/>
          </w:tcPr>
          <w:p>
            <w:pPr>
              <w:spacing w:after="0"/>
              <w:rPr>
                <w:sz w:val="20"/>
                <w:szCs w:val="20"/>
                <w:color w:val="auto"/>
              </w:rPr>
            </w:pPr>
            <w:r>
              <w:rPr>
                <w:rFonts w:ascii="Times New Roman" w:cs="Times New Roman" w:eastAsia="Times New Roman" w:hAnsi="Times New Roman"/>
                <w:sz w:val="20"/>
                <w:szCs w:val="20"/>
                <w:color w:val="auto"/>
              </w:rPr>
              <w:t>By: /s/ Daniel Zevnik   ​</w:t>
            </w:r>
          </w:p>
        </w:tc>
        <w:tc>
          <w:tcPr>
            <w:tcW w:w="640" w:type="dxa"/>
            <w:vAlign w:val="bottom"/>
          </w:tcPr>
          <w:p>
            <w:pPr>
              <w:spacing w:after="0"/>
              <w:rPr>
                <w:sz w:val="20"/>
                <w:szCs w:val="20"/>
                <w:color w:val="auto"/>
              </w:rPr>
            </w:pPr>
            <w:r>
              <w:rPr>
                <w:rFonts w:ascii="Times New Roman" w:cs="Times New Roman" w:eastAsia="Times New Roman" w:hAnsi="Times New Roman"/>
                <w:sz w:val="20"/>
                <w:szCs w:val="20"/>
                <w:color w:val="auto"/>
              </w:rPr>
              <w:t>​</w:t>
            </w:r>
          </w:p>
        </w:tc>
        <w:tc>
          <w:tcPr>
            <w:tcW w:w="640" w:type="dxa"/>
            <w:vAlign w:val="bottom"/>
          </w:tcPr>
          <w:p>
            <w:pPr>
              <w:spacing w:after="0"/>
              <w:rPr>
                <w:sz w:val="20"/>
                <w:szCs w:val="20"/>
                <w:color w:val="auto"/>
              </w:rPr>
            </w:pPr>
            <w:r>
              <w:rPr>
                <w:rFonts w:ascii="Times New Roman" w:cs="Times New Roman" w:eastAsia="Times New Roman" w:hAnsi="Times New Roman"/>
                <w:sz w:val="20"/>
                <w:szCs w:val="20"/>
                <w:color w:val="auto"/>
              </w:rPr>
              <w:t>​</w:t>
            </w:r>
          </w:p>
        </w:tc>
      </w:tr>
      <w:tr>
        <w:trPr>
          <w:trHeight w:val="20"/>
        </w:trPr>
        <w:tc>
          <w:tcPr>
            <w:tcW w:w="340" w:type="dxa"/>
            <w:vAlign w:val="bottom"/>
          </w:tcPr>
          <w:p>
            <w:pPr>
              <w:spacing w:after="0" w:line="20" w:lineRule="exact"/>
              <w:rPr>
                <w:sz w:val="1"/>
                <w:szCs w:val="1"/>
                <w:color w:val="auto"/>
              </w:rPr>
            </w:pPr>
          </w:p>
        </w:tc>
        <w:tc>
          <w:tcPr>
            <w:tcW w:w="160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r>
      <w:tr>
        <w:trPr>
          <w:trHeight w:val="227"/>
        </w:trPr>
        <w:tc>
          <w:tcPr>
            <w:tcW w:w="2600" w:type="dxa"/>
            <w:vAlign w:val="bottom"/>
            <w:gridSpan w:val="4"/>
          </w:tcPr>
          <w:p>
            <w:pPr>
              <w:ind w:left="340"/>
              <w:spacing w:after="0" w:line="228" w:lineRule="exact"/>
              <w:rPr>
                <w:sz w:val="20"/>
                <w:szCs w:val="20"/>
                <w:color w:val="auto"/>
              </w:rPr>
            </w:pPr>
            <w:r>
              <w:rPr>
                <w:rFonts w:ascii="Times New Roman" w:cs="Times New Roman" w:eastAsia="Times New Roman" w:hAnsi="Times New Roman"/>
                <w:sz w:val="20"/>
                <w:szCs w:val="20"/>
                <w:color w:val="auto"/>
              </w:rPr>
              <w:t>Name: Daniel Zevnik</w:t>
            </w:r>
          </w:p>
        </w:tc>
        <w:tc>
          <w:tcPr>
            <w:tcW w:w="640" w:type="dxa"/>
            <w:vAlign w:val="bottom"/>
          </w:tcPr>
          <w:p>
            <w:pPr>
              <w:spacing w:after="0"/>
              <w:rPr>
                <w:sz w:val="19"/>
                <w:szCs w:val="19"/>
                <w:color w:val="auto"/>
              </w:rPr>
            </w:pPr>
          </w:p>
        </w:tc>
        <w:tc>
          <w:tcPr>
            <w:tcW w:w="640" w:type="dxa"/>
            <w:vAlign w:val="bottom"/>
          </w:tcPr>
          <w:p>
            <w:pPr>
              <w:spacing w:after="0"/>
              <w:rPr>
                <w:sz w:val="19"/>
                <w:szCs w:val="19"/>
                <w:color w:val="auto"/>
              </w:rPr>
            </w:pPr>
          </w:p>
        </w:tc>
      </w:tr>
      <w:tr>
        <w:trPr>
          <w:trHeight w:val="258"/>
        </w:trPr>
        <w:tc>
          <w:tcPr>
            <w:tcW w:w="2600" w:type="dxa"/>
            <w:vAlign w:val="bottom"/>
            <w:gridSpan w:val="4"/>
          </w:tcPr>
          <w:p>
            <w:pPr>
              <w:ind w:left="340"/>
              <w:spacing w:after="0"/>
              <w:rPr>
                <w:sz w:val="20"/>
                <w:szCs w:val="20"/>
                <w:color w:val="auto"/>
              </w:rPr>
            </w:pPr>
            <w:r>
              <w:rPr>
                <w:rFonts w:ascii="Times New Roman" w:cs="Times New Roman" w:eastAsia="Times New Roman" w:hAnsi="Times New Roman"/>
                <w:sz w:val="20"/>
                <w:szCs w:val="20"/>
                <w:color w:val="auto"/>
              </w:rPr>
              <w:t>Title:  Managing Director</w:t>
            </w:r>
          </w:p>
        </w:tc>
        <w:tc>
          <w:tcPr>
            <w:tcW w:w="640" w:type="dxa"/>
            <w:vAlign w:val="bottom"/>
          </w:tcPr>
          <w:p>
            <w:pPr>
              <w:spacing w:after="0"/>
              <w:rPr>
                <w:sz w:val="22"/>
                <w:szCs w:val="22"/>
                <w:color w:val="auto"/>
              </w:rPr>
            </w:pPr>
          </w:p>
        </w:tc>
        <w:tc>
          <w:tcPr>
            <w:tcW w:w="640" w:type="dxa"/>
            <w:vAlign w:val="bottom"/>
          </w:tcPr>
          <w:p>
            <w:pPr>
              <w:spacing w:after="0"/>
              <w:rPr>
                <w:sz w:val="22"/>
                <w:szCs w:val="22"/>
                <w:color w:val="auto"/>
              </w:rPr>
            </w:pPr>
          </w:p>
        </w:tc>
      </w:tr>
    </w:tbl>
    <w:p>
      <w:pPr>
        <w:spacing w:after="0" w:line="200" w:lineRule="exact"/>
        <w:rPr>
          <w:sz w:val="20"/>
          <w:szCs w:val="20"/>
          <w:color w:val="auto"/>
        </w:rPr>
      </w:pPr>
    </w:p>
    <w:p>
      <w:pPr>
        <w:spacing w:after="0" w:line="230"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20"/>
          <w:szCs w:val="20"/>
          <w:color w:val="auto"/>
        </w:rPr>
        <w:t>SLIF V-L HOLDINGS, LLC,</w:t>
      </w:r>
    </w:p>
    <w:p>
      <w:pPr>
        <w:spacing w:after="0" w:line="21"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20"/>
          <w:szCs w:val="20"/>
          <w:color w:val="auto"/>
        </w:rPr>
        <w:t>as a Lender</w:t>
      </w:r>
    </w:p>
    <w:p>
      <w:pPr>
        <w:ind w:left="4420"/>
        <w:spacing w:after="0"/>
        <w:rPr>
          <w:sz w:val="20"/>
          <w:szCs w:val="20"/>
          <w:color w:val="auto"/>
        </w:rPr>
      </w:pPr>
      <w:r>
        <w:rPr>
          <w:rFonts w:ascii="Times New Roman" w:cs="Times New Roman" w:eastAsia="Times New Roman" w:hAnsi="Times New Roman"/>
          <w:sz w:val="19"/>
          <w:szCs w:val="19"/>
          <w:color w:val="auto"/>
        </w:rPr>
        <w:t>By: HPS Investment Partners, LLC, its Investment</w:t>
      </w:r>
    </w:p>
    <w:p>
      <w:pPr>
        <w:spacing w:after="0" w:line="11"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20"/>
          <w:szCs w:val="20"/>
          <w:color w:val="auto"/>
        </w:rPr>
        <w:t>Manager</w:t>
      </w:r>
    </w:p>
    <w:p>
      <w:pPr>
        <w:spacing w:after="0" w:line="200" w:lineRule="exact"/>
        <w:rPr>
          <w:sz w:val="20"/>
          <w:szCs w:val="20"/>
          <w:color w:val="auto"/>
        </w:rPr>
      </w:pPr>
    </w:p>
    <w:p>
      <w:pPr>
        <w:spacing w:after="0" w:line="218" w:lineRule="exact"/>
        <w:rPr>
          <w:sz w:val="20"/>
          <w:szCs w:val="20"/>
          <w:color w:val="auto"/>
        </w:rPr>
      </w:pPr>
    </w:p>
    <w:tbl>
      <w:tblPr>
        <w:tblLayout w:type="fixed"/>
        <w:tblInd w:w="4420" w:type="dxa"/>
        <w:tblCellMar>
          <w:top w:w="0" w:type="dxa"/>
          <w:left w:w="0" w:type="dxa"/>
          <w:bottom w:w="0" w:type="dxa"/>
          <w:right w:w="0" w:type="dxa"/>
        </w:tblCellMar>
      </w:tblPr>
      <w:tr>
        <w:trPr>
          <w:trHeight w:val="230"/>
        </w:trPr>
        <w:tc>
          <w:tcPr>
            <w:tcW w:w="2600" w:type="dxa"/>
            <w:vAlign w:val="bottom"/>
            <w:gridSpan w:val="4"/>
          </w:tcPr>
          <w:p>
            <w:pPr>
              <w:spacing w:after="0"/>
              <w:rPr>
                <w:sz w:val="20"/>
                <w:szCs w:val="20"/>
                <w:color w:val="auto"/>
              </w:rPr>
            </w:pPr>
            <w:r>
              <w:rPr>
                <w:rFonts w:ascii="Times New Roman" w:cs="Times New Roman" w:eastAsia="Times New Roman" w:hAnsi="Times New Roman"/>
                <w:sz w:val="20"/>
                <w:szCs w:val="20"/>
                <w:color w:val="auto"/>
              </w:rPr>
              <w:t>By: /s/ Daniel Zevnik   ​</w:t>
            </w:r>
          </w:p>
        </w:tc>
        <w:tc>
          <w:tcPr>
            <w:tcW w:w="640" w:type="dxa"/>
            <w:vAlign w:val="bottom"/>
          </w:tcPr>
          <w:p>
            <w:pPr>
              <w:spacing w:after="0"/>
              <w:rPr>
                <w:sz w:val="20"/>
                <w:szCs w:val="20"/>
                <w:color w:val="auto"/>
              </w:rPr>
            </w:pPr>
            <w:r>
              <w:rPr>
                <w:rFonts w:ascii="Times New Roman" w:cs="Times New Roman" w:eastAsia="Times New Roman" w:hAnsi="Times New Roman"/>
                <w:sz w:val="20"/>
                <w:szCs w:val="20"/>
                <w:color w:val="auto"/>
              </w:rPr>
              <w:t>​</w:t>
            </w:r>
          </w:p>
        </w:tc>
        <w:tc>
          <w:tcPr>
            <w:tcW w:w="640" w:type="dxa"/>
            <w:vAlign w:val="bottom"/>
          </w:tcPr>
          <w:p>
            <w:pPr>
              <w:spacing w:after="0"/>
              <w:rPr>
                <w:sz w:val="20"/>
                <w:szCs w:val="20"/>
                <w:color w:val="auto"/>
              </w:rPr>
            </w:pPr>
            <w:r>
              <w:rPr>
                <w:rFonts w:ascii="Times New Roman" w:cs="Times New Roman" w:eastAsia="Times New Roman" w:hAnsi="Times New Roman"/>
                <w:sz w:val="20"/>
                <w:szCs w:val="20"/>
                <w:color w:val="auto"/>
              </w:rPr>
              <w:t>​</w:t>
            </w:r>
          </w:p>
        </w:tc>
      </w:tr>
      <w:tr>
        <w:trPr>
          <w:trHeight w:val="20"/>
        </w:trPr>
        <w:tc>
          <w:tcPr>
            <w:tcW w:w="340" w:type="dxa"/>
            <w:vAlign w:val="bottom"/>
          </w:tcPr>
          <w:p>
            <w:pPr>
              <w:spacing w:after="0" w:line="20" w:lineRule="exact"/>
              <w:rPr>
                <w:sz w:val="1"/>
                <w:szCs w:val="1"/>
                <w:color w:val="auto"/>
              </w:rPr>
            </w:pPr>
          </w:p>
        </w:tc>
        <w:tc>
          <w:tcPr>
            <w:tcW w:w="160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r>
      <w:tr>
        <w:trPr>
          <w:trHeight w:val="227"/>
        </w:trPr>
        <w:tc>
          <w:tcPr>
            <w:tcW w:w="2600" w:type="dxa"/>
            <w:vAlign w:val="bottom"/>
            <w:gridSpan w:val="4"/>
          </w:tcPr>
          <w:p>
            <w:pPr>
              <w:ind w:left="340"/>
              <w:spacing w:after="0" w:line="228" w:lineRule="exact"/>
              <w:rPr>
                <w:sz w:val="20"/>
                <w:szCs w:val="20"/>
                <w:color w:val="auto"/>
              </w:rPr>
            </w:pPr>
            <w:r>
              <w:rPr>
                <w:rFonts w:ascii="Times New Roman" w:cs="Times New Roman" w:eastAsia="Times New Roman" w:hAnsi="Times New Roman"/>
                <w:sz w:val="20"/>
                <w:szCs w:val="20"/>
                <w:color w:val="auto"/>
              </w:rPr>
              <w:t>Name: Daniel Zevnik</w:t>
            </w:r>
          </w:p>
        </w:tc>
        <w:tc>
          <w:tcPr>
            <w:tcW w:w="640" w:type="dxa"/>
            <w:vAlign w:val="bottom"/>
          </w:tcPr>
          <w:p>
            <w:pPr>
              <w:spacing w:after="0"/>
              <w:rPr>
                <w:sz w:val="19"/>
                <w:szCs w:val="19"/>
                <w:color w:val="auto"/>
              </w:rPr>
            </w:pPr>
          </w:p>
        </w:tc>
        <w:tc>
          <w:tcPr>
            <w:tcW w:w="640" w:type="dxa"/>
            <w:vAlign w:val="bottom"/>
          </w:tcPr>
          <w:p>
            <w:pPr>
              <w:spacing w:after="0"/>
              <w:rPr>
                <w:sz w:val="19"/>
                <w:szCs w:val="19"/>
                <w:color w:val="auto"/>
              </w:rPr>
            </w:pPr>
          </w:p>
        </w:tc>
      </w:tr>
      <w:tr>
        <w:trPr>
          <w:trHeight w:val="258"/>
        </w:trPr>
        <w:tc>
          <w:tcPr>
            <w:tcW w:w="2600" w:type="dxa"/>
            <w:vAlign w:val="bottom"/>
            <w:gridSpan w:val="4"/>
          </w:tcPr>
          <w:p>
            <w:pPr>
              <w:ind w:left="340"/>
              <w:spacing w:after="0"/>
              <w:rPr>
                <w:sz w:val="20"/>
                <w:szCs w:val="20"/>
                <w:color w:val="auto"/>
              </w:rPr>
            </w:pPr>
            <w:r>
              <w:rPr>
                <w:rFonts w:ascii="Times New Roman" w:cs="Times New Roman" w:eastAsia="Times New Roman" w:hAnsi="Times New Roman"/>
                <w:sz w:val="20"/>
                <w:szCs w:val="20"/>
                <w:color w:val="auto"/>
              </w:rPr>
              <w:t>Title:  Managing Director</w:t>
            </w:r>
          </w:p>
        </w:tc>
        <w:tc>
          <w:tcPr>
            <w:tcW w:w="640" w:type="dxa"/>
            <w:vAlign w:val="bottom"/>
          </w:tcPr>
          <w:p>
            <w:pPr>
              <w:spacing w:after="0"/>
              <w:rPr>
                <w:sz w:val="22"/>
                <w:szCs w:val="22"/>
                <w:color w:val="auto"/>
              </w:rPr>
            </w:pPr>
          </w:p>
        </w:tc>
        <w:tc>
          <w:tcPr>
            <w:tcW w:w="640" w:type="dxa"/>
            <w:vAlign w:val="bottom"/>
          </w:tcPr>
          <w:p>
            <w:pPr>
              <w:spacing w:after="0"/>
              <w:rPr>
                <w:sz w:val="22"/>
                <w:szCs w:val="22"/>
                <w:color w:val="auto"/>
              </w:rPr>
            </w:pPr>
          </w:p>
        </w:tc>
      </w:tr>
    </w:tbl>
    <w:p>
      <w:pPr>
        <w:spacing w:after="0" w:line="200" w:lineRule="exact"/>
        <w:rPr>
          <w:sz w:val="20"/>
          <w:szCs w:val="20"/>
          <w:color w:val="auto"/>
        </w:rPr>
      </w:pPr>
    </w:p>
    <w:p>
      <w:pPr>
        <w:spacing w:after="0" w:line="230"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20"/>
          <w:szCs w:val="20"/>
          <w:color w:val="auto"/>
        </w:rPr>
        <w:t>SLIF V HOLDINGS, LLC,</w:t>
      </w:r>
    </w:p>
    <w:p>
      <w:pPr>
        <w:spacing w:after="0" w:line="21"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20"/>
          <w:szCs w:val="20"/>
          <w:color w:val="auto"/>
        </w:rPr>
        <w:t>as a Lender</w:t>
      </w:r>
    </w:p>
    <w:p>
      <w:pPr>
        <w:ind w:left="4420"/>
        <w:spacing w:after="0"/>
        <w:rPr>
          <w:sz w:val="20"/>
          <w:szCs w:val="20"/>
          <w:color w:val="auto"/>
        </w:rPr>
      </w:pPr>
      <w:r>
        <w:rPr>
          <w:rFonts w:ascii="Times New Roman" w:cs="Times New Roman" w:eastAsia="Times New Roman" w:hAnsi="Times New Roman"/>
          <w:sz w:val="19"/>
          <w:szCs w:val="19"/>
          <w:color w:val="auto"/>
        </w:rPr>
        <w:t>By: HPS Investment Partners, LLC, its Investment</w:t>
      </w:r>
    </w:p>
    <w:p>
      <w:pPr>
        <w:spacing w:after="0" w:line="11"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20"/>
          <w:szCs w:val="20"/>
          <w:color w:val="auto"/>
        </w:rPr>
        <w:t>Manager</w:t>
      </w:r>
    </w:p>
    <w:p>
      <w:pPr>
        <w:spacing w:after="0" w:line="200" w:lineRule="exact"/>
        <w:rPr>
          <w:sz w:val="20"/>
          <w:szCs w:val="20"/>
          <w:color w:val="auto"/>
        </w:rPr>
      </w:pPr>
    </w:p>
    <w:p>
      <w:pPr>
        <w:spacing w:after="0" w:line="218" w:lineRule="exact"/>
        <w:rPr>
          <w:sz w:val="20"/>
          <w:szCs w:val="20"/>
          <w:color w:val="auto"/>
        </w:rPr>
      </w:pPr>
    </w:p>
    <w:tbl>
      <w:tblPr>
        <w:tblLayout w:type="fixed"/>
        <w:tblInd w:w="4420" w:type="dxa"/>
        <w:tblCellMar>
          <w:top w:w="0" w:type="dxa"/>
          <w:left w:w="0" w:type="dxa"/>
          <w:bottom w:w="0" w:type="dxa"/>
          <w:right w:w="0" w:type="dxa"/>
        </w:tblCellMar>
      </w:tblPr>
      <w:tr>
        <w:trPr>
          <w:trHeight w:val="230"/>
        </w:trPr>
        <w:tc>
          <w:tcPr>
            <w:tcW w:w="2600" w:type="dxa"/>
            <w:vAlign w:val="bottom"/>
            <w:gridSpan w:val="4"/>
          </w:tcPr>
          <w:p>
            <w:pPr>
              <w:spacing w:after="0"/>
              <w:rPr>
                <w:sz w:val="20"/>
                <w:szCs w:val="20"/>
                <w:color w:val="auto"/>
              </w:rPr>
            </w:pPr>
            <w:r>
              <w:rPr>
                <w:rFonts w:ascii="Times New Roman" w:cs="Times New Roman" w:eastAsia="Times New Roman" w:hAnsi="Times New Roman"/>
                <w:sz w:val="20"/>
                <w:szCs w:val="20"/>
                <w:color w:val="auto"/>
              </w:rPr>
              <w:t>By: /s/ Daniel Zevnik   ​</w:t>
            </w:r>
          </w:p>
        </w:tc>
        <w:tc>
          <w:tcPr>
            <w:tcW w:w="640" w:type="dxa"/>
            <w:vAlign w:val="bottom"/>
          </w:tcPr>
          <w:p>
            <w:pPr>
              <w:spacing w:after="0"/>
              <w:rPr>
                <w:sz w:val="20"/>
                <w:szCs w:val="20"/>
                <w:color w:val="auto"/>
              </w:rPr>
            </w:pPr>
            <w:r>
              <w:rPr>
                <w:rFonts w:ascii="Times New Roman" w:cs="Times New Roman" w:eastAsia="Times New Roman" w:hAnsi="Times New Roman"/>
                <w:sz w:val="20"/>
                <w:szCs w:val="20"/>
                <w:color w:val="auto"/>
              </w:rPr>
              <w:t>​</w:t>
            </w:r>
          </w:p>
        </w:tc>
        <w:tc>
          <w:tcPr>
            <w:tcW w:w="640" w:type="dxa"/>
            <w:vAlign w:val="bottom"/>
          </w:tcPr>
          <w:p>
            <w:pPr>
              <w:spacing w:after="0"/>
              <w:rPr>
                <w:sz w:val="20"/>
                <w:szCs w:val="20"/>
                <w:color w:val="auto"/>
              </w:rPr>
            </w:pPr>
            <w:r>
              <w:rPr>
                <w:rFonts w:ascii="Times New Roman" w:cs="Times New Roman" w:eastAsia="Times New Roman" w:hAnsi="Times New Roman"/>
                <w:sz w:val="20"/>
                <w:szCs w:val="20"/>
                <w:color w:val="auto"/>
              </w:rPr>
              <w:t>​</w:t>
            </w:r>
          </w:p>
        </w:tc>
      </w:tr>
      <w:tr>
        <w:trPr>
          <w:trHeight w:val="20"/>
        </w:trPr>
        <w:tc>
          <w:tcPr>
            <w:tcW w:w="340" w:type="dxa"/>
            <w:vAlign w:val="bottom"/>
          </w:tcPr>
          <w:p>
            <w:pPr>
              <w:spacing w:after="0" w:line="20" w:lineRule="exact"/>
              <w:rPr>
                <w:sz w:val="1"/>
                <w:szCs w:val="1"/>
                <w:color w:val="auto"/>
              </w:rPr>
            </w:pPr>
          </w:p>
        </w:tc>
        <w:tc>
          <w:tcPr>
            <w:tcW w:w="160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r>
      <w:tr>
        <w:trPr>
          <w:trHeight w:val="227"/>
        </w:trPr>
        <w:tc>
          <w:tcPr>
            <w:tcW w:w="2600" w:type="dxa"/>
            <w:vAlign w:val="bottom"/>
            <w:gridSpan w:val="4"/>
          </w:tcPr>
          <w:p>
            <w:pPr>
              <w:ind w:left="340"/>
              <w:spacing w:after="0" w:line="228" w:lineRule="exact"/>
              <w:rPr>
                <w:sz w:val="20"/>
                <w:szCs w:val="20"/>
                <w:color w:val="auto"/>
              </w:rPr>
            </w:pPr>
            <w:r>
              <w:rPr>
                <w:rFonts w:ascii="Times New Roman" w:cs="Times New Roman" w:eastAsia="Times New Roman" w:hAnsi="Times New Roman"/>
                <w:sz w:val="20"/>
                <w:szCs w:val="20"/>
                <w:color w:val="auto"/>
              </w:rPr>
              <w:t>Name: Daniel Zevnik</w:t>
            </w:r>
          </w:p>
        </w:tc>
        <w:tc>
          <w:tcPr>
            <w:tcW w:w="640" w:type="dxa"/>
            <w:vAlign w:val="bottom"/>
          </w:tcPr>
          <w:p>
            <w:pPr>
              <w:spacing w:after="0"/>
              <w:rPr>
                <w:sz w:val="19"/>
                <w:szCs w:val="19"/>
                <w:color w:val="auto"/>
              </w:rPr>
            </w:pPr>
          </w:p>
        </w:tc>
        <w:tc>
          <w:tcPr>
            <w:tcW w:w="640" w:type="dxa"/>
            <w:vAlign w:val="bottom"/>
          </w:tcPr>
          <w:p>
            <w:pPr>
              <w:spacing w:after="0"/>
              <w:rPr>
                <w:sz w:val="19"/>
                <w:szCs w:val="19"/>
                <w:color w:val="auto"/>
              </w:rPr>
            </w:pPr>
          </w:p>
        </w:tc>
      </w:tr>
      <w:tr>
        <w:trPr>
          <w:trHeight w:val="258"/>
        </w:trPr>
        <w:tc>
          <w:tcPr>
            <w:tcW w:w="2600" w:type="dxa"/>
            <w:vAlign w:val="bottom"/>
            <w:gridSpan w:val="4"/>
          </w:tcPr>
          <w:p>
            <w:pPr>
              <w:ind w:left="340"/>
              <w:spacing w:after="0"/>
              <w:rPr>
                <w:sz w:val="20"/>
                <w:szCs w:val="20"/>
                <w:color w:val="auto"/>
              </w:rPr>
            </w:pPr>
            <w:r>
              <w:rPr>
                <w:rFonts w:ascii="Times New Roman" w:cs="Times New Roman" w:eastAsia="Times New Roman" w:hAnsi="Times New Roman"/>
                <w:sz w:val="20"/>
                <w:szCs w:val="20"/>
                <w:color w:val="auto"/>
              </w:rPr>
              <w:t>Title:  Managing Director</w:t>
            </w:r>
          </w:p>
        </w:tc>
        <w:tc>
          <w:tcPr>
            <w:tcW w:w="640" w:type="dxa"/>
            <w:vAlign w:val="bottom"/>
          </w:tcPr>
          <w:p>
            <w:pPr>
              <w:spacing w:after="0"/>
              <w:rPr>
                <w:sz w:val="22"/>
                <w:szCs w:val="22"/>
                <w:color w:val="auto"/>
              </w:rPr>
            </w:pPr>
          </w:p>
        </w:tc>
        <w:tc>
          <w:tcPr>
            <w:tcW w:w="640" w:type="dxa"/>
            <w:vAlign w:val="bottom"/>
          </w:tcPr>
          <w:p>
            <w:pPr>
              <w:spacing w:after="0"/>
              <w:rPr>
                <w:sz w:val="22"/>
                <w:szCs w:val="22"/>
                <w:color w:val="auto"/>
              </w:rPr>
            </w:pPr>
          </w:p>
        </w:tc>
      </w:tr>
    </w:tbl>
    <w:p>
      <w:pPr>
        <w:spacing w:after="0" w:line="200" w:lineRule="exact"/>
        <w:rPr>
          <w:sz w:val="20"/>
          <w:szCs w:val="20"/>
          <w:color w:val="auto"/>
        </w:rPr>
      </w:pPr>
    </w:p>
    <w:p>
      <w:pPr>
        <w:spacing w:after="0" w:line="271"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4"/>
          <w:szCs w:val="14"/>
          <w:color w:val="auto"/>
        </w:rPr>
        <w:t>US-DOCS\171161013.8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339725</wp:posOffset>
            </wp:positionH>
            <wp:positionV relativeFrom="paragraph">
              <wp:posOffset>349250</wp:posOffset>
            </wp:positionV>
            <wp:extent cx="5040630" cy="2603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82">
                      <a:extLst>
                        <a:ext uri="{28A0092B-C50C-407E-A947-70E740481C1C}"/>
                      </a:extLst>
                    </a:blip>
                    <a:srcRect/>
                    <a:stretch>
                      <a:fillRect/>
                    </a:stretch>
                  </pic:blipFill>
                  <pic:spPr bwMode="auto">
                    <a:xfrm>
                      <a:off x="0" y="0"/>
                      <a:ext cx="5040630" cy="26035"/>
                    </a:xfrm>
                    <a:prstGeom prst="rect">
                      <a:avLst/>
                    </a:prstGeom>
                    <a:noFill/>
                  </pic:spPr>
                </pic:pic>
              </a:graphicData>
            </a:graphic>
          </wp:anchor>
        </w:drawing>
      </w:r>
    </w:p>
    <w:p>
      <w:pPr>
        <w:sectPr>
          <w:pgSz w:w="11900" w:h="16838" w:orient="portrait"/>
          <w:cols w:equalWidth="0" w:num="1">
            <w:col w:w="9019"/>
          </w:cols>
          <w:pgMar w:left="1440" w:top="896" w:right="1440" w:bottom="1440" w:gutter="0" w:footer="0" w:header="0"/>
        </w:sectPr>
      </w:pPr>
    </w:p>
    <w:bookmarkStart w:id="62" w:name="page63"/>
    <w:bookmarkEnd w:id="62"/>
    <w:p>
      <w:pPr>
        <w:ind w:left="4420"/>
        <w:spacing w:after="0"/>
        <w:rPr>
          <w:sz w:val="20"/>
          <w:szCs w:val="20"/>
          <w:color w:val="auto"/>
        </w:rPr>
      </w:pPr>
      <w:r>
        <w:rPr>
          <w:rFonts w:ascii="Times New Roman" w:cs="Times New Roman" w:eastAsia="Times New Roman" w:hAnsi="Times New Roman"/>
          <w:sz w:val="20"/>
          <w:szCs w:val="20"/>
          <w:color w:val="auto"/>
        </w:rPr>
        <w:t>HPS SPECIALTY LOAN EUROPE FUND V,</w:t>
      </w:r>
    </w:p>
    <w:p>
      <w:pPr>
        <w:spacing w:after="0" w:line="21"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20"/>
          <w:szCs w:val="20"/>
          <w:color w:val="auto"/>
        </w:rPr>
        <w:t>SCSP,</w:t>
      </w:r>
    </w:p>
    <w:p>
      <w:pPr>
        <w:ind w:left="4420"/>
        <w:spacing w:after="0"/>
        <w:rPr>
          <w:sz w:val="20"/>
          <w:szCs w:val="20"/>
          <w:color w:val="auto"/>
        </w:rPr>
      </w:pPr>
      <w:r>
        <w:rPr>
          <w:rFonts w:ascii="Times New Roman" w:cs="Times New Roman" w:eastAsia="Times New Roman" w:hAnsi="Times New Roman"/>
          <w:sz w:val="20"/>
          <w:szCs w:val="20"/>
          <w:color w:val="auto"/>
        </w:rPr>
        <w:t>as a Lender</w:t>
      </w:r>
    </w:p>
    <w:p>
      <w:pPr>
        <w:ind w:left="4420"/>
        <w:spacing w:after="0"/>
        <w:rPr>
          <w:sz w:val="20"/>
          <w:szCs w:val="20"/>
          <w:color w:val="auto"/>
        </w:rPr>
      </w:pPr>
      <w:r>
        <w:rPr>
          <w:rFonts w:ascii="Times New Roman" w:cs="Times New Roman" w:eastAsia="Times New Roman" w:hAnsi="Times New Roman"/>
          <w:sz w:val="20"/>
          <w:szCs w:val="20"/>
          <w:color w:val="auto"/>
        </w:rPr>
        <w:t>By: HPS Investment Partners, LLC, its Portfolio</w:t>
      </w:r>
    </w:p>
    <w:p>
      <w:pPr>
        <w:ind w:left="4420"/>
        <w:spacing w:after="0"/>
        <w:rPr>
          <w:sz w:val="20"/>
          <w:szCs w:val="20"/>
          <w:color w:val="auto"/>
        </w:rPr>
      </w:pPr>
      <w:r>
        <w:rPr>
          <w:rFonts w:ascii="Times New Roman" w:cs="Times New Roman" w:eastAsia="Times New Roman" w:hAnsi="Times New Roman"/>
          <w:sz w:val="20"/>
          <w:szCs w:val="20"/>
          <w:color w:val="auto"/>
        </w:rPr>
        <w:t>Manager</w:t>
      </w:r>
    </w:p>
    <w:p>
      <w:pPr>
        <w:spacing w:after="0" w:line="200" w:lineRule="exact"/>
        <w:rPr>
          <w:sz w:val="20"/>
          <w:szCs w:val="20"/>
          <w:color w:val="auto"/>
        </w:rPr>
      </w:pPr>
    </w:p>
    <w:p>
      <w:pPr>
        <w:spacing w:after="0" w:line="218" w:lineRule="exact"/>
        <w:rPr>
          <w:sz w:val="20"/>
          <w:szCs w:val="20"/>
          <w:color w:val="auto"/>
        </w:rPr>
      </w:pPr>
    </w:p>
    <w:tbl>
      <w:tblPr>
        <w:tblLayout w:type="fixed"/>
        <w:tblInd w:w="4420" w:type="dxa"/>
        <w:tblCellMar>
          <w:top w:w="0" w:type="dxa"/>
          <w:left w:w="0" w:type="dxa"/>
          <w:bottom w:w="0" w:type="dxa"/>
          <w:right w:w="0" w:type="dxa"/>
        </w:tblCellMar>
      </w:tblPr>
      <w:tr>
        <w:trPr>
          <w:trHeight w:val="230"/>
        </w:trPr>
        <w:tc>
          <w:tcPr>
            <w:tcW w:w="2600" w:type="dxa"/>
            <w:vAlign w:val="bottom"/>
            <w:gridSpan w:val="4"/>
          </w:tcPr>
          <w:p>
            <w:pPr>
              <w:spacing w:after="0"/>
              <w:rPr>
                <w:sz w:val="20"/>
                <w:szCs w:val="20"/>
                <w:color w:val="auto"/>
              </w:rPr>
            </w:pPr>
            <w:r>
              <w:rPr>
                <w:rFonts w:ascii="Times New Roman" w:cs="Times New Roman" w:eastAsia="Times New Roman" w:hAnsi="Times New Roman"/>
                <w:sz w:val="20"/>
                <w:szCs w:val="20"/>
                <w:color w:val="auto"/>
              </w:rPr>
              <w:t>By: /s/ Daniel Zevnik   ​</w:t>
            </w:r>
          </w:p>
        </w:tc>
        <w:tc>
          <w:tcPr>
            <w:tcW w:w="640" w:type="dxa"/>
            <w:vAlign w:val="bottom"/>
          </w:tcPr>
          <w:p>
            <w:pPr>
              <w:spacing w:after="0"/>
              <w:rPr>
                <w:sz w:val="20"/>
                <w:szCs w:val="20"/>
                <w:color w:val="auto"/>
              </w:rPr>
            </w:pPr>
            <w:r>
              <w:rPr>
                <w:rFonts w:ascii="Times New Roman" w:cs="Times New Roman" w:eastAsia="Times New Roman" w:hAnsi="Times New Roman"/>
                <w:sz w:val="20"/>
                <w:szCs w:val="20"/>
                <w:color w:val="auto"/>
              </w:rPr>
              <w:t>​</w:t>
            </w:r>
          </w:p>
        </w:tc>
        <w:tc>
          <w:tcPr>
            <w:tcW w:w="640" w:type="dxa"/>
            <w:vAlign w:val="bottom"/>
          </w:tcPr>
          <w:p>
            <w:pPr>
              <w:spacing w:after="0"/>
              <w:rPr>
                <w:sz w:val="20"/>
                <w:szCs w:val="20"/>
                <w:color w:val="auto"/>
              </w:rPr>
            </w:pPr>
            <w:r>
              <w:rPr>
                <w:rFonts w:ascii="Times New Roman" w:cs="Times New Roman" w:eastAsia="Times New Roman" w:hAnsi="Times New Roman"/>
                <w:sz w:val="20"/>
                <w:szCs w:val="20"/>
                <w:color w:val="auto"/>
              </w:rPr>
              <w:t>​</w:t>
            </w:r>
          </w:p>
        </w:tc>
      </w:tr>
      <w:tr>
        <w:trPr>
          <w:trHeight w:val="20"/>
        </w:trPr>
        <w:tc>
          <w:tcPr>
            <w:tcW w:w="340" w:type="dxa"/>
            <w:vAlign w:val="bottom"/>
          </w:tcPr>
          <w:p>
            <w:pPr>
              <w:spacing w:after="0" w:line="20" w:lineRule="exact"/>
              <w:rPr>
                <w:sz w:val="1"/>
                <w:szCs w:val="1"/>
                <w:color w:val="auto"/>
              </w:rPr>
            </w:pPr>
          </w:p>
        </w:tc>
        <w:tc>
          <w:tcPr>
            <w:tcW w:w="160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r>
      <w:tr>
        <w:trPr>
          <w:trHeight w:val="227"/>
        </w:trPr>
        <w:tc>
          <w:tcPr>
            <w:tcW w:w="2600" w:type="dxa"/>
            <w:vAlign w:val="bottom"/>
            <w:gridSpan w:val="4"/>
          </w:tcPr>
          <w:p>
            <w:pPr>
              <w:ind w:left="340"/>
              <w:spacing w:after="0" w:line="228" w:lineRule="exact"/>
              <w:rPr>
                <w:sz w:val="20"/>
                <w:szCs w:val="20"/>
                <w:color w:val="auto"/>
              </w:rPr>
            </w:pPr>
            <w:r>
              <w:rPr>
                <w:rFonts w:ascii="Times New Roman" w:cs="Times New Roman" w:eastAsia="Times New Roman" w:hAnsi="Times New Roman"/>
                <w:sz w:val="20"/>
                <w:szCs w:val="20"/>
                <w:color w:val="auto"/>
              </w:rPr>
              <w:t>Name: Daniel Zevnik</w:t>
            </w:r>
          </w:p>
        </w:tc>
        <w:tc>
          <w:tcPr>
            <w:tcW w:w="640" w:type="dxa"/>
            <w:vAlign w:val="bottom"/>
          </w:tcPr>
          <w:p>
            <w:pPr>
              <w:spacing w:after="0"/>
              <w:rPr>
                <w:sz w:val="19"/>
                <w:szCs w:val="19"/>
                <w:color w:val="auto"/>
              </w:rPr>
            </w:pPr>
          </w:p>
        </w:tc>
        <w:tc>
          <w:tcPr>
            <w:tcW w:w="640" w:type="dxa"/>
            <w:vAlign w:val="bottom"/>
          </w:tcPr>
          <w:p>
            <w:pPr>
              <w:spacing w:after="0"/>
              <w:rPr>
                <w:sz w:val="19"/>
                <w:szCs w:val="19"/>
                <w:color w:val="auto"/>
              </w:rPr>
            </w:pPr>
          </w:p>
        </w:tc>
      </w:tr>
      <w:tr>
        <w:trPr>
          <w:trHeight w:val="258"/>
        </w:trPr>
        <w:tc>
          <w:tcPr>
            <w:tcW w:w="2600" w:type="dxa"/>
            <w:vAlign w:val="bottom"/>
            <w:gridSpan w:val="4"/>
          </w:tcPr>
          <w:p>
            <w:pPr>
              <w:ind w:left="340"/>
              <w:spacing w:after="0"/>
              <w:rPr>
                <w:sz w:val="20"/>
                <w:szCs w:val="20"/>
                <w:color w:val="auto"/>
              </w:rPr>
            </w:pPr>
            <w:r>
              <w:rPr>
                <w:rFonts w:ascii="Times New Roman" w:cs="Times New Roman" w:eastAsia="Times New Roman" w:hAnsi="Times New Roman"/>
                <w:sz w:val="20"/>
                <w:szCs w:val="20"/>
                <w:color w:val="auto"/>
              </w:rPr>
              <w:t>Title:  Managing Director</w:t>
            </w:r>
          </w:p>
        </w:tc>
        <w:tc>
          <w:tcPr>
            <w:tcW w:w="640" w:type="dxa"/>
            <w:vAlign w:val="bottom"/>
          </w:tcPr>
          <w:p>
            <w:pPr>
              <w:spacing w:after="0"/>
              <w:rPr>
                <w:sz w:val="22"/>
                <w:szCs w:val="22"/>
                <w:color w:val="auto"/>
              </w:rPr>
            </w:pPr>
          </w:p>
        </w:tc>
        <w:tc>
          <w:tcPr>
            <w:tcW w:w="640" w:type="dxa"/>
            <w:vAlign w:val="bottom"/>
          </w:tcPr>
          <w:p>
            <w:pPr>
              <w:spacing w:after="0"/>
              <w:rPr>
                <w:sz w:val="22"/>
                <w:szCs w:val="22"/>
                <w:color w:val="auto"/>
              </w:rPr>
            </w:pPr>
          </w:p>
        </w:tc>
      </w:tr>
    </w:tbl>
    <w:p>
      <w:pPr>
        <w:spacing w:after="0" w:line="200" w:lineRule="exact"/>
        <w:rPr>
          <w:sz w:val="20"/>
          <w:szCs w:val="20"/>
          <w:color w:val="auto"/>
        </w:rPr>
      </w:pPr>
    </w:p>
    <w:p>
      <w:pPr>
        <w:spacing w:after="0" w:line="230"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20"/>
          <w:szCs w:val="20"/>
          <w:color w:val="auto"/>
        </w:rPr>
        <w:t>HPS SPECIALTY LOAN ONTARIO FUND V,</w:t>
      </w:r>
    </w:p>
    <w:p>
      <w:pPr>
        <w:spacing w:after="0" w:line="21"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20"/>
          <w:szCs w:val="20"/>
          <w:color w:val="auto"/>
        </w:rPr>
        <w:t>L.P.,</w:t>
      </w:r>
    </w:p>
    <w:p>
      <w:pPr>
        <w:ind w:left="4420"/>
        <w:spacing w:after="0"/>
        <w:rPr>
          <w:sz w:val="20"/>
          <w:szCs w:val="20"/>
          <w:color w:val="auto"/>
        </w:rPr>
      </w:pPr>
      <w:r>
        <w:rPr>
          <w:rFonts w:ascii="Times New Roman" w:cs="Times New Roman" w:eastAsia="Times New Roman" w:hAnsi="Times New Roman"/>
          <w:sz w:val="20"/>
          <w:szCs w:val="20"/>
          <w:color w:val="auto"/>
        </w:rPr>
        <w:t>as a Lender</w:t>
      </w:r>
    </w:p>
    <w:p>
      <w:pPr>
        <w:ind w:left="4420"/>
        <w:spacing w:after="0"/>
        <w:rPr>
          <w:sz w:val="20"/>
          <w:szCs w:val="20"/>
          <w:color w:val="auto"/>
        </w:rPr>
      </w:pPr>
      <w:r>
        <w:rPr>
          <w:rFonts w:ascii="Times New Roman" w:cs="Times New Roman" w:eastAsia="Times New Roman" w:hAnsi="Times New Roman"/>
          <w:sz w:val="19"/>
          <w:szCs w:val="19"/>
          <w:color w:val="auto"/>
        </w:rPr>
        <w:t>By: HPS Investment Partners, LLC, its Investment</w:t>
      </w:r>
    </w:p>
    <w:p>
      <w:pPr>
        <w:spacing w:after="0" w:line="11"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20"/>
          <w:szCs w:val="20"/>
          <w:color w:val="auto"/>
        </w:rPr>
        <w:t>Manager</w:t>
      </w:r>
    </w:p>
    <w:p>
      <w:pPr>
        <w:spacing w:after="0" w:line="200" w:lineRule="exact"/>
        <w:rPr>
          <w:sz w:val="20"/>
          <w:szCs w:val="20"/>
          <w:color w:val="auto"/>
        </w:rPr>
      </w:pPr>
    </w:p>
    <w:p>
      <w:pPr>
        <w:spacing w:after="0" w:line="218" w:lineRule="exact"/>
        <w:rPr>
          <w:sz w:val="20"/>
          <w:szCs w:val="20"/>
          <w:color w:val="auto"/>
        </w:rPr>
      </w:pPr>
    </w:p>
    <w:tbl>
      <w:tblPr>
        <w:tblLayout w:type="fixed"/>
        <w:tblInd w:w="4420" w:type="dxa"/>
        <w:tblCellMar>
          <w:top w:w="0" w:type="dxa"/>
          <w:left w:w="0" w:type="dxa"/>
          <w:bottom w:w="0" w:type="dxa"/>
          <w:right w:w="0" w:type="dxa"/>
        </w:tblCellMar>
      </w:tblPr>
      <w:tr>
        <w:trPr>
          <w:trHeight w:val="230"/>
        </w:trPr>
        <w:tc>
          <w:tcPr>
            <w:tcW w:w="2600" w:type="dxa"/>
            <w:vAlign w:val="bottom"/>
            <w:gridSpan w:val="4"/>
          </w:tcPr>
          <w:p>
            <w:pPr>
              <w:spacing w:after="0"/>
              <w:rPr>
                <w:sz w:val="20"/>
                <w:szCs w:val="20"/>
                <w:color w:val="auto"/>
              </w:rPr>
            </w:pPr>
            <w:r>
              <w:rPr>
                <w:rFonts w:ascii="Times New Roman" w:cs="Times New Roman" w:eastAsia="Times New Roman" w:hAnsi="Times New Roman"/>
                <w:sz w:val="20"/>
                <w:szCs w:val="20"/>
                <w:color w:val="auto"/>
              </w:rPr>
              <w:t>By: /s/ Daniel Zevnik   ​</w:t>
            </w:r>
          </w:p>
        </w:tc>
        <w:tc>
          <w:tcPr>
            <w:tcW w:w="640" w:type="dxa"/>
            <w:vAlign w:val="bottom"/>
          </w:tcPr>
          <w:p>
            <w:pPr>
              <w:spacing w:after="0"/>
              <w:rPr>
                <w:sz w:val="20"/>
                <w:szCs w:val="20"/>
                <w:color w:val="auto"/>
              </w:rPr>
            </w:pPr>
            <w:r>
              <w:rPr>
                <w:rFonts w:ascii="Times New Roman" w:cs="Times New Roman" w:eastAsia="Times New Roman" w:hAnsi="Times New Roman"/>
                <w:sz w:val="20"/>
                <w:szCs w:val="20"/>
                <w:color w:val="auto"/>
              </w:rPr>
              <w:t>​</w:t>
            </w:r>
          </w:p>
        </w:tc>
        <w:tc>
          <w:tcPr>
            <w:tcW w:w="640" w:type="dxa"/>
            <w:vAlign w:val="bottom"/>
          </w:tcPr>
          <w:p>
            <w:pPr>
              <w:spacing w:after="0"/>
              <w:rPr>
                <w:sz w:val="20"/>
                <w:szCs w:val="20"/>
                <w:color w:val="auto"/>
              </w:rPr>
            </w:pPr>
            <w:r>
              <w:rPr>
                <w:rFonts w:ascii="Times New Roman" w:cs="Times New Roman" w:eastAsia="Times New Roman" w:hAnsi="Times New Roman"/>
                <w:sz w:val="20"/>
                <w:szCs w:val="20"/>
                <w:color w:val="auto"/>
              </w:rPr>
              <w:t>​</w:t>
            </w:r>
          </w:p>
        </w:tc>
      </w:tr>
      <w:tr>
        <w:trPr>
          <w:trHeight w:val="20"/>
        </w:trPr>
        <w:tc>
          <w:tcPr>
            <w:tcW w:w="340" w:type="dxa"/>
            <w:vAlign w:val="bottom"/>
          </w:tcPr>
          <w:p>
            <w:pPr>
              <w:spacing w:after="0" w:line="20" w:lineRule="exact"/>
              <w:rPr>
                <w:sz w:val="1"/>
                <w:szCs w:val="1"/>
                <w:color w:val="auto"/>
              </w:rPr>
            </w:pPr>
          </w:p>
        </w:tc>
        <w:tc>
          <w:tcPr>
            <w:tcW w:w="160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r>
      <w:tr>
        <w:trPr>
          <w:trHeight w:val="227"/>
        </w:trPr>
        <w:tc>
          <w:tcPr>
            <w:tcW w:w="2600" w:type="dxa"/>
            <w:vAlign w:val="bottom"/>
            <w:gridSpan w:val="4"/>
          </w:tcPr>
          <w:p>
            <w:pPr>
              <w:ind w:left="340"/>
              <w:spacing w:after="0" w:line="228" w:lineRule="exact"/>
              <w:rPr>
                <w:sz w:val="20"/>
                <w:szCs w:val="20"/>
                <w:color w:val="auto"/>
              </w:rPr>
            </w:pPr>
            <w:r>
              <w:rPr>
                <w:rFonts w:ascii="Times New Roman" w:cs="Times New Roman" w:eastAsia="Times New Roman" w:hAnsi="Times New Roman"/>
                <w:sz w:val="20"/>
                <w:szCs w:val="20"/>
                <w:color w:val="auto"/>
              </w:rPr>
              <w:t>Name: Daniel Zevnik</w:t>
            </w:r>
          </w:p>
        </w:tc>
        <w:tc>
          <w:tcPr>
            <w:tcW w:w="640" w:type="dxa"/>
            <w:vAlign w:val="bottom"/>
          </w:tcPr>
          <w:p>
            <w:pPr>
              <w:spacing w:after="0"/>
              <w:rPr>
                <w:sz w:val="19"/>
                <w:szCs w:val="19"/>
                <w:color w:val="auto"/>
              </w:rPr>
            </w:pPr>
          </w:p>
        </w:tc>
        <w:tc>
          <w:tcPr>
            <w:tcW w:w="640" w:type="dxa"/>
            <w:vAlign w:val="bottom"/>
          </w:tcPr>
          <w:p>
            <w:pPr>
              <w:spacing w:after="0"/>
              <w:rPr>
                <w:sz w:val="19"/>
                <w:szCs w:val="19"/>
                <w:color w:val="auto"/>
              </w:rPr>
            </w:pPr>
          </w:p>
        </w:tc>
      </w:tr>
      <w:tr>
        <w:trPr>
          <w:trHeight w:val="258"/>
        </w:trPr>
        <w:tc>
          <w:tcPr>
            <w:tcW w:w="2600" w:type="dxa"/>
            <w:vAlign w:val="bottom"/>
            <w:gridSpan w:val="4"/>
          </w:tcPr>
          <w:p>
            <w:pPr>
              <w:ind w:left="340"/>
              <w:spacing w:after="0"/>
              <w:rPr>
                <w:sz w:val="20"/>
                <w:szCs w:val="20"/>
                <w:color w:val="auto"/>
              </w:rPr>
            </w:pPr>
            <w:r>
              <w:rPr>
                <w:rFonts w:ascii="Times New Roman" w:cs="Times New Roman" w:eastAsia="Times New Roman" w:hAnsi="Times New Roman"/>
                <w:sz w:val="20"/>
                <w:szCs w:val="20"/>
                <w:color w:val="auto"/>
              </w:rPr>
              <w:t>Title:  Managing Director</w:t>
            </w:r>
          </w:p>
        </w:tc>
        <w:tc>
          <w:tcPr>
            <w:tcW w:w="640" w:type="dxa"/>
            <w:vAlign w:val="bottom"/>
          </w:tcPr>
          <w:p>
            <w:pPr>
              <w:spacing w:after="0"/>
              <w:rPr>
                <w:sz w:val="22"/>
                <w:szCs w:val="22"/>
                <w:color w:val="auto"/>
              </w:rPr>
            </w:pPr>
          </w:p>
        </w:tc>
        <w:tc>
          <w:tcPr>
            <w:tcW w:w="640" w:type="dxa"/>
            <w:vAlign w:val="bottom"/>
          </w:tcPr>
          <w:p>
            <w:pPr>
              <w:spacing w:after="0"/>
              <w:rPr>
                <w:sz w:val="22"/>
                <w:szCs w:val="22"/>
                <w:color w:val="auto"/>
              </w:rPr>
            </w:pPr>
          </w:p>
        </w:tc>
      </w:tr>
    </w:tbl>
    <w:p>
      <w:pPr>
        <w:spacing w:after="0" w:line="200" w:lineRule="exact"/>
        <w:rPr>
          <w:sz w:val="20"/>
          <w:szCs w:val="20"/>
          <w:color w:val="auto"/>
        </w:rPr>
      </w:pPr>
    </w:p>
    <w:p>
      <w:pPr>
        <w:spacing w:after="0" w:line="230"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20"/>
          <w:szCs w:val="20"/>
          <w:color w:val="auto"/>
        </w:rPr>
        <w:t>HPS SPECIALTY LOAN MASTER FUND</w:t>
      </w:r>
    </w:p>
    <w:p>
      <w:pPr>
        <w:spacing w:after="0" w:line="21"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20"/>
          <w:szCs w:val="20"/>
          <w:color w:val="auto"/>
        </w:rPr>
        <w:t>(EUR) V, L.P.,</w:t>
      </w:r>
    </w:p>
    <w:p>
      <w:pPr>
        <w:ind w:left="4420"/>
        <w:spacing w:after="0"/>
        <w:rPr>
          <w:sz w:val="20"/>
          <w:szCs w:val="20"/>
          <w:color w:val="auto"/>
        </w:rPr>
      </w:pPr>
      <w:r>
        <w:rPr>
          <w:rFonts w:ascii="Times New Roman" w:cs="Times New Roman" w:eastAsia="Times New Roman" w:hAnsi="Times New Roman"/>
          <w:sz w:val="20"/>
          <w:szCs w:val="20"/>
          <w:color w:val="auto"/>
        </w:rPr>
        <w:t>as a Lender</w:t>
      </w:r>
    </w:p>
    <w:p>
      <w:pPr>
        <w:ind w:left="4420"/>
        <w:spacing w:after="0"/>
        <w:rPr>
          <w:sz w:val="20"/>
          <w:szCs w:val="20"/>
          <w:color w:val="auto"/>
        </w:rPr>
      </w:pPr>
      <w:r>
        <w:rPr>
          <w:rFonts w:ascii="Times New Roman" w:cs="Times New Roman" w:eastAsia="Times New Roman" w:hAnsi="Times New Roman"/>
          <w:sz w:val="19"/>
          <w:szCs w:val="19"/>
          <w:color w:val="auto"/>
        </w:rPr>
        <w:t>By: HPS Investment Partners, LLC, its Investment</w:t>
      </w:r>
    </w:p>
    <w:p>
      <w:pPr>
        <w:spacing w:after="0" w:line="11"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20"/>
          <w:szCs w:val="20"/>
          <w:color w:val="auto"/>
        </w:rPr>
        <w:t>Manager</w:t>
      </w:r>
    </w:p>
    <w:p>
      <w:pPr>
        <w:spacing w:after="0" w:line="200" w:lineRule="exact"/>
        <w:rPr>
          <w:sz w:val="20"/>
          <w:szCs w:val="20"/>
          <w:color w:val="auto"/>
        </w:rPr>
      </w:pPr>
    </w:p>
    <w:p>
      <w:pPr>
        <w:spacing w:after="0" w:line="218" w:lineRule="exact"/>
        <w:rPr>
          <w:sz w:val="20"/>
          <w:szCs w:val="20"/>
          <w:color w:val="auto"/>
        </w:rPr>
      </w:pPr>
    </w:p>
    <w:tbl>
      <w:tblPr>
        <w:tblLayout w:type="fixed"/>
        <w:tblInd w:w="4420" w:type="dxa"/>
        <w:tblCellMar>
          <w:top w:w="0" w:type="dxa"/>
          <w:left w:w="0" w:type="dxa"/>
          <w:bottom w:w="0" w:type="dxa"/>
          <w:right w:w="0" w:type="dxa"/>
        </w:tblCellMar>
      </w:tblPr>
      <w:tr>
        <w:trPr>
          <w:trHeight w:val="230"/>
        </w:trPr>
        <w:tc>
          <w:tcPr>
            <w:tcW w:w="2600" w:type="dxa"/>
            <w:vAlign w:val="bottom"/>
            <w:gridSpan w:val="4"/>
          </w:tcPr>
          <w:p>
            <w:pPr>
              <w:spacing w:after="0"/>
              <w:rPr>
                <w:sz w:val="20"/>
                <w:szCs w:val="20"/>
                <w:color w:val="auto"/>
              </w:rPr>
            </w:pPr>
            <w:r>
              <w:rPr>
                <w:rFonts w:ascii="Times New Roman" w:cs="Times New Roman" w:eastAsia="Times New Roman" w:hAnsi="Times New Roman"/>
                <w:sz w:val="20"/>
                <w:szCs w:val="20"/>
                <w:color w:val="auto"/>
              </w:rPr>
              <w:t>By: /s/ Daniel Zevnik   ​</w:t>
            </w:r>
          </w:p>
        </w:tc>
        <w:tc>
          <w:tcPr>
            <w:tcW w:w="640" w:type="dxa"/>
            <w:vAlign w:val="bottom"/>
          </w:tcPr>
          <w:p>
            <w:pPr>
              <w:spacing w:after="0"/>
              <w:rPr>
                <w:sz w:val="20"/>
                <w:szCs w:val="20"/>
                <w:color w:val="auto"/>
              </w:rPr>
            </w:pPr>
            <w:r>
              <w:rPr>
                <w:rFonts w:ascii="Times New Roman" w:cs="Times New Roman" w:eastAsia="Times New Roman" w:hAnsi="Times New Roman"/>
                <w:sz w:val="20"/>
                <w:szCs w:val="20"/>
                <w:color w:val="auto"/>
              </w:rPr>
              <w:t>​</w:t>
            </w:r>
          </w:p>
        </w:tc>
        <w:tc>
          <w:tcPr>
            <w:tcW w:w="640" w:type="dxa"/>
            <w:vAlign w:val="bottom"/>
          </w:tcPr>
          <w:p>
            <w:pPr>
              <w:spacing w:after="0"/>
              <w:rPr>
                <w:sz w:val="20"/>
                <w:szCs w:val="20"/>
                <w:color w:val="auto"/>
              </w:rPr>
            </w:pPr>
            <w:r>
              <w:rPr>
                <w:rFonts w:ascii="Times New Roman" w:cs="Times New Roman" w:eastAsia="Times New Roman" w:hAnsi="Times New Roman"/>
                <w:sz w:val="20"/>
                <w:szCs w:val="20"/>
                <w:color w:val="auto"/>
              </w:rPr>
              <w:t>​</w:t>
            </w:r>
          </w:p>
        </w:tc>
      </w:tr>
      <w:tr>
        <w:trPr>
          <w:trHeight w:val="20"/>
        </w:trPr>
        <w:tc>
          <w:tcPr>
            <w:tcW w:w="340" w:type="dxa"/>
            <w:vAlign w:val="bottom"/>
          </w:tcPr>
          <w:p>
            <w:pPr>
              <w:spacing w:after="0" w:line="20" w:lineRule="exact"/>
              <w:rPr>
                <w:sz w:val="1"/>
                <w:szCs w:val="1"/>
                <w:color w:val="auto"/>
              </w:rPr>
            </w:pPr>
          </w:p>
        </w:tc>
        <w:tc>
          <w:tcPr>
            <w:tcW w:w="160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r>
      <w:tr>
        <w:trPr>
          <w:trHeight w:val="227"/>
        </w:trPr>
        <w:tc>
          <w:tcPr>
            <w:tcW w:w="2600" w:type="dxa"/>
            <w:vAlign w:val="bottom"/>
            <w:gridSpan w:val="4"/>
          </w:tcPr>
          <w:p>
            <w:pPr>
              <w:ind w:left="340"/>
              <w:spacing w:after="0" w:line="228" w:lineRule="exact"/>
              <w:rPr>
                <w:sz w:val="20"/>
                <w:szCs w:val="20"/>
                <w:color w:val="auto"/>
              </w:rPr>
            </w:pPr>
            <w:r>
              <w:rPr>
                <w:rFonts w:ascii="Times New Roman" w:cs="Times New Roman" w:eastAsia="Times New Roman" w:hAnsi="Times New Roman"/>
                <w:sz w:val="20"/>
                <w:szCs w:val="20"/>
                <w:color w:val="auto"/>
              </w:rPr>
              <w:t>Name: Daniel Zevnik</w:t>
            </w:r>
          </w:p>
        </w:tc>
        <w:tc>
          <w:tcPr>
            <w:tcW w:w="640" w:type="dxa"/>
            <w:vAlign w:val="bottom"/>
          </w:tcPr>
          <w:p>
            <w:pPr>
              <w:spacing w:after="0"/>
              <w:rPr>
                <w:sz w:val="19"/>
                <w:szCs w:val="19"/>
                <w:color w:val="auto"/>
              </w:rPr>
            </w:pPr>
          </w:p>
        </w:tc>
        <w:tc>
          <w:tcPr>
            <w:tcW w:w="640" w:type="dxa"/>
            <w:vAlign w:val="bottom"/>
          </w:tcPr>
          <w:p>
            <w:pPr>
              <w:spacing w:after="0"/>
              <w:rPr>
                <w:sz w:val="19"/>
                <w:szCs w:val="19"/>
                <w:color w:val="auto"/>
              </w:rPr>
            </w:pPr>
          </w:p>
        </w:tc>
      </w:tr>
      <w:tr>
        <w:trPr>
          <w:trHeight w:val="258"/>
        </w:trPr>
        <w:tc>
          <w:tcPr>
            <w:tcW w:w="2600" w:type="dxa"/>
            <w:vAlign w:val="bottom"/>
            <w:gridSpan w:val="4"/>
          </w:tcPr>
          <w:p>
            <w:pPr>
              <w:ind w:left="340"/>
              <w:spacing w:after="0"/>
              <w:rPr>
                <w:sz w:val="20"/>
                <w:szCs w:val="20"/>
                <w:color w:val="auto"/>
              </w:rPr>
            </w:pPr>
            <w:r>
              <w:rPr>
                <w:rFonts w:ascii="Times New Roman" w:cs="Times New Roman" w:eastAsia="Times New Roman" w:hAnsi="Times New Roman"/>
                <w:sz w:val="20"/>
                <w:szCs w:val="20"/>
                <w:color w:val="auto"/>
              </w:rPr>
              <w:t>Title:  Managing Director</w:t>
            </w:r>
          </w:p>
        </w:tc>
        <w:tc>
          <w:tcPr>
            <w:tcW w:w="640" w:type="dxa"/>
            <w:vAlign w:val="bottom"/>
          </w:tcPr>
          <w:p>
            <w:pPr>
              <w:spacing w:after="0"/>
              <w:rPr>
                <w:sz w:val="22"/>
                <w:szCs w:val="22"/>
                <w:color w:val="auto"/>
              </w:rPr>
            </w:pPr>
          </w:p>
        </w:tc>
        <w:tc>
          <w:tcPr>
            <w:tcW w:w="640" w:type="dxa"/>
            <w:vAlign w:val="bottom"/>
          </w:tcPr>
          <w:p>
            <w:pPr>
              <w:spacing w:after="0"/>
              <w:rPr>
                <w:sz w:val="22"/>
                <w:szCs w:val="22"/>
                <w:color w:val="auto"/>
              </w:rPr>
            </w:pPr>
          </w:p>
        </w:tc>
      </w:tr>
    </w:tbl>
    <w:p>
      <w:pPr>
        <w:spacing w:after="0" w:line="200" w:lineRule="exact"/>
        <w:rPr>
          <w:sz w:val="20"/>
          <w:szCs w:val="20"/>
          <w:color w:val="auto"/>
        </w:rPr>
      </w:pPr>
    </w:p>
    <w:p>
      <w:pPr>
        <w:spacing w:after="0" w:line="230"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20"/>
          <w:szCs w:val="20"/>
          <w:color w:val="auto"/>
        </w:rPr>
        <w:t>HPS SPECIALTY LOAN FUND VI, SCSP,</w:t>
      </w:r>
    </w:p>
    <w:p>
      <w:pPr>
        <w:spacing w:after="0" w:line="21"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20"/>
          <w:szCs w:val="20"/>
          <w:color w:val="auto"/>
        </w:rPr>
        <w:t>as a Lender</w:t>
      </w:r>
    </w:p>
    <w:p>
      <w:pPr>
        <w:ind w:left="4420"/>
        <w:spacing w:after="0"/>
        <w:rPr>
          <w:sz w:val="20"/>
          <w:szCs w:val="20"/>
          <w:color w:val="auto"/>
        </w:rPr>
      </w:pPr>
      <w:r>
        <w:rPr>
          <w:rFonts w:ascii="Times New Roman" w:cs="Times New Roman" w:eastAsia="Times New Roman" w:hAnsi="Times New Roman"/>
          <w:sz w:val="20"/>
          <w:szCs w:val="20"/>
          <w:color w:val="auto"/>
        </w:rPr>
        <w:t>By: HPS Investment Partners, LLC, its Portfolio</w:t>
      </w:r>
    </w:p>
    <w:p>
      <w:pPr>
        <w:ind w:left="4420"/>
        <w:spacing w:after="0"/>
        <w:rPr>
          <w:sz w:val="20"/>
          <w:szCs w:val="20"/>
          <w:color w:val="auto"/>
        </w:rPr>
      </w:pPr>
      <w:r>
        <w:rPr>
          <w:rFonts w:ascii="Times New Roman" w:cs="Times New Roman" w:eastAsia="Times New Roman" w:hAnsi="Times New Roman"/>
          <w:sz w:val="20"/>
          <w:szCs w:val="20"/>
          <w:color w:val="auto"/>
        </w:rPr>
        <w:t>Manager</w:t>
      </w:r>
    </w:p>
    <w:p>
      <w:pPr>
        <w:spacing w:after="0" w:line="200" w:lineRule="exact"/>
        <w:rPr>
          <w:sz w:val="20"/>
          <w:szCs w:val="20"/>
          <w:color w:val="auto"/>
        </w:rPr>
      </w:pPr>
    </w:p>
    <w:p>
      <w:pPr>
        <w:spacing w:after="0" w:line="218" w:lineRule="exact"/>
        <w:rPr>
          <w:sz w:val="20"/>
          <w:szCs w:val="20"/>
          <w:color w:val="auto"/>
        </w:rPr>
      </w:pPr>
    </w:p>
    <w:tbl>
      <w:tblPr>
        <w:tblLayout w:type="fixed"/>
        <w:tblInd w:w="4420" w:type="dxa"/>
        <w:tblCellMar>
          <w:top w:w="0" w:type="dxa"/>
          <w:left w:w="0" w:type="dxa"/>
          <w:bottom w:w="0" w:type="dxa"/>
          <w:right w:w="0" w:type="dxa"/>
        </w:tblCellMar>
      </w:tblPr>
      <w:tr>
        <w:trPr>
          <w:trHeight w:val="230"/>
        </w:trPr>
        <w:tc>
          <w:tcPr>
            <w:tcW w:w="2600" w:type="dxa"/>
            <w:vAlign w:val="bottom"/>
            <w:gridSpan w:val="4"/>
          </w:tcPr>
          <w:p>
            <w:pPr>
              <w:spacing w:after="0"/>
              <w:rPr>
                <w:sz w:val="20"/>
                <w:szCs w:val="20"/>
                <w:color w:val="auto"/>
              </w:rPr>
            </w:pPr>
            <w:r>
              <w:rPr>
                <w:rFonts w:ascii="Times New Roman" w:cs="Times New Roman" w:eastAsia="Times New Roman" w:hAnsi="Times New Roman"/>
                <w:sz w:val="20"/>
                <w:szCs w:val="20"/>
                <w:color w:val="auto"/>
              </w:rPr>
              <w:t>By: /s/ Daniel Zevnik   ​</w:t>
            </w:r>
          </w:p>
        </w:tc>
        <w:tc>
          <w:tcPr>
            <w:tcW w:w="640" w:type="dxa"/>
            <w:vAlign w:val="bottom"/>
          </w:tcPr>
          <w:p>
            <w:pPr>
              <w:spacing w:after="0"/>
              <w:rPr>
                <w:sz w:val="20"/>
                <w:szCs w:val="20"/>
                <w:color w:val="auto"/>
              </w:rPr>
            </w:pPr>
            <w:r>
              <w:rPr>
                <w:rFonts w:ascii="Times New Roman" w:cs="Times New Roman" w:eastAsia="Times New Roman" w:hAnsi="Times New Roman"/>
                <w:sz w:val="20"/>
                <w:szCs w:val="20"/>
                <w:color w:val="auto"/>
              </w:rPr>
              <w:t>​</w:t>
            </w:r>
          </w:p>
        </w:tc>
        <w:tc>
          <w:tcPr>
            <w:tcW w:w="640" w:type="dxa"/>
            <w:vAlign w:val="bottom"/>
          </w:tcPr>
          <w:p>
            <w:pPr>
              <w:spacing w:after="0"/>
              <w:rPr>
                <w:sz w:val="20"/>
                <w:szCs w:val="20"/>
                <w:color w:val="auto"/>
              </w:rPr>
            </w:pPr>
            <w:r>
              <w:rPr>
                <w:rFonts w:ascii="Times New Roman" w:cs="Times New Roman" w:eastAsia="Times New Roman" w:hAnsi="Times New Roman"/>
                <w:sz w:val="20"/>
                <w:szCs w:val="20"/>
                <w:color w:val="auto"/>
              </w:rPr>
              <w:t>​</w:t>
            </w:r>
          </w:p>
        </w:tc>
      </w:tr>
      <w:tr>
        <w:trPr>
          <w:trHeight w:val="20"/>
        </w:trPr>
        <w:tc>
          <w:tcPr>
            <w:tcW w:w="340" w:type="dxa"/>
            <w:vAlign w:val="bottom"/>
          </w:tcPr>
          <w:p>
            <w:pPr>
              <w:spacing w:after="0" w:line="20" w:lineRule="exact"/>
              <w:rPr>
                <w:sz w:val="1"/>
                <w:szCs w:val="1"/>
                <w:color w:val="auto"/>
              </w:rPr>
            </w:pPr>
          </w:p>
        </w:tc>
        <w:tc>
          <w:tcPr>
            <w:tcW w:w="160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r>
      <w:tr>
        <w:trPr>
          <w:trHeight w:val="227"/>
        </w:trPr>
        <w:tc>
          <w:tcPr>
            <w:tcW w:w="2600" w:type="dxa"/>
            <w:vAlign w:val="bottom"/>
            <w:gridSpan w:val="4"/>
          </w:tcPr>
          <w:p>
            <w:pPr>
              <w:ind w:left="340"/>
              <w:spacing w:after="0" w:line="228" w:lineRule="exact"/>
              <w:rPr>
                <w:sz w:val="20"/>
                <w:szCs w:val="20"/>
                <w:color w:val="auto"/>
              </w:rPr>
            </w:pPr>
            <w:r>
              <w:rPr>
                <w:rFonts w:ascii="Times New Roman" w:cs="Times New Roman" w:eastAsia="Times New Roman" w:hAnsi="Times New Roman"/>
                <w:sz w:val="20"/>
                <w:szCs w:val="20"/>
                <w:color w:val="auto"/>
              </w:rPr>
              <w:t>Name: Daniel Zevnik</w:t>
            </w:r>
          </w:p>
        </w:tc>
        <w:tc>
          <w:tcPr>
            <w:tcW w:w="640" w:type="dxa"/>
            <w:vAlign w:val="bottom"/>
          </w:tcPr>
          <w:p>
            <w:pPr>
              <w:spacing w:after="0"/>
              <w:rPr>
                <w:sz w:val="19"/>
                <w:szCs w:val="19"/>
                <w:color w:val="auto"/>
              </w:rPr>
            </w:pPr>
          </w:p>
        </w:tc>
        <w:tc>
          <w:tcPr>
            <w:tcW w:w="640" w:type="dxa"/>
            <w:vAlign w:val="bottom"/>
          </w:tcPr>
          <w:p>
            <w:pPr>
              <w:spacing w:after="0"/>
              <w:rPr>
                <w:sz w:val="19"/>
                <w:szCs w:val="19"/>
                <w:color w:val="auto"/>
              </w:rPr>
            </w:pPr>
          </w:p>
        </w:tc>
      </w:tr>
      <w:tr>
        <w:trPr>
          <w:trHeight w:val="258"/>
        </w:trPr>
        <w:tc>
          <w:tcPr>
            <w:tcW w:w="2600" w:type="dxa"/>
            <w:vAlign w:val="bottom"/>
            <w:gridSpan w:val="4"/>
          </w:tcPr>
          <w:p>
            <w:pPr>
              <w:ind w:left="340"/>
              <w:spacing w:after="0"/>
              <w:rPr>
                <w:sz w:val="20"/>
                <w:szCs w:val="20"/>
                <w:color w:val="auto"/>
              </w:rPr>
            </w:pPr>
            <w:r>
              <w:rPr>
                <w:rFonts w:ascii="Times New Roman" w:cs="Times New Roman" w:eastAsia="Times New Roman" w:hAnsi="Times New Roman"/>
                <w:sz w:val="20"/>
                <w:szCs w:val="20"/>
                <w:color w:val="auto"/>
              </w:rPr>
              <w:t>Title:  Managing Director</w:t>
            </w:r>
          </w:p>
        </w:tc>
        <w:tc>
          <w:tcPr>
            <w:tcW w:w="640" w:type="dxa"/>
            <w:vAlign w:val="bottom"/>
          </w:tcPr>
          <w:p>
            <w:pPr>
              <w:spacing w:after="0"/>
              <w:rPr>
                <w:sz w:val="22"/>
                <w:szCs w:val="22"/>
                <w:color w:val="auto"/>
              </w:rPr>
            </w:pPr>
          </w:p>
        </w:tc>
        <w:tc>
          <w:tcPr>
            <w:tcW w:w="640" w:type="dxa"/>
            <w:vAlign w:val="bottom"/>
          </w:tcPr>
          <w:p>
            <w:pPr>
              <w:spacing w:after="0"/>
              <w:rPr>
                <w:sz w:val="22"/>
                <w:szCs w:val="22"/>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4"/>
          <w:szCs w:val="14"/>
          <w:color w:val="auto"/>
        </w:rPr>
        <w:t>US-DOCS\171161013.8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339725</wp:posOffset>
            </wp:positionH>
            <wp:positionV relativeFrom="paragraph">
              <wp:posOffset>349250</wp:posOffset>
            </wp:positionV>
            <wp:extent cx="5040630" cy="2603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83">
                      <a:extLst>
                        <a:ext uri="{28A0092B-C50C-407E-A947-70E740481C1C}"/>
                      </a:extLst>
                    </a:blip>
                    <a:srcRect/>
                    <a:stretch>
                      <a:fillRect/>
                    </a:stretch>
                  </pic:blipFill>
                  <pic:spPr bwMode="auto">
                    <a:xfrm>
                      <a:off x="0" y="0"/>
                      <a:ext cx="5040630" cy="26035"/>
                    </a:xfrm>
                    <a:prstGeom prst="rect">
                      <a:avLst/>
                    </a:prstGeom>
                    <a:noFill/>
                  </pic:spPr>
                </pic:pic>
              </a:graphicData>
            </a:graphic>
          </wp:anchor>
        </w:drawing>
      </w:r>
    </w:p>
    <w:p>
      <w:pPr>
        <w:sectPr>
          <w:pgSz w:w="11900" w:h="16838" w:orient="portrait"/>
          <w:cols w:equalWidth="0" w:num="1">
            <w:col w:w="9019"/>
          </w:cols>
          <w:pgMar w:left="1440" w:top="900" w:right="1440" w:bottom="1440" w:gutter="0" w:footer="0" w:header="0"/>
        </w:sectPr>
      </w:pPr>
    </w:p>
    <w:bookmarkStart w:id="63" w:name="page64"/>
    <w:bookmarkEnd w:id="63"/>
    <w:p>
      <w:pPr>
        <w:ind w:left="4420"/>
        <w:spacing w:after="0"/>
        <w:rPr>
          <w:sz w:val="20"/>
          <w:szCs w:val="20"/>
          <w:color w:val="auto"/>
        </w:rPr>
      </w:pPr>
      <w:r>
        <w:rPr>
          <w:rFonts w:ascii="Times New Roman" w:cs="Times New Roman" w:eastAsia="Times New Roman" w:hAnsi="Times New Roman"/>
          <w:sz w:val="20"/>
          <w:szCs w:val="20"/>
          <w:color w:val="auto"/>
        </w:rPr>
        <w:t>SLIF VI HOLDINGS, LLC,</w:t>
      </w:r>
    </w:p>
    <w:p>
      <w:pPr>
        <w:spacing w:after="0" w:line="21"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20"/>
          <w:szCs w:val="20"/>
          <w:color w:val="auto"/>
        </w:rPr>
        <w:t>as a Lender</w:t>
      </w:r>
    </w:p>
    <w:p>
      <w:pPr>
        <w:ind w:left="4420"/>
        <w:spacing w:after="0"/>
        <w:rPr>
          <w:sz w:val="20"/>
          <w:szCs w:val="20"/>
          <w:color w:val="auto"/>
        </w:rPr>
      </w:pPr>
      <w:r>
        <w:rPr>
          <w:rFonts w:ascii="Times New Roman" w:cs="Times New Roman" w:eastAsia="Times New Roman" w:hAnsi="Times New Roman"/>
          <w:sz w:val="19"/>
          <w:szCs w:val="19"/>
          <w:color w:val="auto"/>
        </w:rPr>
        <w:t>By: HPS Investment Partners, LLC, its Investment</w:t>
      </w:r>
    </w:p>
    <w:p>
      <w:pPr>
        <w:spacing w:after="0" w:line="11"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20"/>
          <w:szCs w:val="20"/>
          <w:color w:val="auto"/>
        </w:rPr>
        <w:t>Manager</w:t>
      </w:r>
    </w:p>
    <w:p>
      <w:pPr>
        <w:spacing w:after="0" w:line="200" w:lineRule="exact"/>
        <w:rPr>
          <w:sz w:val="20"/>
          <w:szCs w:val="20"/>
          <w:color w:val="auto"/>
        </w:rPr>
      </w:pPr>
    </w:p>
    <w:p>
      <w:pPr>
        <w:spacing w:after="0" w:line="218" w:lineRule="exact"/>
        <w:rPr>
          <w:sz w:val="20"/>
          <w:szCs w:val="20"/>
          <w:color w:val="auto"/>
        </w:rPr>
      </w:pPr>
    </w:p>
    <w:tbl>
      <w:tblPr>
        <w:tblLayout w:type="fixed"/>
        <w:tblInd w:w="4420" w:type="dxa"/>
        <w:tblCellMar>
          <w:top w:w="0" w:type="dxa"/>
          <w:left w:w="0" w:type="dxa"/>
          <w:bottom w:w="0" w:type="dxa"/>
          <w:right w:w="0" w:type="dxa"/>
        </w:tblCellMar>
      </w:tblPr>
      <w:tr>
        <w:trPr>
          <w:trHeight w:val="230"/>
        </w:trPr>
        <w:tc>
          <w:tcPr>
            <w:tcW w:w="2600" w:type="dxa"/>
            <w:vAlign w:val="bottom"/>
            <w:gridSpan w:val="4"/>
          </w:tcPr>
          <w:p>
            <w:pPr>
              <w:spacing w:after="0"/>
              <w:rPr>
                <w:sz w:val="20"/>
                <w:szCs w:val="20"/>
                <w:color w:val="auto"/>
              </w:rPr>
            </w:pPr>
            <w:r>
              <w:rPr>
                <w:rFonts w:ascii="Times New Roman" w:cs="Times New Roman" w:eastAsia="Times New Roman" w:hAnsi="Times New Roman"/>
                <w:sz w:val="20"/>
                <w:szCs w:val="20"/>
                <w:color w:val="auto"/>
              </w:rPr>
              <w:t>By: /s/ Daniel Zevnik   ​</w:t>
            </w:r>
          </w:p>
        </w:tc>
        <w:tc>
          <w:tcPr>
            <w:tcW w:w="640" w:type="dxa"/>
            <w:vAlign w:val="bottom"/>
          </w:tcPr>
          <w:p>
            <w:pPr>
              <w:spacing w:after="0"/>
              <w:rPr>
                <w:sz w:val="20"/>
                <w:szCs w:val="20"/>
                <w:color w:val="auto"/>
              </w:rPr>
            </w:pPr>
            <w:r>
              <w:rPr>
                <w:rFonts w:ascii="Times New Roman" w:cs="Times New Roman" w:eastAsia="Times New Roman" w:hAnsi="Times New Roman"/>
                <w:sz w:val="20"/>
                <w:szCs w:val="20"/>
                <w:color w:val="auto"/>
              </w:rPr>
              <w:t>​</w:t>
            </w:r>
          </w:p>
        </w:tc>
        <w:tc>
          <w:tcPr>
            <w:tcW w:w="640" w:type="dxa"/>
            <w:vAlign w:val="bottom"/>
          </w:tcPr>
          <w:p>
            <w:pPr>
              <w:spacing w:after="0"/>
              <w:rPr>
                <w:sz w:val="20"/>
                <w:szCs w:val="20"/>
                <w:color w:val="auto"/>
              </w:rPr>
            </w:pPr>
            <w:r>
              <w:rPr>
                <w:rFonts w:ascii="Times New Roman" w:cs="Times New Roman" w:eastAsia="Times New Roman" w:hAnsi="Times New Roman"/>
                <w:sz w:val="20"/>
                <w:szCs w:val="20"/>
                <w:color w:val="auto"/>
              </w:rPr>
              <w:t>​</w:t>
            </w:r>
          </w:p>
        </w:tc>
      </w:tr>
      <w:tr>
        <w:trPr>
          <w:trHeight w:val="20"/>
        </w:trPr>
        <w:tc>
          <w:tcPr>
            <w:tcW w:w="340" w:type="dxa"/>
            <w:vAlign w:val="bottom"/>
          </w:tcPr>
          <w:p>
            <w:pPr>
              <w:spacing w:after="0" w:line="20" w:lineRule="exact"/>
              <w:rPr>
                <w:sz w:val="1"/>
                <w:szCs w:val="1"/>
                <w:color w:val="auto"/>
              </w:rPr>
            </w:pPr>
          </w:p>
        </w:tc>
        <w:tc>
          <w:tcPr>
            <w:tcW w:w="160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r>
      <w:tr>
        <w:trPr>
          <w:trHeight w:val="227"/>
        </w:trPr>
        <w:tc>
          <w:tcPr>
            <w:tcW w:w="2600" w:type="dxa"/>
            <w:vAlign w:val="bottom"/>
            <w:gridSpan w:val="4"/>
          </w:tcPr>
          <w:p>
            <w:pPr>
              <w:ind w:left="340"/>
              <w:spacing w:after="0" w:line="228" w:lineRule="exact"/>
              <w:rPr>
                <w:sz w:val="20"/>
                <w:szCs w:val="20"/>
                <w:color w:val="auto"/>
              </w:rPr>
            </w:pPr>
            <w:r>
              <w:rPr>
                <w:rFonts w:ascii="Times New Roman" w:cs="Times New Roman" w:eastAsia="Times New Roman" w:hAnsi="Times New Roman"/>
                <w:sz w:val="20"/>
                <w:szCs w:val="20"/>
                <w:color w:val="auto"/>
              </w:rPr>
              <w:t>Name: Daniel Zevnik</w:t>
            </w:r>
          </w:p>
        </w:tc>
        <w:tc>
          <w:tcPr>
            <w:tcW w:w="640" w:type="dxa"/>
            <w:vAlign w:val="bottom"/>
          </w:tcPr>
          <w:p>
            <w:pPr>
              <w:spacing w:after="0"/>
              <w:rPr>
                <w:sz w:val="19"/>
                <w:szCs w:val="19"/>
                <w:color w:val="auto"/>
              </w:rPr>
            </w:pPr>
          </w:p>
        </w:tc>
        <w:tc>
          <w:tcPr>
            <w:tcW w:w="640" w:type="dxa"/>
            <w:vAlign w:val="bottom"/>
          </w:tcPr>
          <w:p>
            <w:pPr>
              <w:spacing w:after="0"/>
              <w:rPr>
                <w:sz w:val="19"/>
                <w:szCs w:val="19"/>
                <w:color w:val="auto"/>
              </w:rPr>
            </w:pPr>
          </w:p>
        </w:tc>
      </w:tr>
      <w:tr>
        <w:trPr>
          <w:trHeight w:val="258"/>
        </w:trPr>
        <w:tc>
          <w:tcPr>
            <w:tcW w:w="2600" w:type="dxa"/>
            <w:vAlign w:val="bottom"/>
            <w:gridSpan w:val="4"/>
          </w:tcPr>
          <w:p>
            <w:pPr>
              <w:ind w:left="340"/>
              <w:spacing w:after="0"/>
              <w:rPr>
                <w:sz w:val="20"/>
                <w:szCs w:val="20"/>
                <w:color w:val="auto"/>
              </w:rPr>
            </w:pPr>
            <w:r>
              <w:rPr>
                <w:rFonts w:ascii="Times New Roman" w:cs="Times New Roman" w:eastAsia="Times New Roman" w:hAnsi="Times New Roman"/>
                <w:sz w:val="20"/>
                <w:szCs w:val="20"/>
                <w:color w:val="auto"/>
              </w:rPr>
              <w:t>Title:  Managing Director</w:t>
            </w:r>
          </w:p>
        </w:tc>
        <w:tc>
          <w:tcPr>
            <w:tcW w:w="640" w:type="dxa"/>
            <w:vAlign w:val="bottom"/>
          </w:tcPr>
          <w:p>
            <w:pPr>
              <w:spacing w:after="0"/>
              <w:rPr>
                <w:sz w:val="22"/>
                <w:szCs w:val="22"/>
                <w:color w:val="auto"/>
              </w:rPr>
            </w:pPr>
          </w:p>
        </w:tc>
        <w:tc>
          <w:tcPr>
            <w:tcW w:w="640" w:type="dxa"/>
            <w:vAlign w:val="bottom"/>
          </w:tcPr>
          <w:p>
            <w:pPr>
              <w:spacing w:after="0"/>
              <w:rPr>
                <w:sz w:val="22"/>
                <w:szCs w:val="22"/>
                <w:color w:val="auto"/>
              </w:rPr>
            </w:pPr>
          </w:p>
        </w:tc>
      </w:tr>
    </w:tbl>
    <w:p>
      <w:pPr>
        <w:spacing w:after="0" w:line="200" w:lineRule="exact"/>
        <w:rPr>
          <w:sz w:val="20"/>
          <w:szCs w:val="20"/>
          <w:color w:val="auto"/>
        </w:rPr>
      </w:pPr>
    </w:p>
    <w:p>
      <w:pPr>
        <w:spacing w:after="0" w:line="230"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20"/>
          <w:szCs w:val="20"/>
          <w:color w:val="auto"/>
        </w:rPr>
        <w:t>HPS SPECIALTY LOAN FUND VI-L, SCSP.,</w:t>
      </w:r>
    </w:p>
    <w:p>
      <w:pPr>
        <w:spacing w:after="0" w:line="21"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20"/>
          <w:szCs w:val="20"/>
          <w:color w:val="auto"/>
        </w:rPr>
        <w:t>as a Lender</w:t>
      </w:r>
    </w:p>
    <w:p>
      <w:pPr>
        <w:ind w:left="4420"/>
        <w:spacing w:after="0"/>
        <w:rPr>
          <w:sz w:val="20"/>
          <w:szCs w:val="20"/>
          <w:color w:val="auto"/>
        </w:rPr>
      </w:pPr>
      <w:r>
        <w:rPr>
          <w:rFonts w:ascii="Times New Roman" w:cs="Times New Roman" w:eastAsia="Times New Roman" w:hAnsi="Times New Roman"/>
          <w:sz w:val="20"/>
          <w:szCs w:val="20"/>
          <w:color w:val="auto"/>
        </w:rPr>
        <w:t>By: HPS Investment Partners, LLC, its Portfolio</w:t>
      </w:r>
    </w:p>
    <w:p>
      <w:pPr>
        <w:ind w:left="4420"/>
        <w:spacing w:after="0"/>
        <w:rPr>
          <w:sz w:val="20"/>
          <w:szCs w:val="20"/>
          <w:color w:val="auto"/>
        </w:rPr>
      </w:pPr>
      <w:r>
        <w:rPr>
          <w:rFonts w:ascii="Times New Roman" w:cs="Times New Roman" w:eastAsia="Times New Roman" w:hAnsi="Times New Roman"/>
          <w:sz w:val="20"/>
          <w:szCs w:val="20"/>
          <w:color w:val="auto"/>
        </w:rPr>
        <w:t>Manager</w:t>
      </w:r>
    </w:p>
    <w:p>
      <w:pPr>
        <w:spacing w:after="0" w:line="200" w:lineRule="exact"/>
        <w:rPr>
          <w:sz w:val="20"/>
          <w:szCs w:val="20"/>
          <w:color w:val="auto"/>
        </w:rPr>
      </w:pPr>
    </w:p>
    <w:p>
      <w:pPr>
        <w:spacing w:after="0" w:line="218" w:lineRule="exact"/>
        <w:rPr>
          <w:sz w:val="20"/>
          <w:szCs w:val="20"/>
          <w:color w:val="auto"/>
        </w:rPr>
      </w:pPr>
    </w:p>
    <w:tbl>
      <w:tblPr>
        <w:tblLayout w:type="fixed"/>
        <w:tblInd w:w="4420" w:type="dxa"/>
        <w:tblCellMar>
          <w:top w:w="0" w:type="dxa"/>
          <w:left w:w="0" w:type="dxa"/>
          <w:bottom w:w="0" w:type="dxa"/>
          <w:right w:w="0" w:type="dxa"/>
        </w:tblCellMar>
      </w:tblPr>
      <w:tr>
        <w:trPr>
          <w:trHeight w:val="230"/>
        </w:trPr>
        <w:tc>
          <w:tcPr>
            <w:tcW w:w="2600" w:type="dxa"/>
            <w:vAlign w:val="bottom"/>
            <w:gridSpan w:val="4"/>
          </w:tcPr>
          <w:p>
            <w:pPr>
              <w:spacing w:after="0"/>
              <w:rPr>
                <w:sz w:val="20"/>
                <w:szCs w:val="20"/>
                <w:color w:val="auto"/>
              </w:rPr>
            </w:pPr>
            <w:r>
              <w:rPr>
                <w:rFonts w:ascii="Times New Roman" w:cs="Times New Roman" w:eastAsia="Times New Roman" w:hAnsi="Times New Roman"/>
                <w:sz w:val="20"/>
                <w:szCs w:val="20"/>
                <w:color w:val="auto"/>
              </w:rPr>
              <w:t>By: /s/ Daniel Zevnik   ​</w:t>
            </w:r>
          </w:p>
        </w:tc>
        <w:tc>
          <w:tcPr>
            <w:tcW w:w="640" w:type="dxa"/>
            <w:vAlign w:val="bottom"/>
          </w:tcPr>
          <w:p>
            <w:pPr>
              <w:spacing w:after="0"/>
              <w:rPr>
                <w:sz w:val="20"/>
                <w:szCs w:val="20"/>
                <w:color w:val="auto"/>
              </w:rPr>
            </w:pPr>
            <w:r>
              <w:rPr>
                <w:rFonts w:ascii="Times New Roman" w:cs="Times New Roman" w:eastAsia="Times New Roman" w:hAnsi="Times New Roman"/>
                <w:sz w:val="20"/>
                <w:szCs w:val="20"/>
                <w:color w:val="auto"/>
              </w:rPr>
              <w:t>​</w:t>
            </w:r>
          </w:p>
        </w:tc>
        <w:tc>
          <w:tcPr>
            <w:tcW w:w="640" w:type="dxa"/>
            <w:vAlign w:val="bottom"/>
          </w:tcPr>
          <w:p>
            <w:pPr>
              <w:spacing w:after="0"/>
              <w:rPr>
                <w:sz w:val="20"/>
                <w:szCs w:val="20"/>
                <w:color w:val="auto"/>
              </w:rPr>
            </w:pPr>
            <w:r>
              <w:rPr>
                <w:rFonts w:ascii="Times New Roman" w:cs="Times New Roman" w:eastAsia="Times New Roman" w:hAnsi="Times New Roman"/>
                <w:sz w:val="20"/>
                <w:szCs w:val="20"/>
                <w:color w:val="auto"/>
              </w:rPr>
              <w:t>​</w:t>
            </w:r>
          </w:p>
        </w:tc>
      </w:tr>
      <w:tr>
        <w:trPr>
          <w:trHeight w:val="20"/>
        </w:trPr>
        <w:tc>
          <w:tcPr>
            <w:tcW w:w="340" w:type="dxa"/>
            <w:vAlign w:val="bottom"/>
          </w:tcPr>
          <w:p>
            <w:pPr>
              <w:spacing w:after="0" w:line="20" w:lineRule="exact"/>
              <w:rPr>
                <w:sz w:val="1"/>
                <w:szCs w:val="1"/>
                <w:color w:val="auto"/>
              </w:rPr>
            </w:pPr>
          </w:p>
        </w:tc>
        <w:tc>
          <w:tcPr>
            <w:tcW w:w="160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r>
      <w:tr>
        <w:trPr>
          <w:trHeight w:val="227"/>
        </w:trPr>
        <w:tc>
          <w:tcPr>
            <w:tcW w:w="2600" w:type="dxa"/>
            <w:vAlign w:val="bottom"/>
            <w:gridSpan w:val="4"/>
          </w:tcPr>
          <w:p>
            <w:pPr>
              <w:ind w:left="340"/>
              <w:spacing w:after="0" w:line="228" w:lineRule="exact"/>
              <w:rPr>
                <w:sz w:val="20"/>
                <w:szCs w:val="20"/>
                <w:color w:val="auto"/>
              </w:rPr>
            </w:pPr>
            <w:r>
              <w:rPr>
                <w:rFonts w:ascii="Times New Roman" w:cs="Times New Roman" w:eastAsia="Times New Roman" w:hAnsi="Times New Roman"/>
                <w:sz w:val="20"/>
                <w:szCs w:val="20"/>
                <w:color w:val="auto"/>
              </w:rPr>
              <w:t>Name: Daniel Zevnik</w:t>
            </w:r>
          </w:p>
        </w:tc>
        <w:tc>
          <w:tcPr>
            <w:tcW w:w="640" w:type="dxa"/>
            <w:vAlign w:val="bottom"/>
          </w:tcPr>
          <w:p>
            <w:pPr>
              <w:spacing w:after="0"/>
              <w:rPr>
                <w:sz w:val="19"/>
                <w:szCs w:val="19"/>
                <w:color w:val="auto"/>
              </w:rPr>
            </w:pPr>
          </w:p>
        </w:tc>
        <w:tc>
          <w:tcPr>
            <w:tcW w:w="640" w:type="dxa"/>
            <w:vAlign w:val="bottom"/>
          </w:tcPr>
          <w:p>
            <w:pPr>
              <w:spacing w:after="0"/>
              <w:rPr>
                <w:sz w:val="19"/>
                <w:szCs w:val="19"/>
                <w:color w:val="auto"/>
              </w:rPr>
            </w:pPr>
          </w:p>
        </w:tc>
      </w:tr>
      <w:tr>
        <w:trPr>
          <w:trHeight w:val="258"/>
        </w:trPr>
        <w:tc>
          <w:tcPr>
            <w:tcW w:w="2600" w:type="dxa"/>
            <w:vAlign w:val="bottom"/>
            <w:gridSpan w:val="4"/>
          </w:tcPr>
          <w:p>
            <w:pPr>
              <w:ind w:left="340"/>
              <w:spacing w:after="0"/>
              <w:rPr>
                <w:sz w:val="20"/>
                <w:szCs w:val="20"/>
                <w:color w:val="auto"/>
              </w:rPr>
            </w:pPr>
            <w:r>
              <w:rPr>
                <w:rFonts w:ascii="Times New Roman" w:cs="Times New Roman" w:eastAsia="Times New Roman" w:hAnsi="Times New Roman"/>
                <w:sz w:val="20"/>
                <w:szCs w:val="20"/>
                <w:color w:val="auto"/>
              </w:rPr>
              <w:t>Title:  Managing Director</w:t>
            </w:r>
          </w:p>
        </w:tc>
        <w:tc>
          <w:tcPr>
            <w:tcW w:w="640" w:type="dxa"/>
            <w:vAlign w:val="bottom"/>
          </w:tcPr>
          <w:p>
            <w:pPr>
              <w:spacing w:after="0"/>
              <w:rPr>
                <w:sz w:val="22"/>
                <w:szCs w:val="22"/>
                <w:color w:val="auto"/>
              </w:rPr>
            </w:pPr>
          </w:p>
        </w:tc>
        <w:tc>
          <w:tcPr>
            <w:tcW w:w="640" w:type="dxa"/>
            <w:vAlign w:val="bottom"/>
          </w:tcPr>
          <w:p>
            <w:pPr>
              <w:spacing w:after="0"/>
              <w:rPr>
                <w:sz w:val="22"/>
                <w:szCs w:val="22"/>
                <w:color w:val="auto"/>
              </w:rPr>
            </w:pPr>
          </w:p>
        </w:tc>
      </w:tr>
    </w:tbl>
    <w:p>
      <w:pPr>
        <w:spacing w:after="0" w:line="200" w:lineRule="exact"/>
        <w:rPr>
          <w:sz w:val="20"/>
          <w:szCs w:val="20"/>
          <w:color w:val="auto"/>
        </w:rPr>
      </w:pPr>
    </w:p>
    <w:p>
      <w:pPr>
        <w:spacing w:after="0" w:line="230"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20"/>
          <w:szCs w:val="20"/>
          <w:color w:val="auto"/>
        </w:rPr>
        <w:t>SLIF VI-L HOLDINGS, LLC,</w:t>
      </w:r>
    </w:p>
    <w:p>
      <w:pPr>
        <w:spacing w:after="0" w:line="21"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20"/>
          <w:szCs w:val="20"/>
          <w:color w:val="auto"/>
        </w:rPr>
        <w:t>as a Lender</w:t>
      </w:r>
    </w:p>
    <w:p>
      <w:pPr>
        <w:ind w:left="4420"/>
        <w:spacing w:after="0"/>
        <w:rPr>
          <w:sz w:val="20"/>
          <w:szCs w:val="20"/>
          <w:color w:val="auto"/>
        </w:rPr>
      </w:pPr>
      <w:r>
        <w:rPr>
          <w:rFonts w:ascii="Times New Roman" w:cs="Times New Roman" w:eastAsia="Times New Roman" w:hAnsi="Times New Roman"/>
          <w:sz w:val="19"/>
          <w:szCs w:val="19"/>
          <w:color w:val="auto"/>
        </w:rPr>
        <w:t>By: HPS Investment Partners, LLC, its Investment</w:t>
      </w:r>
    </w:p>
    <w:p>
      <w:pPr>
        <w:spacing w:after="0" w:line="11"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20"/>
          <w:szCs w:val="20"/>
          <w:color w:val="auto"/>
        </w:rPr>
        <w:t>Manager</w:t>
      </w:r>
    </w:p>
    <w:p>
      <w:pPr>
        <w:spacing w:after="0" w:line="200" w:lineRule="exact"/>
        <w:rPr>
          <w:sz w:val="20"/>
          <w:szCs w:val="20"/>
          <w:color w:val="auto"/>
        </w:rPr>
      </w:pPr>
    </w:p>
    <w:p>
      <w:pPr>
        <w:spacing w:after="0" w:line="218" w:lineRule="exact"/>
        <w:rPr>
          <w:sz w:val="20"/>
          <w:szCs w:val="20"/>
          <w:color w:val="auto"/>
        </w:rPr>
      </w:pPr>
    </w:p>
    <w:tbl>
      <w:tblPr>
        <w:tblLayout w:type="fixed"/>
        <w:tblInd w:w="4420" w:type="dxa"/>
        <w:tblCellMar>
          <w:top w:w="0" w:type="dxa"/>
          <w:left w:w="0" w:type="dxa"/>
          <w:bottom w:w="0" w:type="dxa"/>
          <w:right w:w="0" w:type="dxa"/>
        </w:tblCellMar>
      </w:tblPr>
      <w:tr>
        <w:trPr>
          <w:trHeight w:val="230"/>
        </w:trPr>
        <w:tc>
          <w:tcPr>
            <w:tcW w:w="2600" w:type="dxa"/>
            <w:vAlign w:val="bottom"/>
            <w:gridSpan w:val="4"/>
          </w:tcPr>
          <w:p>
            <w:pPr>
              <w:spacing w:after="0"/>
              <w:rPr>
                <w:sz w:val="20"/>
                <w:szCs w:val="20"/>
                <w:color w:val="auto"/>
              </w:rPr>
            </w:pPr>
            <w:r>
              <w:rPr>
                <w:rFonts w:ascii="Times New Roman" w:cs="Times New Roman" w:eastAsia="Times New Roman" w:hAnsi="Times New Roman"/>
                <w:sz w:val="20"/>
                <w:szCs w:val="20"/>
                <w:color w:val="auto"/>
              </w:rPr>
              <w:t>By: /s/ Daniel Zevnik   ​</w:t>
            </w:r>
          </w:p>
        </w:tc>
        <w:tc>
          <w:tcPr>
            <w:tcW w:w="640" w:type="dxa"/>
            <w:vAlign w:val="bottom"/>
          </w:tcPr>
          <w:p>
            <w:pPr>
              <w:spacing w:after="0"/>
              <w:rPr>
                <w:sz w:val="20"/>
                <w:szCs w:val="20"/>
                <w:color w:val="auto"/>
              </w:rPr>
            </w:pPr>
            <w:r>
              <w:rPr>
                <w:rFonts w:ascii="Times New Roman" w:cs="Times New Roman" w:eastAsia="Times New Roman" w:hAnsi="Times New Roman"/>
                <w:sz w:val="20"/>
                <w:szCs w:val="20"/>
                <w:color w:val="auto"/>
              </w:rPr>
              <w:t>​</w:t>
            </w:r>
          </w:p>
        </w:tc>
        <w:tc>
          <w:tcPr>
            <w:tcW w:w="640" w:type="dxa"/>
            <w:vAlign w:val="bottom"/>
          </w:tcPr>
          <w:p>
            <w:pPr>
              <w:spacing w:after="0"/>
              <w:rPr>
                <w:sz w:val="20"/>
                <w:szCs w:val="20"/>
                <w:color w:val="auto"/>
              </w:rPr>
            </w:pPr>
            <w:r>
              <w:rPr>
                <w:rFonts w:ascii="Times New Roman" w:cs="Times New Roman" w:eastAsia="Times New Roman" w:hAnsi="Times New Roman"/>
                <w:sz w:val="20"/>
                <w:szCs w:val="20"/>
                <w:color w:val="auto"/>
              </w:rPr>
              <w:t>​</w:t>
            </w:r>
          </w:p>
        </w:tc>
      </w:tr>
      <w:tr>
        <w:trPr>
          <w:trHeight w:val="20"/>
        </w:trPr>
        <w:tc>
          <w:tcPr>
            <w:tcW w:w="340" w:type="dxa"/>
            <w:vAlign w:val="bottom"/>
          </w:tcPr>
          <w:p>
            <w:pPr>
              <w:spacing w:after="0" w:line="20" w:lineRule="exact"/>
              <w:rPr>
                <w:sz w:val="1"/>
                <w:szCs w:val="1"/>
                <w:color w:val="auto"/>
              </w:rPr>
            </w:pPr>
          </w:p>
        </w:tc>
        <w:tc>
          <w:tcPr>
            <w:tcW w:w="160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r>
      <w:tr>
        <w:trPr>
          <w:trHeight w:val="227"/>
        </w:trPr>
        <w:tc>
          <w:tcPr>
            <w:tcW w:w="2600" w:type="dxa"/>
            <w:vAlign w:val="bottom"/>
            <w:gridSpan w:val="4"/>
          </w:tcPr>
          <w:p>
            <w:pPr>
              <w:ind w:left="340"/>
              <w:spacing w:after="0" w:line="228" w:lineRule="exact"/>
              <w:rPr>
                <w:sz w:val="20"/>
                <w:szCs w:val="20"/>
                <w:color w:val="auto"/>
              </w:rPr>
            </w:pPr>
            <w:r>
              <w:rPr>
                <w:rFonts w:ascii="Times New Roman" w:cs="Times New Roman" w:eastAsia="Times New Roman" w:hAnsi="Times New Roman"/>
                <w:sz w:val="20"/>
                <w:szCs w:val="20"/>
                <w:color w:val="auto"/>
              </w:rPr>
              <w:t>Name: Daniel Zevnik</w:t>
            </w:r>
          </w:p>
        </w:tc>
        <w:tc>
          <w:tcPr>
            <w:tcW w:w="640" w:type="dxa"/>
            <w:vAlign w:val="bottom"/>
          </w:tcPr>
          <w:p>
            <w:pPr>
              <w:spacing w:after="0"/>
              <w:rPr>
                <w:sz w:val="19"/>
                <w:szCs w:val="19"/>
                <w:color w:val="auto"/>
              </w:rPr>
            </w:pPr>
          </w:p>
        </w:tc>
        <w:tc>
          <w:tcPr>
            <w:tcW w:w="640" w:type="dxa"/>
            <w:vAlign w:val="bottom"/>
          </w:tcPr>
          <w:p>
            <w:pPr>
              <w:spacing w:after="0"/>
              <w:rPr>
                <w:sz w:val="19"/>
                <w:szCs w:val="19"/>
                <w:color w:val="auto"/>
              </w:rPr>
            </w:pPr>
          </w:p>
        </w:tc>
      </w:tr>
      <w:tr>
        <w:trPr>
          <w:trHeight w:val="258"/>
        </w:trPr>
        <w:tc>
          <w:tcPr>
            <w:tcW w:w="2600" w:type="dxa"/>
            <w:vAlign w:val="bottom"/>
            <w:gridSpan w:val="4"/>
          </w:tcPr>
          <w:p>
            <w:pPr>
              <w:ind w:left="340"/>
              <w:spacing w:after="0"/>
              <w:rPr>
                <w:sz w:val="20"/>
                <w:szCs w:val="20"/>
                <w:color w:val="auto"/>
              </w:rPr>
            </w:pPr>
            <w:r>
              <w:rPr>
                <w:rFonts w:ascii="Times New Roman" w:cs="Times New Roman" w:eastAsia="Times New Roman" w:hAnsi="Times New Roman"/>
                <w:sz w:val="20"/>
                <w:szCs w:val="20"/>
                <w:color w:val="auto"/>
              </w:rPr>
              <w:t>Title:  Managing Director</w:t>
            </w:r>
          </w:p>
        </w:tc>
        <w:tc>
          <w:tcPr>
            <w:tcW w:w="640" w:type="dxa"/>
            <w:vAlign w:val="bottom"/>
          </w:tcPr>
          <w:p>
            <w:pPr>
              <w:spacing w:after="0"/>
              <w:rPr>
                <w:sz w:val="22"/>
                <w:szCs w:val="22"/>
                <w:color w:val="auto"/>
              </w:rPr>
            </w:pPr>
          </w:p>
        </w:tc>
        <w:tc>
          <w:tcPr>
            <w:tcW w:w="640" w:type="dxa"/>
            <w:vAlign w:val="bottom"/>
          </w:tcPr>
          <w:p>
            <w:pPr>
              <w:spacing w:after="0"/>
              <w:rPr>
                <w:sz w:val="22"/>
                <w:szCs w:val="22"/>
                <w:color w:val="auto"/>
              </w:rPr>
            </w:pPr>
          </w:p>
        </w:tc>
      </w:tr>
    </w:tbl>
    <w:p>
      <w:pPr>
        <w:spacing w:after="0" w:line="200" w:lineRule="exact"/>
        <w:rPr>
          <w:sz w:val="20"/>
          <w:szCs w:val="20"/>
          <w:color w:val="auto"/>
        </w:rPr>
      </w:pPr>
    </w:p>
    <w:p>
      <w:pPr>
        <w:spacing w:after="0" w:line="230"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20"/>
          <w:szCs w:val="20"/>
          <w:color w:val="auto"/>
        </w:rPr>
        <w:t>CST SPECIALTY LOAN FUND, L.P.,</w:t>
      </w:r>
    </w:p>
    <w:p>
      <w:pPr>
        <w:spacing w:after="0" w:line="21"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20"/>
          <w:szCs w:val="20"/>
          <w:color w:val="auto"/>
        </w:rPr>
        <w:t>as a Lender</w:t>
      </w:r>
    </w:p>
    <w:p>
      <w:pPr>
        <w:ind w:left="4420"/>
        <w:spacing w:after="0"/>
        <w:rPr>
          <w:sz w:val="20"/>
          <w:szCs w:val="20"/>
          <w:color w:val="auto"/>
        </w:rPr>
      </w:pPr>
      <w:r>
        <w:rPr>
          <w:rFonts w:ascii="Times New Roman" w:cs="Times New Roman" w:eastAsia="Times New Roman" w:hAnsi="Times New Roman"/>
          <w:sz w:val="19"/>
          <w:szCs w:val="19"/>
          <w:color w:val="auto"/>
        </w:rPr>
        <w:t>By: HPS Investment Partners, LLC, its Investment</w:t>
      </w:r>
    </w:p>
    <w:p>
      <w:pPr>
        <w:spacing w:after="0" w:line="11"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20"/>
          <w:szCs w:val="20"/>
          <w:color w:val="auto"/>
        </w:rPr>
        <w:t>Manager</w:t>
      </w:r>
    </w:p>
    <w:p>
      <w:pPr>
        <w:spacing w:after="0" w:line="200" w:lineRule="exact"/>
        <w:rPr>
          <w:sz w:val="20"/>
          <w:szCs w:val="20"/>
          <w:color w:val="auto"/>
        </w:rPr>
      </w:pPr>
    </w:p>
    <w:p>
      <w:pPr>
        <w:spacing w:after="0" w:line="218" w:lineRule="exact"/>
        <w:rPr>
          <w:sz w:val="20"/>
          <w:szCs w:val="20"/>
          <w:color w:val="auto"/>
        </w:rPr>
      </w:pPr>
    </w:p>
    <w:tbl>
      <w:tblPr>
        <w:tblLayout w:type="fixed"/>
        <w:tblInd w:w="4420" w:type="dxa"/>
        <w:tblCellMar>
          <w:top w:w="0" w:type="dxa"/>
          <w:left w:w="0" w:type="dxa"/>
          <w:bottom w:w="0" w:type="dxa"/>
          <w:right w:w="0" w:type="dxa"/>
        </w:tblCellMar>
      </w:tblPr>
      <w:tr>
        <w:trPr>
          <w:trHeight w:val="230"/>
        </w:trPr>
        <w:tc>
          <w:tcPr>
            <w:tcW w:w="2600" w:type="dxa"/>
            <w:vAlign w:val="bottom"/>
            <w:gridSpan w:val="4"/>
          </w:tcPr>
          <w:p>
            <w:pPr>
              <w:spacing w:after="0"/>
              <w:rPr>
                <w:sz w:val="20"/>
                <w:szCs w:val="20"/>
                <w:color w:val="auto"/>
              </w:rPr>
            </w:pPr>
            <w:r>
              <w:rPr>
                <w:rFonts w:ascii="Times New Roman" w:cs="Times New Roman" w:eastAsia="Times New Roman" w:hAnsi="Times New Roman"/>
                <w:sz w:val="20"/>
                <w:szCs w:val="20"/>
                <w:color w:val="auto"/>
              </w:rPr>
              <w:t>By: /s/ Daniel Zevnik   ​</w:t>
            </w:r>
          </w:p>
        </w:tc>
        <w:tc>
          <w:tcPr>
            <w:tcW w:w="640" w:type="dxa"/>
            <w:vAlign w:val="bottom"/>
          </w:tcPr>
          <w:p>
            <w:pPr>
              <w:spacing w:after="0"/>
              <w:rPr>
                <w:sz w:val="20"/>
                <w:szCs w:val="20"/>
                <w:color w:val="auto"/>
              </w:rPr>
            </w:pPr>
            <w:r>
              <w:rPr>
                <w:rFonts w:ascii="Times New Roman" w:cs="Times New Roman" w:eastAsia="Times New Roman" w:hAnsi="Times New Roman"/>
                <w:sz w:val="20"/>
                <w:szCs w:val="20"/>
                <w:color w:val="auto"/>
              </w:rPr>
              <w:t>​</w:t>
            </w:r>
          </w:p>
        </w:tc>
        <w:tc>
          <w:tcPr>
            <w:tcW w:w="640" w:type="dxa"/>
            <w:vAlign w:val="bottom"/>
          </w:tcPr>
          <w:p>
            <w:pPr>
              <w:spacing w:after="0"/>
              <w:rPr>
                <w:sz w:val="20"/>
                <w:szCs w:val="20"/>
                <w:color w:val="auto"/>
              </w:rPr>
            </w:pPr>
            <w:r>
              <w:rPr>
                <w:rFonts w:ascii="Times New Roman" w:cs="Times New Roman" w:eastAsia="Times New Roman" w:hAnsi="Times New Roman"/>
                <w:sz w:val="20"/>
                <w:szCs w:val="20"/>
                <w:color w:val="auto"/>
              </w:rPr>
              <w:t>​</w:t>
            </w:r>
          </w:p>
        </w:tc>
      </w:tr>
      <w:tr>
        <w:trPr>
          <w:trHeight w:val="20"/>
        </w:trPr>
        <w:tc>
          <w:tcPr>
            <w:tcW w:w="340" w:type="dxa"/>
            <w:vAlign w:val="bottom"/>
          </w:tcPr>
          <w:p>
            <w:pPr>
              <w:spacing w:after="0" w:line="20" w:lineRule="exact"/>
              <w:rPr>
                <w:sz w:val="1"/>
                <w:szCs w:val="1"/>
                <w:color w:val="auto"/>
              </w:rPr>
            </w:pPr>
          </w:p>
        </w:tc>
        <w:tc>
          <w:tcPr>
            <w:tcW w:w="160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r>
      <w:tr>
        <w:trPr>
          <w:trHeight w:val="227"/>
        </w:trPr>
        <w:tc>
          <w:tcPr>
            <w:tcW w:w="2600" w:type="dxa"/>
            <w:vAlign w:val="bottom"/>
            <w:gridSpan w:val="4"/>
          </w:tcPr>
          <w:p>
            <w:pPr>
              <w:ind w:left="340"/>
              <w:spacing w:after="0" w:line="228" w:lineRule="exact"/>
              <w:rPr>
                <w:sz w:val="20"/>
                <w:szCs w:val="20"/>
                <w:color w:val="auto"/>
              </w:rPr>
            </w:pPr>
            <w:r>
              <w:rPr>
                <w:rFonts w:ascii="Times New Roman" w:cs="Times New Roman" w:eastAsia="Times New Roman" w:hAnsi="Times New Roman"/>
                <w:sz w:val="20"/>
                <w:szCs w:val="20"/>
                <w:color w:val="auto"/>
              </w:rPr>
              <w:t>Name: Daniel Zevnik</w:t>
            </w:r>
          </w:p>
        </w:tc>
        <w:tc>
          <w:tcPr>
            <w:tcW w:w="640" w:type="dxa"/>
            <w:vAlign w:val="bottom"/>
          </w:tcPr>
          <w:p>
            <w:pPr>
              <w:spacing w:after="0"/>
              <w:rPr>
                <w:sz w:val="19"/>
                <w:szCs w:val="19"/>
                <w:color w:val="auto"/>
              </w:rPr>
            </w:pPr>
          </w:p>
        </w:tc>
        <w:tc>
          <w:tcPr>
            <w:tcW w:w="640" w:type="dxa"/>
            <w:vAlign w:val="bottom"/>
          </w:tcPr>
          <w:p>
            <w:pPr>
              <w:spacing w:after="0"/>
              <w:rPr>
                <w:sz w:val="19"/>
                <w:szCs w:val="19"/>
                <w:color w:val="auto"/>
              </w:rPr>
            </w:pPr>
          </w:p>
        </w:tc>
      </w:tr>
      <w:tr>
        <w:trPr>
          <w:trHeight w:val="258"/>
        </w:trPr>
        <w:tc>
          <w:tcPr>
            <w:tcW w:w="2600" w:type="dxa"/>
            <w:vAlign w:val="bottom"/>
            <w:gridSpan w:val="4"/>
          </w:tcPr>
          <w:p>
            <w:pPr>
              <w:ind w:left="340"/>
              <w:spacing w:after="0"/>
              <w:rPr>
                <w:sz w:val="20"/>
                <w:szCs w:val="20"/>
                <w:color w:val="auto"/>
              </w:rPr>
            </w:pPr>
            <w:r>
              <w:rPr>
                <w:rFonts w:ascii="Times New Roman" w:cs="Times New Roman" w:eastAsia="Times New Roman" w:hAnsi="Times New Roman"/>
                <w:sz w:val="20"/>
                <w:szCs w:val="20"/>
                <w:color w:val="auto"/>
              </w:rPr>
              <w:t>Title:  Managing Director</w:t>
            </w:r>
          </w:p>
        </w:tc>
        <w:tc>
          <w:tcPr>
            <w:tcW w:w="640" w:type="dxa"/>
            <w:vAlign w:val="bottom"/>
          </w:tcPr>
          <w:p>
            <w:pPr>
              <w:spacing w:after="0"/>
              <w:rPr>
                <w:sz w:val="22"/>
                <w:szCs w:val="22"/>
                <w:color w:val="auto"/>
              </w:rPr>
            </w:pPr>
          </w:p>
        </w:tc>
        <w:tc>
          <w:tcPr>
            <w:tcW w:w="640" w:type="dxa"/>
            <w:vAlign w:val="bottom"/>
          </w:tcPr>
          <w:p>
            <w:pPr>
              <w:spacing w:after="0"/>
              <w:rPr>
                <w:sz w:val="22"/>
                <w:szCs w:val="22"/>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4"/>
          <w:szCs w:val="14"/>
          <w:color w:val="auto"/>
        </w:rPr>
        <w:t>US-DOCS\171161013.8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339725</wp:posOffset>
            </wp:positionH>
            <wp:positionV relativeFrom="paragraph">
              <wp:posOffset>349250</wp:posOffset>
            </wp:positionV>
            <wp:extent cx="5040630" cy="2540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84">
                      <a:extLst>
                        <a:ext uri="{28A0092B-C50C-407E-A947-70E740481C1C}"/>
                      </a:extLst>
                    </a:blip>
                    <a:srcRect/>
                    <a:stretch>
                      <a:fillRect/>
                    </a:stretch>
                  </pic:blipFill>
                  <pic:spPr bwMode="auto">
                    <a:xfrm>
                      <a:off x="0" y="0"/>
                      <a:ext cx="5040630" cy="25400"/>
                    </a:xfrm>
                    <a:prstGeom prst="rect">
                      <a:avLst/>
                    </a:prstGeom>
                    <a:noFill/>
                  </pic:spPr>
                </pic:pic>
              </a:graphicData>
            </a:graphic>
          </wp:anchor>
        </w:drawing>
      </w:r>
    </w:p>
    <w:p>
      <w:pPr>
        <w:sectPr>
          <w:pgSz w:w="11900" w:h="16838" w:orient="portrait"/>
          <w:cols w:equalWidth="0" w:num="1">
            <w:col w:w="9019"/>
          </w:cols>
          <w:pgMar w:left="1440" w:top="900" w:right="1440" w:bottom="1440" w:gutter="0" w:footer="0" w:header="0"/>
        </w:sectPr>
      </w:pPr>
    </w:p>
    <w:bookmarkStart w:id="64" w:name="page65"/>
    <w:bookmarkEnd w:id="64"/>
    <w:p>
      <w:pPr>
        <w:ind w:left="4420"/>
        <w:spacing w:after="0"/>
        <w:rPr>
          <w:sz w:val="20"/>
          <w:szCs w:val="20"/>
          <w:color w:val="auto"/>
        </w:rPr>
      </w:pPr>
      <w:r>
        <w:rPr>
          <w:rFonts w:ascii="Times New Roman" w:cs="Times New Roman" w:eastAsia="Times New Roman" w:hAnsi="Times New Roman"/>
          <w:sz w:val="20"/>
          <w:szCs w:val="20"/>
          <w:color w:val="auto"/>
        </w:rPr>
        <w:t>MORENO STREET DIRECT LENDING FUND,</w:t>
      </w:r>
    </w:p>
    <w:p>
      <w:pPr>
        <w:spacing w:after="0" w:line="21"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20"/>
          <w:szCs w:val="20"/>
          <w:color w:val="auto"/>
        </w:rPr>
        <w:t>L.P., as a Lender</w:t>
      </w:r>
    </w:p>
    <w:p>
      <w:pPr>
        <w:ind w:left="4420"/>
        <w:spacing w:after="0"/>
        <w:rPr>
          <w:sz w:val="20"/>
          <w:szCs w:val="20"/>
          <w:color w:val="auto"/>
        </w:rPr>
      </w:pPr>
      <w:r>
        <w:rPr>
          <w:rFonts w:ascii="Times New Roman" w:cs="Times New Roman" w:eastAsia="Times New Roman" w:hAnsi="Times New Roman"/>
          <w:sz w:val="19"/>
          <w:szCs w:val="19"/>
          <w:color w:val="auto"/>
        </w:rPr>
        <w:t>By: HPS Investment Partners, LLC, its Investment</w:t>
      </w:r>
    </w:p>
    <w:p>
      <w:pPr>
        <w:spacing w:after="0" w:line="11"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20"/>
          <w:szCs w:val="20"/>
          <w:color w:val="auto"/>
        </w:rPr>
        <w:t>Manager</w:t>
      </w:r>
    </w:p>
    <w:p>
      <w:pPr>
        <w:spacing w:after="0" w:line="200" w:lineRule="exact"/>
        <w:rPr>
          <w:sz w:val="20"/>
          <w:szCs w:val="20"/>
          <w:color w:val="auto"/>
        </w:rPr>
      </w:pPr>
    </w:p>
    <w:p>
      <w:pPr>
        <w:spacing w:after="0" w:line="218" w:lineRule="exact"/>
        <w:rPr>
          <w:sz w:val="20"/>
          <w:szCs w:val="20"/>
          <w:color w:val="auto"/>
        </w:rPr>
      </w:pPr>
    </w:p>
    <w:tbl>
      <w:tblPr>
        <w:tblLayout w:type="fixed"/>
        <w:tblInd w:w="4420" w:type="dxa"/>
        <w:tblCellMar>
          <w:top w:w="0" w:type="dxa"/>
          <w:left w:w="0" w:type="dxa"/>
          <w:bottom w:w="0" w:type="dxa"/>
          <w:right w:w="0" w:type="dxa"/>
        </w:tblCellMar>
      </w:tblPr>
      <w:tr>
        <w:trPr>
          <w:trHeight w:val="230"/>
        </w:trPr>
        <w:tc>
          <w:tcPr>
            <w:tcW w:w="2600" w:type="dxa"/>
            <w:vAlign w:val="bottom"/>
            <w:gridSpan w:val="4"/>
          </w:tcPr>
          <w:p>
            <w:pPr>
              <w:spacing w:after="0"/>
              <w:rPr>
                <w:sz w:val="20"/>
                <w:szCs w:val="20"/>
                <w:color w:val="auto"/>
              </w:rPr>
            </w:pPr>
            <w:r>
              <w:rPr>
                <w:rFonts w:ascii="Times New Roman" w:cs="Times New Roman" w:eastAsia="Times New Roman" w:hAnsi="Times New Roman"/>
                <w:sz w:val="20"/>
                <w:szCs w:val="20"/>
                <w:color w:val="auto"/>
              </w:rPr>
              <w:t>By: /s/ Daniel Zevnik   ​</w:t>
            </w:r>
          </w:p>
        </w:tc>
        <w:tc>
          <w:tcPr>
            <w:tcW w:w="640" w:type="dxa"/>
            <w:vAlign w:val="bottom"/>
          </w:tcPr>
          <w:p>
            <w:pPr>
              <w:spacing w:after="0"/>
              <w:rPr>
                <w:sz w:val="20"/>
                <w:szCs w:val="20"/>
                <w:color w:val="auto"/>
              </w:rPr>
            </w:pPr>
            <w:r>
              <w:rPr>
                <w:rFonts w:ascii="Times New Roman" w:cs="Times New Roman" w:eastAsia="Times New Roman" w:hAnsi="Times New Roman"/>
                <w:sz w:val="20"/>
                <w:szCs w:val="20"/>
                <w:color w:val="auto"/>
              </w:rPr>
              <w:t>​</w:t>
            </w:r>
          </w:p>
        </w:tc>
        <w:tc>
          <w:tcPr>
            <w:tcW w:w="640" w:type="dxa"/>
            <w:vAlign w:val="bottom"/>
          </w:tcPr>
          <w:p>
            <w:pPr>
              <w:spacing w:after="0"/>
              <w:rPr>
                <w:sz w:val="20"/>
                <w:szCs w:val="20"/>
                <w:color w:val="auto"/>
              </w:rPr>
            </w:pPr>
            <w:r>
              <w:rPr>
                <w:rFonts w:ascii="Times New Roman" w:cs="Times New Roman" w:eastAsia="Times New Roman" w:hAnsi="Times New Roman"/>
                <w:sz w:val="20"/>
                <w:szCs w:val="20"/>
                <w:color w:val="auto"/>
              </w:rPr>
              <w:t>​</w:t>
            </w:r>
          </w:p>
        </w:tc>
      </w:tr>
      <w:tr>
        <w:trPr>
          <w:trHeight w:val="20"/>
        </w:trPr>
        <w:tc>
          <w:tcPr>
            <w:tcW w:w="300" w:type="dxa"/>
            <w:vAlign w:val="bottom"/>
          </w:tcPr>
          <w:p>
            <w:pPr>
              <w:spacing w:after="0" w:line="20" w:lineRule="exact"/>
              <w:rPr>
                <w:sz w:val="1"/>
                <w:szCs w:val="1"/>
                <w:color w:val="auto"/>
              </w:rPr>
            </w:pPr>
          </w:p>
        </w:tc>
        <w:tc>
          <w:tcPr>
            <w:tcW w:w="164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r>
      <w:tr>
        <w:trPr>
          <w:trHeight w:val="227"/>
        </w:trPr>
        <w:tc>
          <w:tcPr>
            <w:tcW w:w="300" w:type="dxa"/>
            <w:vAlign w:val="bottom"/>
          </w:tcPr>
          <w:p>
            <w:pPr>
              <w:spacing w:after="0"/>
              <w:rPr>
                <w:sz w:val="19"/>
                <w:szCs w:val="19"/>
                <w:color w:val="auto"/>
              </w:rPr>
            </w:pPr>
          </w:p>
        </w:tc>
        <w:tc>
          <w:tcPr>
            <w:tcW w:w="2300" w:type="dxa"/>
            <w:vAlign w:val="bottom"/>
            <w:gridSpan w:val="3"/>
          </w:tcPr>
          <w:p>
            <w:pPr>
              <w:ind w:left="40"/>
              <w:spacing w:after="0" w:line="228" w:lineRule="exact"/>
              <w:rPr>
                <w:sz w:val="20"/>
                <w:szCs w:val="20"/>
                <w:color w:val="auto"/>
              </w:rPr>
            </w:pPr>
            <w:r>
              <w:rPr>
                <w:rFonts w:ascii="Times New Roman" w:cs="Times New Roman" w:eastAsia="Times New Roman" w:hAnsi="Times New Roman"/>
                <w:sz w:val="20"/>
                <w:szCs w:val="20"/>
                <w:color w:val="auto"/>
              </w:rPr>
              <w:t>Name: Daniel Zevnik</w:t>
            </w:r>
          </w:p>
        </w:tc>
        <w:tc>
          <w:tcPr>
            <w:tcW w:w="640" w:type="dxa"/>
            <w:vAlign w:val="bottom"/>
          </w:tcPr>
          <w:p>
            <w:pPr>
              <w:spacing w:after="0"/>
              <w:rPr>
                <w:sz w:val="19"/>
                <w:szCs w:val="19"/>
                <w:color w:val="auto"/>
              </w:rPr>
            </w:pPr>
          </w:p>
        </w:tc>
        <w:tc>
          <w:tcPr>
            <w:tcW w:w="640" w:type="dxa"/>
            <w:vAlign w:val="bottom"/>
          </w:tcPr>
          <w:p>
            <w:pPr>
              <w:spacing w:after="0"/>
              <w:rPr>
                <w:sz w:val="19"/>
                <w:szCs w:val="19"/>
                <w:color w:val="auto"/>
              </w:rPr>
            </w:pPr>
          </w:p>
        </w:tc>
      </w:tr>
      <w:tr>
        <w:trPr>
          <w:trHeight w:val="258"/>
        </w:trPr>
        <w:tc>
          <w:tcPr>
            <w:tcW w:w="300" w:type="dxa"/>
            <w:vAlign w:val="bottom"/>
          </w:tcPr>
          <w:p>
            <w:pPr>
              <w:spacing w:after="0"/>
              <w:rPr>
                <w:sz w:val="22"/>
                <w:szCs w:val="22"/>
                <w:color w:val="auto"/>
              </w:rPr>
            </w:pPr>
          </w:p>
        </w:tc>
        <w:tc>
          <w:tcPr>
            <w:tcW w:w="2300" w:type="dxa"/>
            <w:vAlign w:val="bottom"/>
            <w:gridSpan w:val="3"/>
          </w:tcPr>
          <w:p>
            <w:pPr>
              <w:ind w:left="40"/>
              <w:spacing w:after="0"/>
              <w:rPr>
                <w:sz w:val="20"/>
                <w:szCs w:val="20"/>
                <w:color w:val="auto"/>
              </w:rPr>
            </w:pPr>
            <w:r>
              <w:rPr>
                <w:rFonts w:ascii="Times New Roman" w:cs="Times New Roman" w:eastAsia="Times New Roman" w:hAnsi="Times New Roman"/>
                <w:sz w:val="20"/>
                <w:szCs w:val="20"/>
                <w:color w:val="auto"/>
              </w:rPr>
              <w:t>Title:  Managing Director</w:t>
            </w:r>
          </w:p>
        </w:tc>
        <w:tc>
          <w:tcPr>
            <w:tcW w:w="640" w:type="dxa"/>
            <w:vAlign w:val="bottom"/>
          </w:tcPr>
          <w:p>
            <w:pPr>
              <w:spacing w:after="0"/>
              <w:rPr>
                <w:sz w:val="22"/>
                <w:szCs w:val="22"/>
                <w:color w:val="auto"/>
              </w:rPr>
            </w:pPr>
          </w:p>
        </w:tc>
        <w:tc>
          <w:tcPr>
            <w:tcW w:w="640" w:type="dxa"/>
            <w:vAlign w:val="bottom"/>
          </w:tcPr>
          <w:p>
            <w:pPr>
              <w:spacing w:after="0"/>
              <w:rPr>
                <w:sz w:val="22"/>
                <w:szCs w:val="22"/>
                <w:color w:val="auto"/>
              </w:rPr>
            </w:pPr>
          </w:p>
        </w:tc>
      </w:tr>
    </w:tbl>
    <w:p>
      <w:pPr>
        <w:spacing w:after="0" w:line="200" w:lineRule="exact"/>
        <w:rPr>
          <w:sz w:val="20"/>
          <w:szCs w:val="20"/>
          <w:color w:val="auto"/>
        </w:rPr>
      </w:pPr>
    </w:p>
    <w:p>
      <w:pPr>
        <w:spacing w:after="0" w:line="230"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20"/>
          <w:szCs w:val="20"/>
          <w:color w:val="auto"/>
        </w:rPr>
        <w:t>SPECIALTY LOAN VG FUND, L.P.,</w:t>
      </w:r>
    </w:p>
    <w:p>
      <w:pPr>
        <w:spacing w:after="0" w:line="21"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20"/>
          <w:szCs w:val="20"/>
          <w:color w:val="auto"/>
        </w:rPr>
        <w:t>as a Lender</w:t>
      </w:r>
    </w:p>
    <w:p>
      <w:pPr>
        <w:ind w:left="4420"/>
        <w:spacing w:after="0"/>
        <w:rPr>
          <w:sz w:val="20"/>
          <w:szCs w:val="20"/>
          <w:color w:val="auto"/>
        </w:rPr>
      </w:pPr>
      <w:r>
        <w:rPr>
          <w:rFonts w:ascii="Times New Roman" w:cs="Times New Roman" w:eastAsia="Times New Roman" w:hAnsi="Times New Roman"/>
          <w:sz w:val="19"/>
          <w:szCs w:val="19"/>
          <w:color w:val="auto"/>
        </w:rPr>
        <w:t>By: HPS Investment Partners, LLC, its Investment</w:t>
      </w:r>
    </w:p>
    <w:p>
      <w:pPr>
        <w:spacing w:after="0" w:line="11"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20"/>
          <w:szCs w:val="20"/>
          <w:color w:val="auto"/>
        </w:rPr>
        <w:t>Manager</w:t>
      </w:r>
    </w:p>
    <w:p>
      <w:pPr>
        <w:spacing w:after="0" w:line="200" w:lineRule="exact"/>
        <w:rPr>
          <w:sz w:val="20"/>
          <w:szCs w:val="20"/>
          <w:color w:val="auto"/>
        </w:rPr>
      </w:pPr>
    </w:p>
    <w:p>
      <w:pPr>
        <w:spacing w:after="0" w:line="218" w:lineRule="exact"/>
        <w:rPr>
          <w:sz w:val="20"/>
          <w:szCs w:val="20"/>
          <w:color w:val="auto"/>
        </w:rPr>
      </w:pPr>
    </w:p>
    <w:tbl>
      <w:tblPr>
        <w:tblLayout w:type="fixed"/>
        <w:tblInd w:w="4420" w:type="dxa"/>
        <w:tblCellMar>
          <w:top w:w="0" w:type="dxa"/>
          <w:left w:w="0" w:type="dxa"/>
          <w:bottom w:w="0" w:type="dxa"/>
          <w:right w:w="0" w:type="dxa"/>
        </w:tblCellMar>
      </w:tblPr>
      <w:tr>
        <w:trPr>
          <w:trHeight w:val="230"/>
        </w:trPr>
        <w:tc>
          <w:tcPr>
            <w:tcW w:w="2600" w:type="dxa"/>
            <w:vAlign w:val="bottom"/>
            <w:gridSpan w:val="4"/>
          </w:tcPr>
          <w:p>
            <w:pPr>
              <w:spacing w:after="0"/>
              <w:rPr>
                <w:sz w:val="20"/>
                <w:szCs w:val="20"/>
                <w:color w:val="auto"/>
              </w:rPr>
            </w:pPr>
            <w:r>
              <w:rPr>
                <w:rFonts w:ascii="Times New Roman" w:cs="Times New Roman" w:eastAsia="Times New Roman" w:hAnsi="Times New Roman"/>
                <w:sz w:val="20"/>
                <w:szCs w:val="20"/>
                <w:color w:val="auto"/>
              </w:rPr>
              <w:t>By: /s/ Daniel Zevnik   ​</w:t>
            </w:r>
          </w:p>
        </w:tc>
        <w:tc>
          <w:tcPr>
            <w:tcW w:w="640" w:type="dxa"/>
            <w:vAlign w:val="bottom"/>
          </w:tcPr>
          <w:p>
            <w:pPr>
              <w:spacing w:after="0"/>
              <w:rPr>
                <w:sz w:val="20"/>
                <w:szCs w:val="20"/>
                <w:color w:val="auto"/>
              </w:rPr>
            </w:pPr>
            <w:r>
              <w:rPr>
                <w:rFonts w:ascii="Times New Roman" w:cs="Times New Roman" w:eastAsia="Times New Roman" w:hAnsi="Times New Roman"/>
                <w:sz w:val="20"/>
                <w:szCs w:val="20"/>
                <w:color w:val="auto"/>
              </w:rPr>
              <w:t>​</w:t>
            </w:r>
          </w:p>
        </w:tc>
        <w:tc>
          <w:tcPr>
            <w:tcW w:w="640" w:type="dxa"/>
            <w:vAlign w:val="bottom"/>
          </w:tcPr>
          <w:p>
            <w:pPr>
              <w:spacing w:after="0"/>
              <w:rPr>
                <w:sz w:val="20"/>
                <w:szCs w:val="20"/>
                <w:color w:val="auto"/>
              </w:rPr>
            </w:pPr>
            <w:r>
              <w:rPr>
                <w:rFonts w:ascii="Times New Roman" w:cs="Times New Roman" w:eastAsia="Times New Roman" w:hAnsi="Times New Roman"/>
                <w:sz w:val="20"/>
                <w:szCs w:val="20"/>
                <w:color w:val="auto"/>
              </w:rPr>
              <w:t>​</w:t>
            </w:r>
          </w:p>
        </w:tc>
      </w:tr>
      <w:tr>
        <w:trPr>
          <w:trHeight w:val="20"/>
        </w:trPr>
        <w:tc>
          <w:tcPr>
            <w:tcW w:w="300" w:type="dxa"/>
            <w:vAlign w:val="bottom"/>
          </w:tcPr>
          <w:p>
            <w:pPr>
              <w:spacing w:after="0" w:line="20" w:lineRule="exact"/>
              <w:rPr>
                <w:sz w:val="1"/>
                <w:szCs w:val="1"/>
                <w:color w:val="auto"/>
              </w:rPr>
            </w:pPr>
          </w:p>
        </w:tc>
        <w:tc>
          <w:tcPr>
            <w:tcW w:w="164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r>
      <w:tr>
        <w:trPr>
          <w:trHeight w:val="227"/>
        </w:trPr>
        <w:tc>
          <w:tcPr>
            <w:tcW w:w="300" w:type="dxa"/>
            <w:vAlign w:val="bottom"/>
          </w:tcPr>
          <w:p>
            <w:pPr>
              <w:spacing w:after="0"/>
              <w:rPr>
                <w:sz w:val="19"/>
                <w:szCs w:val="19"/>
                <w:color w:val="auto"/>
              </w:rPr>
            </w:pPr>
          </w:p>
        </w:tc>
        <w:tc>
          <w:tcPr>
            <w:tcW w:w="2300" w:type="dxa"/>
            <w:vAlign w:val="bottom"/>
            <w:gridSpan w:val="3"/>
          </w:tcPr>
          <w:p>
            <w:pPr>
              <w:ind w:left="40"/>
              <w:spacing w:after="0" w:line="228" w:lineRule="exact"/>
              <w:rPr>
                <w:sz w:val="20"/>
                <w:szCs w:val="20"/>
                <w:color w:val="auto"/>
              </w:rPr>
            </w:pPr>
            <w:r>
              <w:rPr>
                <w:rFonts w:ascii="Times New Roman" w:cs="Times New Roman" w:eastAsia="Times New Roman" w:hAnsi="Times New Roman"/>
                <w:sz w:val="20"/>
                <w:szCs w:val="20"/>
                <w:color w:val="auto"/>
              </w:rPr>
              <w:t>Name: Daniel Zevnik</w:t>
            </w:r>
          </w:p>
        </w:tc>
        <w:tc>
          <w:tcPr>
            <w:tcW w:w="640" w:type="dxa"/>
            <w:vAlign w:val="bottom"/>
          </w:tcPr>
          <w:p>
            <w:pPr>
              <w:spacing w:after="0"/>
              <w:rPr>
                <w:sz w:val="19"/>
                <w:szCs w:val="19"/>
                <w:color w:val="auto"/>
              </w:rPr>
            </w:pPr>
          </w:p>
        </w:tc>
        <w:tc>
          <w:tcPr>
            <w:tcW w:w="640" w:type="dxa"/>
            <w:vAlign w:val="bottom"/>
          </w:tcPr>
          <w:p>
            <w:pPr>
              <w:spacing w:after="0"/>
              <w:rPr>
                <w:sz w:val="19"/>
                <w:szCs w:val="19"/>
                <w:color w:val="auto"/>
              </w:rPr>
            </w:pPr>
          </w:p>
        </w:tc>
      </w:tr>
      <w:tr>
        <w:trPr>
          <w:trHeight w:val="258"/>
        </w:trPr>
        <w:tc>
          <w:tcPr>
            <w:tcW w:w="300" w:type="dxa"/>
            <w:vAlign w:val="bottom"/>
          </w:tcPr>
          <w:p>
            <w:pPr>
              <w:spacing w:after="0"/>
              <w:rPr>
                <w:sz w:val="22"/>
                <w:szCs w:val="22"/>
                <w:color w:val="auto"/>
              </w:rPr>
            </w:pPr>
          </w:p>
        </w:tc>
        <w:tc>
          <w:tcPr>
            <w:tcW w:w="2300" w:type="dxa"/>
            <w:vAlign w:val="bottom"/>
            <w:gridSpan w:val="3"/>
          </w:tcPr>
          <w:p>
            <w:pPr>
              <w:ind w:left="40"/>
              <w:spacing w:after="0"/>
              <w:rPr>
                <w:sz w:val="20"/>
                <w:szCs w:val="20"/>
                <w:color w:val="auto"/>
              </w:rPr>
            </w:pPr>
            <w:r>
              <w:rPr>
                <w:rFonts w:ascii="Times New Roman" w:cs="Times New Roman" w:eastAsia="Times New Roman" w:hAnsi="Times New Roman"/>
                <w:sz w:val="20"/>
                <w:szCs w:val="20"/>
                <w:color w:val="auto"/>
              </w:rPr>
              <w:t>Title:  Managing Director</w:t>
            </w:r>
          </w:p>
        </w:tc>
        <w:tc>
          <w:tcPr>
            <w:tcW w:w="640" w:type="dxa"/>
            <w:vAlign w:val="bottom"/>
          </w:tcPr>
          <w:p>
            <w:pPr>
              <w:spacing w:after="0"/>
              <w:rPr>
                <w:sz w:val="22"/>
                <w:szCs w:val="22"/>
                <w:color w:val="auto"/>
              </w:rPr>
            </w:pPr>
          </w:p>
        </w:tc>
        <w:tc>
          <w:tcPr>
            <w:tcW w:w="640" w:type="dxa"/>
            <w:vAlign w:val="bottom"/>
          </w:tcPr>
          <w:p>
            <w:pPr>
              <w:spacing w:after="0"/>
              <w:rPr>
                <w:sz w:val="22"/>
                <w:szCs w:val="22"/>
                <w:color w:val="auto"/>
              </w:rPr>
            </w:pPr>
          </w:p>
        </w:tc>
      </w:tr>
    </w:tbl>
    <w:p>
      <w:pPr>
        <w:spacing w:after="0" w:line="200" w:lineRule="exact"/>
        <w:rPr>
          <w:sz w:val="20"/>
          <w:szCs w:val="20"/>
          <w:color w:val="auto"/>
        </w:rPr>
      </w:pPr>
    </w:p>
    <w:p>
      <w:pPr>
        <w:spacing w:after="0" w:line="230"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20"/>
          <w:szCs w:val="20"/>
          <w:color w:val="auto"/>
        </w:rPr>
        <w:t>AIGUILLES ROUGES SECTOR C</w:t>
      </w:r>
    </w:p>
    <w:p>
      <w:pPr>
        <w:spacing w:after="0" w:line="21"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20"/>
          <w:szCs w:val="20"/>
          <w:color w:val="auto"/>
        </w:rPr>
        <w:t>INVESTMENT FUND, L.P.,</w:t>
      </w:r>
    </w:p>
    <w:p>
      <w:pPr>
        <w:ind w:left="4420"/>
        <w:spacing w:after="0"/>
        <w:rPr>
          <w:sz w:val="20"/>
          <w:szCs w:val="20"/>
          <w:color w:val="auto"/>
        </w:rPr>
      </w:pPr>
      <w:r>
        <w:rPr>
          <w:rFonts w:ascii="Times New Roman" w:cs="Times New Roman" w:eastAsia="Times New Roman" w:hAnsi="Times New Roman"/>
          <w:sz w:val="20"/>
          <w:szCs w:val="20"/>
          <w:color w:val="auto"/>
        </w:rPr>
        <w:t>as a Lender</w:t>
      </w:r>
    </w:p>
    <w:p>
      <w:pPr>
        <w:ind w:left="4420"/>
        <w:spacing w:after="0"/>
        <w:rPr>
          <w:sz w:val="20"/>
          <w:szCs w:val="20"/>
          <w:color w:val="auto"/>
        </w:rPr>
      </w:pPr>
      <w:r>
        <w:rPr>
          <w:rFonts w:ascii="Times New Roman" w:cs="Times New Roman" w:eastAsia="Times New Roman" w:hAnsi="Times New Roman"/>
          <w:sz w:val="19"/>
          <w:szCs w:val="19"/>
          <w:color w:val="auto"/>
        </w:rPr>
        <w:t>By: HPS Investment Partners, LLC, its Investment</w:t>
      </w:r>
    </w:p>
    <w:p>
      <w:pPr>
        <w:spacing w:after="0" w:line="11"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20"/>
          <w:szCs w:val="20"/>
          <w:color w:val="auto"/>
        </w:rPr>
        <w:t>Manager</w:t>
      </w:r>
    </w:p>
    <w:p>
      <w:pPr>
        <w:spacing w:after="0" w:line="200" w:lineRule="exact"/>
        <w:rPr>
          <w:sz w:val="20"/>
          <w:szCs w:val="20"/>
          <w:color w:val="auto"/>
        </w:rPr>
      </w:pPr>
    </w:p>
    <w:p>
      <w:pPr>
        <w:spacing w:after="0" w:line="218" w:lineRule="exact"/>
        <w:rPr>
          <w:sz w:val="20"/>
          <w:szCs w:val="20"/>
          <w:color w:val="auto"/>
        </w:rPr>
      </w:pPr>
    </w:p>
    <w:tbl>
      <w:tblPr>
        <w:tblLayout w:type="fixed"/>
        <w:tblInd w:w="4420" w:type="dxa"/>
        <w:tblCellMar>
          <w:top w:w="0" w:type="dxa"/>
          <w:left w:w="0" w:type="dxa"/>
          <w:bottom w:w="0" w:type="dxa"/>
          <w:right w:w="0" w:type="dxa"/>
        </w:tblCellMar>
      </w:tblPr>
      <w:tr>
        <w:trPr>
          <w:trHeight w:val="230"/>
        </w:trPr>
        <w:tc>
          <w:tcPr>
            <w:tcW w:w="2600" w:type="dxa"/>
            <w:vAlign w:val="bottom"/>
            <w:gridSpan w:val="4"/>
          </w:tcPr>
          <w:p>
            <w:pPr>
              <w:spacing w:after="0"/>
              <w:rPr>
                <w:sz w:val="20"/>
                <w:szCs w:val="20"/>
                <w:color w:val="auto"/>
              </w:rPr>
            </w:pPr>
            <w:r>
              <w:rPr>
                <w:rFonts w:ascii="Times New Roman" w:cs="Times New Roman" w:eastAsia="Times New Roman" w:hAnsi="Times New Roman"/>
                <w:sz w:val="20"/>
                <w:szCs w:val="20"/>
                <w:color w:val="auto"/>
              </w:rPr>
              <w:t>By: /s/ Daniel Zevnik   ​</w:t>
            </w:r>
          </w:p>
        </w:tc>
        <w:tc>
          <w:tcPr>
            <w:tcW w:w="640" w:type="dxa"/>
            <w:vAlign w:val="bottom"/>
          </w:tcPr>
          <w:p>
            <w:pPr>
              <w:spacing w:after="0"/>
              <w:rPr>
                <w:sz w:val="20"/>
                <w:szCs w:val="20"/>
                <w:color w:val="auto"/>
              </w:rPr>
            </w:pPr>
            <w:r>
              <w:rPr>
                <w:rFonts w:ascii="Times New Roman" w:cs="Times New Roman" w:eastAsia="Times New Roman" w:hAnsi="Times New Roman"/>
                <w:sz w:val="20"/>
                <w:szCs w:val="20"/>
                <w:color w:val="auto"/>
              </w:rPr>
              <w:t>​</w:t>
            </w:r>
          </w:p>
        </w:tc>
        <w:tc>
          <w:tcPr>
            <w:tcW w:w="640" w:type="dxa"/>
            <w:vAlign w:val="bottom"/>
          </w:tcPr>
          <w:p>
            <w:pPr>
              <w:spacing w:after="0"/>
              <w:rPr>
                <w:sz w:val="20"/>
                <w:szCs w:val="20"/>
                <w:color w:val="auto"/>
              </w:rPr>
            </w:pPr>
            <w:r>
              <w:rPr>
                <w:rFonts w:ascii="Times New Roman" w:cs="Times New Roman" w:eastAsia="Times New Roman" w:hAnsi="Times New Roman"/>
                <w:sz w:val="20"/>
                <w:szCs w:val="20"/>
                <w:color w:val="auto"/>
              </w:rPr>
              <w:t>​</w:t>
            </w:r>
          </w:p>
        </w:tc>
      </w:tr>
      <w:tr>
        <w:trPr>
          <w:trHeight w:val="20"/>
        </w:trPr>
        <w:tc>
          <w:tcPr>
            <w:tcW w:w="300" w:type="dxa"/>
            <w:vAlign w:val="bottom"/>
          </w:tcPr>
          <w:p>
            <w:pPr>
              <w:spacing w:after="0" w:line="20" w:lineRule="exact"/>
              <w:rPr>
                <w:sz w:val="1"/>
                <w:szCs w:val="1"/>
                <w:color w:val="auto"/>
              </w:rPr>
            </w:pPr>
          </w:p>
        </w:tc>
        <w:tc>
          <w:tcPr>
            <w:tcW w:w="164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r>
      <w:tr>
        <w:trPr>
          <w:trHeight w:val="227"/>
        </w:trPr>
        <w:tc>
          <w:tcPr>
            <w:tcW w:w="300" w:type="dxa"/>
            <w:vAlign w:val="bottom"/>
          </w:tcPr>
          <w:p>
            <w:pPr>
              <w:spacing w:after="0"/>
              <w:rPr>
                <w:sz w:val="19"/>
                <w:szCs w:val="19"/>
                <w:color w:val="auto"/>
              </w:rPr>
            </w:pPr>
          </w:p>
        </w:tc>
        <w:tc>
          <w:tcPr>
            <w:tcW w:w="2300" w:type="dxa"/>
            <w:vAlign w:val="bottom"/>
            <w:gridSpan w:val="3"/>
          </w:tcPr>
          <w:p>
            <w:pPr>
              <w:ind w:left="40"/>
              <w:spacing w:after="0" w:line="228" w:lineRule="exact"/>
              <w:rPr>
                <w:sz w:val="20"/>
                <w:szCs w:val="20"/>
                <w:color w:val="auto"/>
              </w:rPr>
            </w:pPr>
            <w:r>
              <w:rPr>
                <w:rFonts w:ascii="Times New Roman" w:cs="Times New Roman" w:eastAsia="Times New Roman" w:hAnsi="Times New Roman"/>
                <w:sz w:val="20"/>
                <w:szCs w:val="20"/>
                <w:color w:val="auto"/>
              </w:rPr>
              <w:t>Name: Daniel Zevnik</w:t>
            </w:r>
          </w:p>
        </w:tc>
        <w:tc>
          <w:tcPr>
            <w:tcW w:w="640" w:type="dxa"/>
            <w:vAlign w:val="bottom"/>
          </w:tcPr>
          <w:p>
            <w:pPr>
              <w:spacing w:after="0"/>
              <w:rPr>
                <w:sz w:val="19"/>
                <w:szCs w:val="19"/>
                <w:color w:val="auto"/>
              </w:rPr>
            </w:pPr>
          </w:p>
        </w:tc>
        <w:tc>
          <w:tcPr>
            <w:tcW w:w="640" w:type="dxa"/>
            <w:vAlign w:val="bottom"/>
          </w:tcPr>
          <w:p>
            <w:pPr>
              <w:spacing w:after="0"/>
              <w:rPr>
                <w:sz w:val="19"/>
                <w:szCs w:val="19"/>
                <w:color w:val="auto"/>
              </w:rPr>
            </w:pPr>
          </w:p>
        </w:tc>
      </w:tr>
      <w:tr>
        <w:trPr>
          <w:trHeight w:val="258"/>
        </w:trPr>
        <w:tc>
          <w:tcPr>
            <w:tcW w:w="300" w:type="dxa"/>
            <w:vAlign w:val="bottom"/>
          </w:tcPr>
          <w:p>
            <w:pPr>
              <w:spacing w:after="0"/>
              <w:rPr>
                <w:sz w:val="22"/>
                <w:szCs w:val="22"/>
                <w:color w:val="auto"/>
              </w:rPr>
            </w:pPr>
          </w:p>
        </w:tc>
        <w:tc>
          <w:tcPr>
            <w:tcW w:w="2300" w:type="dxa"/>
            <w:vAlign w:val="bottom"/>
            <w:gridSpan w:val="3"/>
          </w:tcPr>
          <w:p>
            <w:pPr>
              <w:ind w:left="40"/>
              <w:spacing w:after="0"/>
              <w:rPr>
                <w:sz w:val="20"/>
                <w:szCs w:val="20"/>
                <w:color w:val="auto"/>
              </w:rPr>
            </w:pPr>
            <w:r>
              <w:rPr>
                <w:rFonts w:ascii="Times New Roman" w:cs="Times New Roman" w:eastAsia="Times New Roman" w:hAnsi="Times New Roman"/>
                <w:sz w:val="20"/>
                <w:szCs w:val="20"/>
                <w:color w:val="auto"/>
              </w:rPr>
              <w:t>Title:  Managing Director</w:t>
            </w:r>
          </w:p>
        </w:tc>
        <w:tc>
          <w:tcPr>
            <w:tcW w:w="640" w:type="dxa"/>
            <w:vAlign w:val="bottom"/>
          </w:tcPr>
          <w:p>
            <w:pPr>
              <w:spacing w:after="0"/>
              <w:rPr>
                <w:sz w:val="22"/>
                <w:szCs w:val="22"/>
                <w:color w:val="auto"/>
              </w:rPr>
            </w:pPr>
          </w:p>
        </w:tc>
        <w:tc>
          <w:tcPr>
            <w:tcW w:w="640" w:type="dxa"/>
            <w:vAlign w:val="bottom"/>
          </w:tcPr>
          <w:p>
            <w:pPr>
              <w:spacing w:after="0"/>
              <w:rPr>
                <w:sz w:val="22"/>
                <w:szCs w:val="22"/>
                <w:color w:val="auto"/>
              </w:rPr>
            </w:pPr>
          </w:p>
        </w:tc>
      </w:tr>
    </w:tbl>
    <w:p>
      <w:pPr>
        <w:spacing w:after="0" w:line="200" w:lineRule="exact"/>
        <w:rPr>
          <w:sz w:val="20"/>
          <w:szCs w:val="20"/>
          <w:color w:val="auto"/>
        </w:rPr>
      </w:pPr>
    </w:p>
    <w:p>
      <w:pPr>
        <w:spacing w:after="0" w:line="230"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20"/>
          <w:szCs w:val="20"/>
          <w:color w:val="auto"/>
        </w:rPr>
        <w:t>EQUITABLE FINANCIAL LIFE INSURANCE</w:t>
      </w:r>
    </w:p>
    <w:p>
      <w:pPr>
        <w:spacing w:after="0" w:line="21"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20"/>
          <w:szCs w:val="20"/>
          <w:color w:val="auto"/>
        </w:rPr>
        <w:t>COMPANY,</w:t>
      </w:r>
    </w:p>
    <w:p>
      <w:pPr>
        <w:ind w:left="4420"/>
        <w:spacing w:after="0"/>
        <w:rPr>
          <w:sz w:val="20"/>
          <w:szCs w:val="20"/>
          <w:color w:val="auto"/>
        </w:rPr>
      </w:pPr>
      <w:r>
        <w:rPr>
          <w:rFonts w:ascii="Times New Roman" w:cs="Times New Roman" w:eastAsia="Times New Roman" w:hAnsi="Times New Roman"/>
          <w:sz w:val="20"/>
          <w:szCs w:val="20"/>
          <w:color w:val="auto"/>
        </w:rPr>
        <w:t>as a Lender</w:t>
      </w:r>
    </w:p>
    <w:p>
      <w:pPr>
        <w:ind w:left="4420"/>
        <w:spacing w:after="0"/>
        <w:rPr>
          <w:sz w:val="20"/>
          <w:szCs w:val="20"/>
          <w:color w:val="auto"/>
        </w:rPr>
      </w:pPr>
      <w:r>
        <w:rPr>
          <w:rFonts w:ascii="Times New Roman" w:cs="Times New Roman" w:eastAsia="Times New Roman" w:hAnsi="Times New Roman"/>
          <w:sz w:val="19"/>
          <w:szCs w:val="19"/>
          <w:color w:val="auto"/>
        </w:rPr>
        <w:t>By: HPS Investment Partners, LLC, its Investment</w:t>
      </w:r>
    </w:p>
    <w:p>
      <w:pPr>
        <w:spacing w:after="0" w:line="11"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20"/>
          <w:szCs w:val="20"/>
          <w:color w:val="auto"/>
        </w:rPr>
        <w:t>Manager</w:t>
      </w:r>
    </w:p>
    <w:p>
      <w:pPr>
        <w:spacing w:after="0" w:line="200" w:lineRule="exact"/>
        <w:rPr>
          <w:sz w:val="20"/>
          <w:szCs w:val="20"/>
          <w:color w:val="auto"/>
        </w:rPr>
      </w:pPr>
    </w:p>
    <w:p>
      <w:pPr>
        <w:spacing w:after="0" w:line="218" w:lineRule="exact"/>
        <w:rPr>
          <w:sz w:val="20"/>
          <w:szCs w:val="20"/>
          <w:color w:val="auto"/>
        </w:rPr>
      </w:pPr>
    </w:p>
    <w:tbl>
      <w:tblPr>
        <w:tblLayout w:type="fixed"/>
        <w:tblInd w:w="4420" w:type="dxa"/>
        <w:tblCellMar>
          <w:top w:w="0" w:type="dxa"/>
          <w:left w:w="0" w:type="dxa"/>
          <w:bottom w:w="0" w:type="dxa"/>
          <w:right w:w="0" w:type="dxa"/>
        </w:tblCellMar>
      </w:tblPr>
      <w:tr>
        <w:trPr>
          <w:trHeight w:val="230"/>
        </w:trPr>
        <w:tc>
          <w:tcPr>
            <w:tcW w:w="2600" w:type="dxa"/>
            <w:vAlign w:val="bottom"/>
            <w:gridSpan w:val="4"/>
          </w:tcPr>
          <w:p>
            <w:pPr>
              <w:spacing w:after="0"/>
              <w:rPr>
                <w:sz w:val="20"/>
                <w:szCs w:val="20"/>
                <w:color w:val="auto"/>
              </w:rPr>
            </w:pPr>
            <w:r>
              <w:rPr>
                <w:rFonts w:ascii="Times New Roman" w:cs="Times New Roman" w:eastAsia="Times New Roman" w:hAnsi="Times New Roman"/>
                <w:sz w:val="20"/>
                <w:szCs w:val="20"/>
                <w:color w:val="auto"/>
              </w:rPr>
              <w:t>By: /s/ Daniel Zevnik   ​</w:t>
            </w:r>
          </w:p>
        </w:tc>
        <w:tc>
          <w:tcPr>
            <w:tcW w:w="640" w:type="dxa"/>
            <w:vAlign w:val="bottom"/>
          </w:tcPr>
          <w:p>
            <w:pPr>
              <w:spacing w:after="0"/>
              <w:rPr>
                <w:sz w:val="20"/>
                <w:szCs w:val="20"/>
                <w:color w:val="auto"/>
              </w:rPr>
            </w:pPr>
            <w:r>
              <w:rPr>
                <w:rFonts w:ascii="Times New Roman" w:cs="Times New Roman" w:eastAsia="Times New Roman" w:hAnsi="Times New Roman"/>
                <w:sz w:val="20"/>
                <w:szCs w:val="20"/>
                <w:color w:val="auto"/>
              </w:rPr>
              <w:t>​</w:t>
            </w:r>
          </w:p>
        </w:tc>
        <w:tc>
          <w:tcPr>
            <w:tcW w:w="640" w:type="dxa"/>
            <w:vAlign w:val="bottom"/>
          </w:tcPr>
          <w:p>
            <w:pPr>
              <w:spacing w:after="0"/>
              <w:rPr>
                <w:sz w:val="20"/>
                <w:szCs w:val="20"/>
                <w:color w:val="auto"/>
              </w:rPr>
            </w:pPr>
            <w:r>
              <w:rPr>
                <w:rFonts w:ascii="Times New Roman" w:cs="Times New Roman" w:eastAsia="Times New Roman" w:hAnsi="Times New Roman"/>
                <w:sz w:val="20"/>
                <w:szCs w:val="20"/>
                <w:color w:val="auto"/>
              </w:rPr>
              <w:t>​</w:t>
            </w:r>
          </w:p>
        </w:tc>
      </w:tr>
      <w:tr>
        <w:trPr>
          <w:trHeight w:val="20"/>
        </w:trPr>
        <w:tc>
          <w:tcPr>
            <w:tcW w:w="300" w:type="dxa"/>
            <w:vAlign w:val="bottom"/>
          </w:tcPr>
          <w:p>
            <w:pPr>
              <w:spacing w:after="0" w:line="20" w:lineRule="exact"/>
              <w:rPr>
                <w:sz w:val="1"/>
                <w:szCs w:val="1"/>
                <w:color w:val="auto"/>
              </w:rPr>
            </w:pPr>
          </w:p>
        </w:tc>
        <w:tc>
          <w:tcPr>
            <w:tcW w:w="164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r>
      <w:tr>
        <w:trPr>
          <w:trHeight w:val="227"/>
        </w:trPr>
        <w:tc>
          <w:tcPr>
            <w:tcW w:w="300" w:type="dxa"/>
            <w:vAlign w:val="bottom"/>
          </w:tcPr>
          <w:p>
            <w:pPr>
              <w:spacing w:after="0"/>
              <w:rPr>
                <w:sz w:val="19"/>
                <w:szCs w:val="19"/>
                <w:color w:val="auto"/>
              </w:rPr>
            </w:pPr>
          </w:p>
        </w:tc>
        <w:tc>
          <w:tcPr>
            <w:tcW w:w="2300" w:type="dxa"/>
            <w:vAlign w:val="bottom"/>
            <w:gridSpan w:val="3"/>
          </w:tcPr>
          <w:p>
            <w:pPr>
              <w:ind w:left="40"/>
              <w:spacing w:after="0" w:line="228" w:lineRule="exact"/>
              <w:rPr>
                <w:sz w:val="20"/>
                <w:szCs w:val="20"/>
                <w:color w:val="auto"/>
              </w:rPr>
            </w:pPr>
            <w:r>
              <w:rPr>
                <w:rFonts w:ascii="Times New Roman" w:cs="Times New Roman" w:eastAsia="Times New Roman" w:hAnsi="Times New Roman"/>
                <w:sz w:val="20"/>
                <w:szCs w:val="20"/>
                <w:color w:val="auto"/>
              </w:rPr>
              <w:t>Name: Daniel Zevnik</w:t>
            </w:r>
          </w:p>
        </w:tc>
        <w:tc>
          <w:tcPr>
            <w:tcW w:w="640" w:type="dxa"/>
            <w:vAlign w:val="bottom"/>
          </w:tcPr>
          <w:p>
            <w:pPr>
              <w:spacing w:after="0"/>
              <w:rPr>
                <w:sz w:val="19"/>
                <w:szCs w:val="19"/>
                <w:color w:val="auto"/>
              </w:rPr>
            </w:pPr>
          </w:p>
        </w:tc>
        <w:tc>
          <w:tcPr>
            <w:tcW w:w="640" w:type="dxa"/>
            <w:vAlign w:val="bottom"/>
          </w:tcPr>
          <w:p>
            <w:pPr>
              <w:spacing w:after="0"/>
              <w:rPr>
                <w:sz w:val="19"/>
                <w:szCs w:val="19"/>
                <w:color w:val="auto"/>
              </w:rPr>
            </w:pPr>
          </w:p>
        </w:tc>
      </w:tr>
      <w:tr>
        <w:trPr>
          <w:trHeight w:val="258"/>
        </w:trPr>
        <w:tc>
          <w:tcPr>
            <w:tcW w:w="300" w:type="dxa"/>
            <w:vAlign w:val="bottom"/>
          </w:tcPr>
          <w:p>
            <w:pPr>
              <w:spacing w:after="0"/>
              <w:rPr>
                <w:sz w:val="22"/>
                <w:szCs w:val="22"/>
                <w:color w:val="auto"/>
              </w:rPr>
            </w:pPr>
          </w:p>
        </w:tc>
        <w:tc>
          <w:tcPr>
            <w:tcW w:w="2300" w:type="dxa"/>
            <w:vAlign w:val="bottom"/>
            <w:gridSpan w:val="3"/>
          </w:tcPr>
          <w:p>
            <w:pPr>
              <w:ind w:left="40"/>
              <w:spacing w:after="0"/>
              <w:rPr>
                <w:sz w:val="20"/>
                <w:szCs w:val="20"/>
                <w:color w:val="auto"/>
              </w:rPr>
            </w:pPr>
            <w:r>
              <w:rPr>
                <w:rFonts w:ascii="Times New Roman" w:cs="Times New Roman" w:eastAsia="Times New Roman" w:hAnsi="Times New Roman"/>
                <w:sz w:val="20"/>
                <w:szCs w:val="20"/>
                <w:color w:val="auto"/>
              </w:rPr>
              <w:t>Title:  Managing Director</w:t>
            </w:r>
          </w:p>
        </w:tc>
        <w:tc>
          <w:tcPr>
            <w:tcW w:w="640" w:type="dxa"/>
            <w:vAlign w:val="bottom"/>
          </w:tcPr>
          <w:p>
            <w:pPr>
              <w:spacing w:after="0"/>
              <w:rPr>
                <w:sz w:val="22"/>
                <w:szCs w:val="22"/>
                <w:color w:val="auto"/>
              </w:rPr>
            </w:pPr>
          </w:p>
        </w:tc>
        <w:tc>
          <w:tcPr>
            <w:tcW w:w="640" w:type="dxa"/>
            <w:vAlign w:val="bottom"/>
          </w:tcPr>
          <w:p>
            <w:pPr>
              <w:spacing w:after="0"/>
              <w:rPr>
                <w:sz w:val="22"/>
                <w:szCs w:val="22"/>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4"/>
          <w:szCs w:val="14"/>
          <w:color w:val="auto"/>
        </w:rPr>
        <w:t>US-DOCS\171161013.8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339725</wp:posOffset>
            </wp:positionH>
            <wp:positionV relativeFrom="paragraph">
              <wp:posOffset>349250</wp:posOffset>
            </wp:positionV>
            <wp:extent cx="5040630" cy="2603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85">
                      <a:extLst>
                        <a:ext uri="{28A0092B-C50C-407E-A947-70E740481C1C}"/>
                      </a:extLst>
                    </a:blip>
                    <a:srcRect/>
                    <a:stretch>
                      <a:fillRect/>
                    </a:stretch>
                  </pic:blipFill>
                  <pic:spPr bwMode="auto">
                    <a:xfrm>
                      <a:off x="0" y="0"/>
                      <a:ext cx="5040630" cy="26035"/>
                    </a:xfrm>
                    <a:prstGeom prst="rect">
                      <a:avLst/>
                    </a:prstGeom>
                    <a:noFill/>
                  </pic:spPr>
                </pic:pic>
              </a:graphicData>
            </a:graphic>
          </wp:anchor>
        </w:drawing>
      </w:r>
    </w:p>
    <w:p>
      <w:pPr>
        <w:sectPr>
          <w:pgSz w:w="11900" w:h="16838" w:orient="portrait"/>
          <w:cols w:equalWidth="0" w:num="1">
            <w:col w:w="9019"/>
          </w:cols>
          <w:pgMar w:left="1440" w:top="900" w:right="1440" w:bottom="1440" w:gutter="0" w:footer="0" w:header="0"/>
        </w:sectPr>
      </w:pPr>
    </w:p>
    <w:bookmarkStart w:id="65" w:name="page66"/>
    <w:bookmarkEnd w:id="65"/>
    <w:p>
      <w:pPr>
        <w:ind w:left="4420"/>
        <w:spacing w:after="0"/>
        <w:rPr>
          <w:sz w:val="20"/>
          <w:szCs w:val="20"/>
          <w:color w:val="auto"/>
        </w:rPr>
      </w:pPr>
      <w:r>
        <w:rPr>
          <w:rFonts w:ascii="Times New Roman" w:cs="Times New Roman" w:eastAsia="Times New Roman" w:hAnsi="Times New Roman"/>
          <w:sz w:val="20"/>
          <w:szCs w:val="20"/>
          <w:color w:val="auto"/>
        </w:rPr>
        <w:t>RELIANCE STANDARD LIFE INSURANCE</w:t>
      </w:r>
    </w:p>
    <w:p>
      <w:pPr>
        <w:spacing w:after="0" w:line="21"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20"/>
          <w:szCs w:val="20"/>
          <w:color w:val="auto"/>
        </w:rPr>
        <w:t>COMPANY,</w:t>
      </w:r>
    </w:p>
    <w:p>
      <w:pPr>
        <w:ind w:left="4420"/>
        <w:spacing w:after="0"/>
        <w:rPr>
          <w:sz w:val="20"/>
          <w:szCs w:val="20"/>
          <w:color w:val="auto"/>
        </w:rPr>
      </w:pPr>
      <w:r>
        <w:rPr>
          <w:rFonts w:ascii="Times New Roman" w:cs="Times New Roman" w:eastAsia="Times New Roman" w:hAnsi="Times New Roman"/>
          <w:sz w:val="20"/>
          <w:szCs w:val="20"/>
          <w:color w:val="auto"/>
        </w:rPr>
        <w:t>as a Lender</w:t>
      </w:r>
    </w:p>
    <w:p>
      <w:pPr>
        <w:ind w:left="4420"/>
        <w:spacing w:after="0"/>
        <w:rPr>
          <w:sz w:val="20"/>
          <w:szCs w:val="20"/>
          <w:color w:val="auto"/>
        </w:rPr>
      </w:pPr>
      <w:r>
        <w:rPr>
          <w:rFonts w:ascii="Times New Roman" w:cs="Times New Roman" w:eastAsia="Times New Roman" w:hAnsi="Times New Roman"/>
          <w:sz w:val="19"/>
          <w:szCs w:val="19"/>
          <w:color w:val="auto"/>
        </w:rPr>
        <w:t>By: HPS Investment Partners, LLC, as Investment</w:t>
      </w:r>
    </w:p>
    <w:p>
      <w:pPr>
        <w:spacing w:after="0" w:line="11"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20"/>
          <w:szCs w:val="20"/>
          <w:color w:val="auto"/>
        </w:rPr>
        <w:t>Manager</w:t>
      </w:r>
    </w:p>
    <w:p>
      <w:pPr>
        <w:spacing w:after="0" w:line="200" w:lineRule="exact"/>
        <w:rPr>
          <w:sz w:val="20"/>
          <w:szCs w:val="20"/>
          <w:color w:val="auto"/>
        </w:rPr>
      </w:pPr>
    </w:p>
    <w:p>
      <w:pPr>
        <w:spacing w:after="0" w:line="218" w:lineRule="exact"/>
        <w:rPr>
          <w:sz w:val="20"/>
          <w:szCs w:val="20"/>
          <w:color w:val="auto"/>
        </w:rPr>
      </w:pPr>
    </w:p>
    <w:tbl>
      <w:tblPr>
        <w:tblLayout w:type="fixed"/>
        <w:tblInd w:w="4420" w:type="dxa"/>
        <w:tblCellMar>
          <w:top w:w="0" w:type="dxa"/>
          <w:left w:w="0" w:type="dxa"/>
          <w:bottom w:w="0" w:type="dxa"/>
          <w:right w:w="0" w:type="dxa"/>
        </w:tblCellMar>
      </w:tblPr>
      <w:tr>
        <w:trPr>
          <w:trHeight w:val="230"/>
        </w:trPr>
        <w:tc>
          <w:tcPr>
            <w:tcW w:w="2600" w:type="dxa"/>
            <w:vAlign w:val="bottom"/>
            <w:gridSpan w:val="4"/>
          </w:tcPr>
          <w:p>
            <w:pPr>
              <w:spacing w:after="0"/>
              <w:rPr>
                <w:sz w:val="20"/>
                <w:szCs w:val="20"/>
                <w:color w:val="auto"/>
              </w:rPr>
            </w:pPr>
            <w:r>
              <w:rPr>
                <w:rFonts w:ascii="Times New Roman" w:cs="Times New Roman" w:eastAsia="Times New Roman" w:hAnsi="Times New Roman"/>
                <w:sz w:val="20"/>
                <w:szCs w:val="20"/>
                <w:color w:val="auto"/>
              </w:rPr>
              <w:t>By: /s/ Daniel Zevnik   ​</w:t>
            </w:r>
          </w:p>
        </w:tc>
        <w:tc>
          <w:tcPr>
            <w:tcW w:w="640" w:type="dxa"/>
            <w:vAlign w:val="bottom"/>
          </w:tcPr>
          <w:p>
            <w:pPr>
              <w:spacing w:after="0"/>
              <w:rPr>
                <w:sz w:val="20"/>
                <w:szCs w:val="20"/>
                <w:color w:val="auto"/>
              </w:rPr>
            </w:pPr>
            <w:r>
              <w:rPr>
                <w:rFonts w:ascii="Times New Roman" w:cs="Times New Roman" w:eastAsia="Times New Roman" w:hAnsi="Times New Roman"/>
                <w:sz w:val="20"/>
                <w:szCs w:val="20"/>
                <w:color w:val="auto"/>
              </w:rPr>
              <w:t>​</w:t>
            </w:r>
          </w:p>
        </w:tc>
        <w:tc>
          <w:tcPr>
            <w:tcW w:w="640" w:type="dxa"/>
            <w:vAlign w:val="bottom"/>
          </w:tcPr>
          <w:p>
            <w:pPr>
              <w:spacing w:after="0"/>
              <w:rPr>
                <w:sz w:val="20"/>
                <w:szCs w:val="20"/>
                <w:color w:val="auto"/>
              </w:rPr>
            </w:pPr>
            <w:r>
              <w:rPr>
                <w:rFonts w:ascii="Times New Roman" w:cs="Times New Roman" w:eastAsia="Times New Roman" w:hAnsi="Times New Roman"/>
                <w:sz w:val="20"/>
                <w:szCs w:val="20"/>
                <w:color w:val="auto"/>
              </w:rPr>
              <w:t>​</w:t>
            </w:r>
          </w:p>
        </w:tc>
      </w:tr>
      <w:tr>
        <w:trPr>
          <w:trHeight w:val="20"/>
        </w:trPr>
        <w:tc>
          <w:tcPr>
            <w:tcW w:w="340" w:type="dxa"/>
            <w:vAlign w:val="bottom"/>
          </w:tcPr>
          <w:p>
            <w:pPr>
              <w:spacing w:after="0" w:line="20" w:lineRule="exact"/>
              <w:rPr>
                <w:sz w:val="1"/>
                <w:szCs w:val="1"/>
                <w:color w:val="auto"/>
              </w:rPr>
            </w:pPr>
          </w:p>
        </w:tc>
        <w:tc>
          <w:tcPr>
            <w:tcW w:w="160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r>
      <w:tr>
        <w:trPr>
          <w:trHeight w:val="227"/>
        </w:trPr>
        <w:tc>
          <w:tcPr>
            <w:tcW w:w="2600" w:type="dxa"/>
            <w:vAlign w:val="bottom"/>
            <w:gridSpan w:val="4"/>
          </w:tcPr>
          <w:p>
            <w:pPr>
              <w:ind w:left="340"/>
              <w:spacing w:after="0" w:line="228" w:lineRule="exact"/>
              <w:rPr>
                <w:sz w:val="20"/>
                <w:szCs w:val="20"/>
                <w:color w:val="auto"/>
              </w:rPr>
            </w:pPr>
            <w:r>
              <w:rPr>
                <w:rFonts w:ascii="Times New Roman" w:cs="Times New Roman" w:eastAsia="Times New Roman" w:hAnsi="Times New Roman"/>
                <w:sz w:val="20"/>
                <w:szCs w:val="20"/>
                <w:color w:val="auto"/>
              </w:rPr>
              <w:t>Name: Daniel Zevnik</w:t>
            </w:r>
          </w:p>
        </w:tc>
        <w:tc>
          <w:tcPr>
            <w:tcW w:w="640" w:type="dxa"/>
            <w:vAlign w:val="bottom"/>
          </w:tcPr>
          <w:p>
            <w:pPr>
              <w:spacing w:after="0"/>
              <w:rPr>
                <w:sz w:val="19"/>
                <w:szCs w:val="19"/>
                <w:color w:val="auto"/>
              </w:rPr>
            </w:pPr>
          </w:p>
        </w:tc>
        <w:tc>
          <w:tcPr>
            <w:tcW w:w="640" w:type="dxa"/>
            <w:vAlign w:val="bottom"/>
          </w:tcPr>
          <w:p>
            <w:pPr>
              <w:spacing w:after="0"/>
              <w:rPr>
                <w:sz w:val="19"/>
                <w:szCs w:val="19"/>
                <w:color w:val="auto"/>
              </w:rPr>
            </w:pPr>
          </w:p>
        </w:tc>
      </w:tr>
      <w:tr>
        <w:trPr>
          <w:trHeight w:val="258"/>
        </w:trPr>
        <w:tc>
          <w:tcPr>
            <w:tcW w:w="2600" w:type="dxa"/>
            <w:vAlign w:val="bottom"/>
            <w:gridSpan w:val="4"/>
          </w:tcPr>
          <w:p>
            <w:pPr>
              <w:ind w:left="340"/>
              <w:spacing w:after="0"/>
              <w:rPr>
                <w:sz w:val="20"/>
                <w:szCs w:val="20"/>
                <w:color w:val="auto"/>
              </w:rPr>
            </w:pPr>
            <w:r>
              <w:rPr>
                <w:rFonts w:ascii="Times New Roman" w:cs="Times New Roman" w:eastAsia="Times New Roman" w:hAnsi="Times New Roman"/>
                <w:sz w:val="20"/>
                <w:szCs w:val="20"/>
                <w:color w:val="auto"/>
              </w:rPr>
              <w:t>Title:  Managing Director</w:t>
            </w:r>
          </w:p>
        </w:tc>
        <w:tc>
          <w:tcPr>
            <w:tcW w:w="640" w:type="dxa"/>
            <w:vAlign w:val="bottom"/>
          </w:tcPr>
          <w:p>
            <w:pPr>
              <w:spacing w:after="0"/>
              <w:rPr>
                <w:sz w:val="22"/>
                <w:szCs w:val="22"/>
                <w:color w:val="auto"/>
              </w:rPr>
            </w:pPr>
          </w:p>
        </w:tc>
        <w:tc>
          <w:tcPr>
            <w:tcW w:w="640" w:type="dxa"/>
            <w:vAlign w:val="bottom"/>
          </w:tcPr>
          <w:p>
            <w:pPr>
              <w:spacing w:after="0"/>
              <w:rPr>
                <w:sz w:val="22"/>
                <w:szCs w:val="22"/>
                <w:color w:val="auto"/>
              </w:rPr>
            </w:pPr>
          </w:p>
        </w:tc>
      </w:tr>
    </w:tbl>
    <w:p>
      <w:pPr>
        <w:spacing w:after="0" w:line="200" w:lineRule="exact"/>
        <w:rPr>
          <w:sz w:val="20"/>
          <w:szCs w:val="20"/>
          <w:color w:val="auto"/>
        </w:rPr>
      </w:pPr>
    </w:p>
    <w:p>
      <w:pPr>
        <w:spacing w:after="0" w:line="230"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20"/>
          <w:szCs w:val="20"/>
          <w:color w:val="auto"/>
        </w:rPr>
        <w:t>TMD-DL HOLDINGS, LLC,</w:t>
      </w:r>
    </w:p>
    <w:p>
      <w:pPr>
        <w:spacing w:after="0" w:line="21"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20"/>
          <w:szCs w:val="20"/>
          <w:color w:val="auto"/>
        </w:rPr>
        <w:t>as a Lender</w:t>
      </w:r>
    </w:p>
    <w:p>
      <w:pPr>
        <w:ind w:left="4420"/>
        <w:spacing w:after="0"/>
        <w:rPr>
          <w:sz w:val="20"/>
          <w:szCs w:val="20"/>
          <w:color w:val="auto"/>
        </w:rPr>
      </w:pPr>
      <w:r>
        <w:rPr>
          <w:rFonts w:ascii="Times New Roman" w:cs="Times New Roman" w:eastAsia="Times New Roman" w:hAnsi="Times New Roman"/>
          <w:sz w:val="19"/>
          <w:szCs w:val="19"/>
          <w:color w:val="auto"/>
        </w:rPr>
        <w:t>By: HPS Investment Partners, LLC, as Investment</w:t>
      </w:r>
    </w:p>
    <w:p>
      <w:pPr>
        <w:spacing w:after="0" w:line="11"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20"/>
          <w:szCs w:val="20"/>
          <w:color w:val="auto"/>
        </w:rPr>
        <w:t>Manager</w:t>
      </w:r>
    </w:p>
    <w:p>
      <w:pPr>
        <w:spacing w:after="0" w:line="200" w:lineRule="exact"/>
        <w:rPr>
          <w:sz w:val="20"/>
          <w:szCs w:val="20"/>
          <w:color w:val="auto"/>
        </w:rPr>
      </w:pPr>
    </w:p>
    <w:p>
      <w:pPr>
        <w:spacing w:after="0" w:line="218" w:lineRule="exact"/>
        <w:rPr>
          <w:sz w:val="20"/>
          <w:szCs w:val="20"/>
          <w:color w:val="auto"/>
        </w:rPr>
      </w:pPr>
    </w:p>
    <w:tbl>
      <w:tblPr>
        <w:tblLayout w:type="fixed"/>
        <w:tblInd w:w="4420" w:type="dxa"/>
        <w:tblCellMar>
          <w:top w:w="0" w:type="dxa"/>
          <w:left w:w="0" w:type="dxa"/>
          <w:bottom w:w="0" w:type="dxa"/>
          <w:right w:w="0" w:type="dxa"/>
        </w:tblCellMar>
      </w:tblPr>
      <w:tr>
        <w:trPr>
          <w:trHeight w:val="230"/>
        </w:trPr>
        <w:tc>
          <w:tcPr>
            <w:tcW w:w="2600" w:type="dxa"/>
            <w:vAlign w:val="bottom"/>
            <w:gridSpan w:val="4"/>
          </w:tcPr>
          <w:p>
            <w:pPr>
              <w:spacing w:after="0"/>
              <w:rPr>
                <w:sz w:val="20"/>
                <w:szCs w:val="20"/>
                <w:color w:val="auto"/>
              </w:rPr>
            </w:pPr>
            <w:r>
              <w:rPr>
                <w:rFonts w:ascii="Times New Roman" w:cs="Times New Roman" w:eastAsia="Times New Roman" w:hAnsi="Times New Roman"/>
                <w:sz w:val="20"/>
                <w:szCs w:val="20"/>
                <w:color w:val="auto"/>
              </w:rPr>
              <w:t>By: /s/ Daniel Zevnik   ​</w:t>
            </w:r>
          </w:p>
        </w:tc>
        <w:tc>
          <w:tcPr>
            <w:tcW w:w="640" w:type="dxa"/>
            <w:vAlign w:val="bottom"/>
          </w:tcPr>
          <w:p>
            <w:pPr>
              <w:spacing w:after="0"/>
              <w:rPr>
                <w:sz w:val="20"/>
                <w:szCs w:val="20"/>
                <w:color w:val="auto"/>
              </w:rPr>
            </w:pPr>
            <w:r>
              <w:rPr>
                <w:rFonts w:ascii="Times New Roman" w:cs="Times New Roman" w:eastAsia="Times New Roman" w:hAnsi="Times New Roman"/>
                <w:sz w:val="20"/>
                <w:szCs w:val="20"/>
                <w:color w:val="auto"/>
              </w:rPr>
              <w:t>​</w:t>
            </w:r>
          </w:p>
        </w:tc>
        <w:tc>
          <w:tcPr>
            <w:tcW w:w="640" w:type="dxa"/>
            <w:vAlign w:val="bottom"/>
          </w:tcPr>
          <w:p>
            <w:pPr>
              <w:spacing w:after="0"/>
              <w:rPr>
                <w:sz w:val="20"/>
                <w:szCs w:val="20"/>
                <w:color w:val="auto"/>
              </w:rPr>
            </w:pPr>
            <w:r>
              <w:rPr>
                <w:rFonts w:ascii="Times New Roman" w:cs="Times New Roman" w:eastAsia="Times New Roman" w:hAnsi="Times New Roman"/>
                <w:sz w:val="20"/>
                <w:szCs w:val="20"/>
                <w:color w:val="auto"/>
              </w:rPr>
              <w:t>​</w:t>
            </w:r>
          </w:p>
        </w:tc>
      </w:tr>
      <w:tr>
        <w:trPr>
          <w:trHeight w:val="20"/>
        </w:trPr>
        <w:tc>
          <w:tcPr>
            <w:tcW w:w="340" w:type="dxa"/>
            <w:vAlign w:val="bottom"/>
          </w:tcPr>
          <w:p>
            <w:pPr>
              <w:spacing w:after="0" w:line="20" w:lineRule="exact"/>
              <w:rPr>
                <w:sz w:val="1"/>
                <w:szCs w:val="1"/>
                <w:color w:val="auto"/>
              </w:rPr>
            </w:pPr>
          </w:p>
        </w:tc>
        <w:tc>
          <w:tcPr>
            <w:tcW w:w="160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r>
      <w:tr>
        <w:trPr>
          <w:trHeight w:val="227"/>
        </w:trPr>
        <w:tc>
          <w:tcPr>
            <w:tcW w:w="2600" w:type="dxa"/>
            <w:vAlign w:val="bottom"/>
            <w:gridSpan w:val="4"/>
          </w:tcPr>
          <w:p>
            <w:pPr>
              <w:ind w:left="340"/>
              <w:spacing w:after="0" w:line="228" w:lineRule="exact"/>
              <w:rPr>
                <w:sz w:val="20"/>
                <w:szCs w:val="20"/>
                <w:color w:val="auto"/>
              </w:rPr>
            </w:pPr>
            <w:r>
              <w:rPr>
                <w:rFonts w:ascii="Times New Roman" w:cs="Times New Roman" w:eastAsia="Times New Roman" w:hAnsi="Times New Roman"/>
                <w:sz w:val="20"/>
                <w:szCs w:val="20"/>
                <w:color w:val="auto"/>
              </w:rPr>
              <w:t>Name: Daniel Zevnik</w:t>
            </w:r>
          </w:p>
        </w:tc>
        <w:tc>
          <w:tcPr>
            <w:tcW w:w="640" w:type="dxa"/>
            <w:vAlign w:val="bottom"/>
          </w:tcPr>
          <w:p>
            <w:pPr>
              <w:spacing w:after="0"/>
              <w:rPr>
                <w:sz w:val="19"/>
                <w:szCs w:val="19"/>
                <w:color w:val="auto"/>
              </w:rPr>
            </w:pPr>
          </w:p>
        </w:tc>
        <w:tc>
          <w:tcPr>
            <w:tcW w:w="640" w:type="dxa"/>
            <w:vAlign w:val="bottom"/>
          </w:tcPr>
          <w:p>
            <w:pPr>
              <w:spacing w:after="0"/>
              <w:rPr>
                <w:sz w:val="19"/>
                <w:szCs w:val="19"/>
                <w:color w:val="auto"/>
              </w:rPr>
            </w:pPr>
          </w:p>
        </w:tc>
      </w:tr>
      <w:tr>
        <w:trPr>
          <w:trHeight w:val="258"/>
        </w:trPr>
        <w:tc>
          <w:tcPr>
            <w:tcW w:w="2600" w:type="dxa"/>
            <w:vAlign w:val="bottom"/>
            <w:gridSpan w:val="4"/>
          </w:tcPr>
          <w:p>
            <w:pPr>
              <w:ind w:left="340"/>
              <w:spacing w:after="0"/>
              <w:rPr>
                <w:sz w:val="20"/>
                <w:szCs w:val="20"/>
                <w:color w:val="auto"/>
              </w:rPr>
            </w:pPr>
            <w:r>
              <w:rPr>
                <w:rFonts w:ascii="Times New Roman" w:cs="Times New Roman" w:eastAsia="Times New Roman" w:hAnsi="Times New Roman"/>
                <w:sz w:val="20"/>
                <w:szCs w:val="20"/>
                <w:color w:val="auto"/>
              </w:rPr>
              <w:t>Title:  Managing Director</w:t>
            </w:r>
          </w:p>
        </w:tc>
        <w:tc>
          <w:tcPr>
            <w:tcW w:w="640" w:type="dxa"/>
            <w:vAlign w:val="bottom"/>
          </w:tcPr>
          <w:p>
            <w:pPr>
              <w:spacing w:after="0"/>
              <w:rPr>
                <w:sz w:val="22"/>
                <w:szCs w:val="22"/>
                <w:color w:val="auto"/>
              </w:rPr>
            </w:pPr>
          </w:p>
        </w:tc>
        <w:tc>
          <w:tcPr>
            <w:tcW w:w="640" w:type="dxa"/>
            <w:vAlign w:val="bottom"/>
          </w:tcPr>
          <w:p>
            <w:pPr>
              <w:spacing w:after="0"/>
              <w:rPr>
                <w:sz w:val="22"/>
                <w:szCs w:val="22"/>
                <w:color w:val="auto"/>
              </w:rPr>
            </w:pPr>
          </w:p>
        </w:tc>
      </w:tr>
    </w:tbl>
    <w:p>
      <w:pPr>
        <w:spacing w:after="0" w:line="200" w:lineRule="exact"/>
        <w:rPr>
          <w:sz w:val="20"/>
          <w:szCs w:val="20"/>
          <w:color w:val="auto"/>
        </w:rPr>
      </w:pPr>
    </w:p>
    <w:p>
      <w:pPr>
        <w:spacing w:after="0" w:line="230"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20"/>
          <w:szCs w:val="20"/>
          <w:color w:val="auto"/>
        </w:rPr>
        <w:t>CACTUS DIRECT LENDING FUND, L.P.,</w:t>
      </w:r>
    </w:p>
    <w:p>
      <w:pPr>
        <w:spacing w:after="0" w:line="21"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20"/>
          <w:szCs w:val="20"/>
          <w:color w:val="auto"/>
        </w:rPr>
        <w:t>as a Lender</w:t>
      </w:r>
    </w:p>
    <w:p>
      <w:pPr>
        <w:ind w:left="4420"/>
        <w:spacing w:after="0"/>
        <w:rPr>
          <w:sz w:val="20"/>
          <w:szCs w:val="20"/>
          <w:color w:val="auto"/>
        </w:rPr>
      </w:pPr>
      <w:r>
        <w:rPr>
          <w:rFonts w:ascii="Times New Roman" w:cs="Times New Roman" w:eastAsia="Times New Roman" w:hAnsi="Times New Roman"/>
          <w:sz w:val="19"/>
          <w:szCs w:val="19"/>
          <w:color w:val="auto"/>
        </w:rPr>
        <w:t>By: HPS Investment Partners, LLC, its Investment</w:t>
      </w:r>
    </w:p>
    <w:p>
      <w:pPr>
        <w:spacing w:after="0" w:line="11"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20"/>
          <w:szCs w:val="20"/>
          <w:color w:val="auto"/>
        </w:rPr>
        <w:t>Manager</w:t>
      </w:r>
    </w:p>
    <w:p>
      <w:pPr>
        <w:spacing w:after="0" w:line="200" w:lineRule="exact"/>
        <w:rPr>
          <w:sz w:val="20"/>
          <w:szCs w:val="20"/>
          <w:color w:val="auto"/>
        </w:rPr>
      </w:pPr>
    </w:p>
    <w:p>
      <w:pPr>
        <w:spacing w:after="0" w:line="218" w:lineRule="exact"/>
        <w:rPr>
          <w:sz w:val="20"/>
          <w:szCs w:val="20"/>
          <w:color w:val="auto"/>
        </w:rPr>
      </w:pPr>
    </w:p>
    <w:tbl>
      <w:tblPr>
        <w:tblLayout w:type="fixed"/>
        <w:tblInd w:w="4420" w:type="dxa"/>
        <w:tblCellMar>
          <w:top w:w="0" w:type="dxa"/>
          <w:left w:w="0" w:type="dxa"/>
          <w:bottom w:w="0" w:type="dxa"/>
          <w:right w:w="0" w:type="dxa"/>
        </w:tblCellMar>
      </w:tblPr>
      <w:tr>
        <w:trPr>
          <w:trHeight w:val="230"/>
        </w:trPr>
        <w:tc>
          <w:tcPr>
            <w:tcW w:w="2600" w:type="dxa"/>
            <w:vAlign w:val="bottom"/>
            <w:gridSpan w:val="4"/>
          </w:tcPr>
          <w:p>
            <w:pPr>
              <w:spacing w:after="0"/>
              <w:rPr>
                <w:sz w:val="20"/>
                <w:szCs w:val="20"/>
                <w:color w:val="auto"/>
              </w:rPr>
            </w:pPr>
            <w:r>
              <w:rPr>
                <w:rFonts w:ascii="Times New Roman" w:cs="Times New Roman" w:eastAsia="Times New Roman" w:hAnsi="Times New Roman"/>
                <w:sz w:val="20"/>
                <w:szCs w:val="20"/>
                <w:color w:val="auto"/>
              </w:rPr>
              <w:t>By: /s/ Daniel Zevnik   ​</w:t>
            </w:r>
          </w:p>
        </w:tc>
        <w:tc>
          <w:tcPr>
            <w:tcW w:w="640" w:type="dxa"/>
            <w:vAlign w:val="bottom"/>
          </w:tcPr>
          <w:p>
            <w:pPr>
              <w:spacing w:after="0"/>
              <w:rPr>
                <w:sz w:val="20"/>
                <w:szCs w:val="20"/>
                <w:color w:val="auto"/>
              </w:rPr>
            </w:pPr>
            <w:r>
              <w:rPr>
                <w:rFonts w:ascii="Times New Roman" w:cs="Times New Roman" w:eastAsia="Times New Roman" w:hAnsi="Times New Roman"/>
                <w:sz w:val="20"/>
                <w:szCs w:val="20"/>
                <w:color w:val="auto"/>
              </w:rPr>
              <w:t>​</w:t>
            </w:r>
          </w:p>
        </w:tc>
        <w:tc>
          <w:tcPr>
            <w:tcW w:w="640" w:type="dxa"/>
            <w:vAlign w:val="bottom"/>
          </w:tcPr>
          <w:p>
            <w:pPr>
              <w:spacing w:after="0"/>
              <w:rPr>
                <w:sz w:val="20"/>
                <w:szCs w:val="20"/>
                <w:color w:val="auto"/>
              </w:rPr>
            </w:pPr>
            <w:r>
              <w:rPr>
                <w:rFonts w:ascii="Times New Roman" w:cs="Times New Roman" w:eastAsia="Times New Roman" w:hAnsi="Times New Roman"/>
                <w:sz w:val="20"/>
                <w:szCs w:val="20"/>
                <w:color w:val="auto"/>
              </w:rPr>
              <w:t>​</w:t>
            </w:r>
          </w:p>
        </w:tc>
      </w:tr>
      <w:tr>
        <w:trPr>
          <w:trHeight w:val="20"/>
        </w:trPr>
        <w:tc>
          <w:tcPr>
            <w:tcW w:w="300" w:type="dxa"/>
            <w:vAlign w:val="bottom"/>
          </w:tcPr>
          <w:p>
            <w:pPr>
              <w:spacing w:after="0" w:line="20" w:lineRule="exact"/>
              <w:rPr>
                <w:sz w:val="1"/>
                <w:szCs w:val="1"/>
                <w:color w:val="auto"/>
              </w:rPr>
            </w:pPr>
          </w:p>
        </w:tc>
        <w:tc>
          <w:tcPr>
            <w:tcW w:w="164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r>
      <w:tr>
        <w:trPr>
          <w:trHeight w:val="227"/>
        </w:trPr>
        <w:tc>
          <w:tcPr>
            <w:tcW w:w="300" w:type="dxa"/>
            <w:vAlign w:val="bottom"/>
          </w:tcPr>
          <w:p>
            <w:pPr>
              <w:spacing w:after="0"/>
              <w:rPr>
                <w:sz w:val="19"/>
                <w:szCs w:val="19"/>
                <w:color w:val="auto"/>
              </w:rPr>
            </w:pPr>
          </w:p>
        </w:tc>
        <w:tc>
          <w:tcPr>
            <w:tcW w:w="2300" w:type="dxa"/>
            <w:vAlign w:val="bottom"/>
            <w:gridSpan w:val="3"/>
          </w:tcPr>
          <w:p>
            <w:pPr>
              <w:ind w:left="40"/>
              <w:spacing w:after="0" w:line="228" w:lineRule="exact"/>
              <w:rPr>
                <w:sz w:val="20"/>
                <w:szCs w:val="20"/>
                <w:color w:val="auto"/>
              </w:rPr>
            </w:pPr>
            <w:r>
              <w:rPr>
                <w:rFonts w:ascii="Times New Roman" w:cs="Times New Roman" w:eastAsia="Times New Roman" w:hAnsi="Times New Roman"/>
                <w:sz w:val="20"/>
                <w:szCs w:val="20"/>
                <w:color w:val="auto"/>
              </w:rPr>
              <w:t>Name: Daniel Zevnik</w:t>
            </w:r>
          </w:p>
        </w:tc>
        <w:tc>
          <w:tcPr>
            <w:tcW w:w="640" w:type="dxa"/>
            <w:vAlign w:val="bottom"/>
          </w:tcPr>
          <w:p>
            <w:pPr>
              <w:spacing w:after="0"/>
              <w:rPr>
                <w:sz w:val="19"/>
                <w:szCs w:val="19"/>
                <w:color w:val="auto"/>
              </w:rPr>
            </w:pPr>
          </w:p>
        </w:tc>
        <w:tc>
          <w:tcPr>
            <w:tcW w:w="640" w:type="dxa"/>
            <w:vAlign w:val="bottom"/>
          </w:tcPr>
          <w:p>
            <w:pPr>
              <w:spacing w:after="0"/>
              <w:rPr>
                <w:sz w:val="19"/>
                <w:szCs w:val="19"/>
                <w:color w:val="auto"/>
              </w:rPr>
            </w:pPr>
          </w:p>
        </w:tc>
      </w:tr>
      <w:tr>
        <w:trPr>
          <w:trHeight w:val="258"/>
        </w:trPr>
        <w:tc>
          <w:tcPr>
            <w:tcW w:w="300" w:type="dxa"/>
            <w:vAlign w:val="bottom"/>
          </w:tcPr>
          <w:p>
            <w:pPr>
              <w:spacing w:after="0"/>
              <w:rPr>
                <w:sz w:val="22"/>
                <w:szCs w:val="22"/>
                <w:color w:val="auto"/>
              </w:rPr>
            </w:pPr>
          </w:p>
        </w:tc>
        <w:tc>
          <w:tcPr>
            <w:tcW w:w="2300" w:type="dxa"/>
            <w:vAlign w:val="bottom"/>
            <w:gridSpan w:val="3"/>
          </w:tcPr>
          <w:p>
            <w:pPr>
              <w:ind w:left="40"/>
              <w:spacing w:after="0"/>
              <w:rPr>
                <w:sz w:val="20"/>
                <w:szCs w:val="20"/>
                <w:color w:val="auto"/>
              </w:rPr>
            </w:pPr>
            <w:r>
              <w:rPr>
                <w:rFonts w:ascii="Times New Roman" w:cs="Times New Roman" w:eastAsia="Times New Roman" w:hAnsi="Times New Roman"/>
                <w:sz w:val="20"/>
                <w:szCs w:val="20"/>
                <w:color w:val="auto"/>
              </w:rPr>
              <w:t>Title:  Managing Director</w:t>
            </w:r>
          </w:p>
        </w:tc>
        <w:tc>
          <w:tcPr>
            <w:tcW w:w="640" w:type="dxa"/>
            <w:vAlign w:val="bottom"/>
          </w:tcPr>
          <w:p>
            <w:pPr>
              <w:spacing w:after="0"/>
              <w:rPr>
                <w:sz w:val="22"/>
                <w:szCs w:val="22"/>
                <w:color w:val="auto"/>
              </w:rPr>
            </w:pPr>
          </w:p>
        </w:tc>
        <w:tc>
          <w:tcPr>
            <w:tcW w:w="640" w:type="dxa"/>
            <w:vAlign w:val="bottom"/>
          </w:tcPr>
          <w:p>
            <w:pPr>
              <w:spacing w:after="0"/>
              <w:rPr>
                <w:sz w:val="22"/>
                <w:szCs w:val="22"/>
                <w:color w:val="auto"/>
              </w:rPr>
            </w:pPr>
          </w:p>
        </w:tc>
      </w:tr>
    </w:tbl>
    <w:p>
      <w:pPr>
        <w:spacing w:after="0" w:line="200" w:lineRule="exact"/>
        <w:rPr>
          <w:sz w:val="20"/>
          <w:szCs w:val="20"/>
          <w:color w:val="auto"/>
        </w:rPr>
      </w:pPr>
    </w:p>
    <w:p>
      <w:pPr>
        <w:spacing w:after="0" w:line="230"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20"/>
          <w:szCs w:val="20"/>
          <w:color w:val="auto"/>
        </w:rPr>
        <w:t>RED CEDAR FUND 2016, L.P.,</w:t>
      </w:r>
    </w:p>
    <w:p>
      <w:pPr>
        <w:spacing w:after="0" w:line="21"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20"/>
          <w:szCs w:val="20"/>
          <w:color w:val="auto"/>
        </w:rPr>
        <w:t>as a Lender</w:t>
      </w:r>
    </w:p>
    <w:p>
      <w:pPr>
        <w:ind w:left="4420"/>
        <w:spacing w:after="0"/>
        <w:rPr>
          <w:sz w:val="20"/>
          <w:szCs w:val="20"/>
          <w:color w:val="auto"/>
        </w:rPr>
      </w:pPr>
      <w:r>
        <w:rPr>
          <w:rFonts w:ascii="Times New Roman" w:cs="Times New Roman" w:eastAsia="Times New Roman" w:hAnsi="Times New Roman"/>
          <w:sz w:val="19"/>
          <w:szCs w:val="19"/>
          <w:color w:val="auto"/>
        </w:rPr>
        <w:t>By: HPS Investment Partners, LLC, its Investment</w:t>
      </w:r>
    </w:p>
    <w:p>
      <w:pPr>
        <w:spacing w:after="0" w:line="11"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20"/>
          <w:szCs w:val="20"/>
          <w:color w:val="auto"/>
        </w:rPr>
        <w:t>Manager</w:t>
      </w:r>
    </w:p>
    <w:p>
      <w:pPr>
        <w:spacing w:after="0" w:line="200" w:lineRule="exact"/>
        <w:rPr>
          <w:sz w:val="20"/>
          <w:szCs w:val="20"/>
          <w:color w:val="auto"/>
        </w:rPr>
      </w:pPr>
    </w:p>
    <w:p>
      <w:pPr>
        <w:spacing w:after="0" w:line="218" w:lineRule="exact"/>
        <w:rPr>
          <w:sz w:val="20"/>
          <w:szCs w:val="20"/>
          <w:color w:val="auto"/>
        </w:rPr>
      </w:pPr>
    </w:p>
    <w:tbl>
      <w:tblPr>
        <w:tblLayout w:type="fixed"/>
        <w:tblInd w:w="4420" w:type="dxa"/>
        <w:tblCellMar>
          <w:top w:w="0" w:type="dxa"/>
          <w:left w:w="0" w:type="dxa"/>
          <w:bottom w:w="0" w:type="dxa"/>
          <w:right w:w="0" w:type="dxa"/>
        </w:tblCellMar>
      </w:tblPr>
      <w:tr>
        <w:trPr>
          <w:trHeight w:val="230"/>
        </w:trPr>
        <w:tc>
          <w:tcPr>
            <w:tcW w:w="2600" w:type="dxa"/>
            <w:vAlign w:val="bottom"/>
            <w:gridSpan w:val="4"/>
          </w:tcPr>
          <w:p>
            <w:pPr>
              <w:spacing w:after="0"/>
              <w:rPr>
                <w:sz w:val="20"/>
                <w:szCs w:val="20"/>
                <w:color w:val="auto"/>
              </w:rPr>
            </w:pPr>
            <w:r>
              <w:rPr>
                <w:rFonts w:ascii="Times New Roman" w:cs="Times New Roman" w:eastAsia="Times New Roman" w:hAnsi="Times New Roman"/>
                <w:sz w:val="20"/>
                <w:szCs w:val="20"/>
                <w:color w:val="auto"/>
              </w:rPr>
              <w:t>By: /s/ Daniel Zevnik   ​</w:t>
            </w:r>
          </w:p>
        </w:tc>
        <w:tc>
          <w:tcPr>
            <w:tcW w:w="640" w:type="dxa"/>
            <w:vAlign w:val="bottom"/>
          </w:tcPr>
          <w:p>
            <w:pPr>
              <w:spacing w:after="0"/>
              <w:rPr>
                <w:sz w:val="20"/>
                <w:szCs w:val="20"/>
                <w:color w:val="auto"/>
              </w:rPr>
            </w:pPr>
            <w:r>
              <w:rPr>
                <w:rFonts w:ascii="Times New Roman" w:cs="Times New Roman" w:eastAsia="Times New Roman" w:hAnsi="Times New Roman"/>
                <w:sz w:val="20"/>
                <w:szCs w:val="20"/>
                <w:color w:val="auto"/>
              </w:rPr>
              <w:t>​</w:t>
            </w:r>
          </w:p>
        </w:tc>
        <w:tc>
          <w:tcPr>
            <w:tcW w:w="640" w:type="dxa"/>
            <w:vAlign w:val="bottom"/>
          </w:tcPr>
          <w:p>
            <w:pPr>
              <w:spacing w:after="0"/>
              <w:rPr>
                <w:sz w:val="20"/>
                <w:szCs w:val="20"/>
                <w:color w:val="auto"/>
              </w:rPr>
            </w:pPr>
            <w:r>
              <w:rPr>
                <w:rFonts w:ascii="Times New Roman" w:cs="Times New Roman" w:eastAsia="Times New Roman" w:hAnsi="Times New Roman"/>
                <w:sz w:val="20"/>
                <w:szCs w:val="20"/>
                <w:color w:val="auto"/>
              </w:rPr>
              <w:t>​</w:t>
            </w:r>
          </w:p>
        </w:tc>
      </w:tr>
      <w:tr>
        <w:trPr>
          <w:trHeight w:val="20"/>
        </w:trPr>
        <w:tc>
          <w:tcPr>
            <w:tcW w:w="340" w:type="dxa"/>
            <w:vAlign w:val="bottom"/>
          </w:tcPr>
          <w:p>
            <w:pPr>
              <w:spacing w:after="0" w:line="20" w:lineRule="exact"/>
              <w:rPr>
                <w:sz w:val="1"/>
                <w:szCs w:val="1"/>
                <w:color w:val="auto"/>
              </w:rPr>
            </w:pPr>
          </w:p>
        </w:tc>
        <w:tc>
          <w:tcPr>
            <w:tcW w:w="160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r>
      <w:tr>
        <w:trPr>
          <w:trHeight w:val="227"/>
        </w:trPr>
        <w:tc>
          <w:tcPr>
            <w:tcW w:w="2600" w:type="dxa"/>
            <w:vAlign w:val="bottom"/>
            <w:gridSpan w:val="4"/>
          </w:tcPr>
          <w:p>
            <w:pPr>
              <w:ind w:left="340"/>
              <w:spacing w:after="0" w:line="228" w:lineRule="exact"/>
              <w:rPr>
                <w:sz w:val="20"/>
                <w:szCs w:val="20"/>
                <w:color w:val="auto"/>
              </w:rPr>
            </w:pPr>
            <w:r>
              <w:rPr>
                <w:rFonts w:ascii="Times New Roman" w:cs="Times New Roman" w:eastAsia="Times New Roman" w:hAnsi="Times New Roman"/>
                <w:sz w:val="20"/>
                <w:szCs w:val="20"/>
                <w:color w:val="auto"/>
              </w:rPr>
              <w:t>Name: Daniel Zevnik</w:t>
            </w:r>
          </w:p>
        </w:tc>
        <w:tc>
          <w:tcPr>
            <w:tcW w:w="640" w:type="dxa"/>
            <w:vAlign w:val="bottom"/>
          </w:tcPr>
          <w:p>
            <w:pPr>
              <w:spacing w:after="0"/>
              <w:rPr>
                <w:sz w:val="19"/>
                <w:szCs w:val="19"/>
                <w:color w:val="auto"/>
              </w:rPr>
            </w:pPr>
          </w:p>
        </w:tc>
        <w:tc>
          <w:tcPr>
            <w:tcW w:w="640" w:type="dxa"/>
            <w:vAlign w:val="bottom"/>
          </w:tcPr>
          <w:p>
            <w:pPr>
              <w:spacing w:after="0"/>
              <w:rPr>
                <w:sz w:val="19"/>
                <w:szCs w:val="19"/>
                <w:color w:val="auto"/>
              </w:rPr>
            </w:pPr>
          </w:p>
        </w:tc>
      </w:tr>
      <w:tr>
        <w:trPr>
          <w:trHeight w:val="258"/>
        </w:trPr>
        <w:tc>
          <w:tcPr>
            <w:tcW w:w="2600" w:type="dxa"/>
            <w:vAlign w:val="bottom"/>
            <w:gridSpan w:val="4"/>
          </w:tcPr>
          <w:p>
            <w:pPr>
              <w:ind w:left="340"/>
              <w:spacing w:after="0"/>
              <w:rPr>
                <w:sz w:val="20"/>
                <w:szCs w:val="20"/>
                <w:color w:val="auto"/>
              </w:rPr>
            </w:pPr>
            <w:r>
              <w:rPr>
                <w:rFonts w:ascii="Times New Roman" w:cs="Times New Roman" w:eastAsia="Times New Roman" w:hAnsi="Times New Roman"/>
                <w:sz w:val="20"/>
                <w:szCs w:val="20"/>
                <w:color w:val="auto"/>
              </w:rPr>
              <w:t>Title:  Managing Director</w:t>
            </w:r>
          </w:p>
        </w:tc>
        <w:tc>
          <w:tcPr>
            <w:tcW w:w="640" w:type="dxa"/>
            <w:vAlign w:val="bottom"/>
          </w:tcPr>
          <w:p>
            <w:pPr>
              <w:spacing w:after="0"/>
              <w:rPr>
                <w:sz w:val="22"/>
                <w:szCs w:val="22"/>
                <w:color w:val="auto"/>
              </w:rPr>
            </w:pPr>
          </w:p>
        </w:tc>
        <w:tc>
          <w:tcPr>
            <w:tcW w:w="640" w:type="dxa"/>
            <w:vAlign w:val="bottom"/>
          </w:tcPr>
          <w:p>
            <w:pPr>
              <w:spacing w:after="0"/>
              <w:rPr>
                <w:sz w:val="22"/>
                <w:szCs w:val="22"/>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4"/>
          <w:szCs w:val="14"/>
          <w:color w:val="auto"/>
        </w:rPr>
        <w:t>US-DOCS\171161013.8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339725</wp:posOffset>
            </wp:positionH>
            <wp:positionV relativeFrom="paragraph">
              <wp:posOffset>349250</wp:posOffset>
            </wp:positionV>
            <wp:extent cx="5040630" cy="2603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86">
                      <a:extLst>
                        <a:ext uri="{28A0092B-C50C-407E-A947-70E740481C1C}"/>
                      </a:extLst>
                    </a:blip>
                    <a:srcRect/>
                    <a:stretch>
                      <a:fillRect/>
                    </a:stretch>
                  </pic:blipFill>
                  <pic:spPr bwMode="auto">
                    <a:xfrm>
                      <a:off x="0" y="0"/>
                      <a:ext cx="5040630" cy="26035"/>
                    </a:xfrm>
                    <a:prstGeom prst="rect">
                      <a:avLst/>
                    </a:prstGeom>
                    <a:noFill/>
                  </pic:spPr>
                </pic:pic>
              </a:graphicData>
            </a:graphic>
          </wp:anchor>
        </w:drawing>
      </w:r>
    </w:p>
    <w:p>
      <w:pPr>
        <w:sectPr>
          <w:pgSz w:w="11900" w:h="16838" w:orient="portrait"/>
          <w:cols w:equalWidth="0" w:num="1">
            <w:col w:w="9019"/>
          </w:cols>
          <w:pgMar w:left="1440" w:top="900" w:right="1440" w:bottom="1440" w:gutter="0" w:footer="0" w:header="0"/>
        </w:sectPr>
      </w:pPr>
    </w:p>
    <w:bookmarkStart w:id="66" w:name="page67"/>
    <w:bookmarkEnd w:id="66"/>
    <w:p>
      <w:pPr>
        <w:ind w:left="4420"/>
        <w:spacing w:after="0"/>
        <w:rPr>
          <w:sz w:val="20"/>
          <w:szCs w:val="20"/>
          <w:color w:val="auto"/>
        </w:rPr>
      </w:pPr>
      <w:r>
        <w:rPr>
          <w:rFonts w:ascii="Times New Roman" w:cs="Times New Roman" w:eastAsia="Times New Roman" w:hAnsi="Times New Roman"/>
          <w:sz w:val="20"/>
          <w:szCs w:val="20"/>
          <w:color w:val="auto"/>
        </w:rPr>
        <w:t>RED CEDAR HOLDINGS, L.P.,</w:t>
      </w:r>
    </w:p>
    <w:p>
      <w:pPr>
        <w:spacing w:after="0" w:line="21"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20"/>
          <w:szCs w:val="20"/>
          <w:color w:val="auto"/>
        </w:rPr>
        <w:t>as a Lender</w:t>
      </w:r>
    </w:p>
    <w:p>
      <w:pPr>
        <w:ind w:left="4420"/>
        <w:spacing w:after="0"/>
        <w:rPr>
          <w:sz w:val="20"/>
          <w:szCs w:val="20"/>
          <w:color w:val="auto"/>
        </w:rPr>
      </w:pPr>
      <w:r>
        <w:rPr>
          <w:rFonts w:ascii="Times New Roman" w:cs="Times New Roman" w:eastAsia="Times New Roman" w:hAnsi="Times New Roman"/>
          <w:sz w:val="19"/>
          <w:szCs w:val="19"/>
          <w:color w:val="auto"/>
        </w:rPr>
        <w:t>By: HPS Investment Partners, LLC, its Investment</w:t>
      </w:r>
    </w:p>
    <w:p>
      <w:pPr>
        <w:spacing w:after="0" w:line="11"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20"/>
          <w:szCs w:val="20"/>
          <w:color w:val="auto"/>
        </w:rPr>
        <w:t>Manager</w:t>
      </w:r>
    </w:p>
    <w:p>
      <w:pPr>
        <w:spacing w:after="0" w:line="200" w:lineRule="exact"/>
        <w:rPr>
          <w:sz w:val="20"/>
          <w:szCs w:val="20"/>
          <w:color w:val="auto"/>
        </w:rPr>
      </w:pPr>
    </w:p>
    <w:p>
      <w:pPr>
        <w:spacing w:after="0" w:line="218" w:lineRule="exact"/>
        <w:rPr>
          <w:sz w:val="20"/>
          <w:szCs w:val="20"/>
          <w:color w:val="auto"/>
        </w:rPr>
      </w:pPr>
    </w:p>
    <w:tbl>
      <w:tblPr>
        <w:tblLayout w:type="fixed"/>
        <w:tblInd w:w="4420" w:type="dxa"/>
        <w:tblCellMar>
          <w:top w:w="0" w:type="dxa"/>
          <w:left w:w="0" w:type="dxa"/>
          <w:bottom w:w="0" w:type="dxa"/>
          <w:right w:w="0" w:type="dxa"/>
        </w:tblCellMar>
      </w:tblPr>
      <w:tr>
        <w:trPr>
          <w:trHeight w:val="230"/>
        </w:trPr>
        <w:tc>
          <w:tcPr>
            <w:tcW w:w="2600" w:type="dxa"/>
            <w:vAlign w:val="bottom"/>
            <w:gridSpan w:val="4"/>
          </w:tcPr>
          <w:p>
            <w:pPr>
              <w:spacing w:after="0"/>
              <w:rPr>
                <w:sz w:val="20"/>
                <w:szCs w:val="20"/>
                <w:color w:val="auto"/>
              </w:rPr>
            </w:pPr>
            <w:r>
              <w:rPr>
                <w:rFonts w:ascii="Times New Roman" w:cs="Times New Roman" w:eastAsia="Times New Roman" w:hAnsi="Times New Roman"/>
                <w:sz w:val="20"/>
                <w:szCs w:val="20"/>
                <w:color w:val="auto"/>
              </w:rPr>
              <w:t>By: /s/ Daniel Zevnik   ​</w:t>
            </w:r>
          </w:p>
        </w:tc>
        <w:tc>
          <w:tcPr>
            <w:tcW w:w="640" w:type="dxa"/>
            <w:vAlign w:val="bottom"/>
          </w:tcPr>
          <w:p>
            <w:pPr>
              <w:spacing w:after="0"/>
              <w:rPr>
                <w:sz w:val="20"/>
                <w:szCs w:val="20"/>
                <w:color w:val="auto"/>
              </w:rPr>
            </w:pPr>
            <w:r>
              <w:rPr>
                <w:rFonts w:ascii="Times New Roman" w:cs="Times New Roman" w:eastAsia="Times New Roman" w:hAnsi="Times New Roman"/>
                <w:sz w:val="20"/>
                <w:szCs w:val="20"/>
                <w:color w:val="auto"/>
              </w:rPr>
              <w:t>​</w:t>
            </w:r>
          </w:p>
        </w:tc>
        <w:tc>
          <w:tcPr>
            <w:tcW w:w="640" w:type="dxa"/>
            <w:vAlign w:val="bottom"/>
          </w:tcPr>
          <w:p>
            <w:pPr>
              <w:spacing w:after="0"/>
              <w:rPr>
                <w:sz w:val="20"/>
                <w:szCs w:val="20"/>
                <w:color w:val="auto"/>
              </w:rPr>
            </w:pPr>
            <w:r>
              <w:rPr>
                <w:rFonts w:ascii="Times New Roman" w:cs="Times New Roman" w:eastAsia="Times New Roman" w:hAnsi="Times New Roman"/>
                <w:sz w:val="20"/>
                <w:szCs w:val="20"/>
                <w:color w:val="auto"/>
              </w:rPr>
              <w:t>​</w:t>
            </w:r>
          </w:p>
        </w:tc>
      </w:tr>
      <w:tr>
        <w:trPr>
          <w:trHeight w:val="20"/>
        </w:trPr>
        <w:tc>
          <w:tcPr>
            <w:tcW w:w="340" w:type="dxa"/>
            <w:vAlign w:val="bottom"/>
          </w:tcPr>
          <w:p>
            <w:pPr>
              <w:spacing w:after="0" w:line="20" w:lineRule="exact"/>
              <w:rPr>
                <w:sz w:val="1"/>
                <w:szCs w:val="1"/>
                <w:color w:val="auto"/>
              </w:rPr>
            </w:pPr>
          </w:p>
        </w:tc>
        <w:tc>
          <w:tcPr>
            <w:tcW w:w="160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r>
      <w:tr>
        <w:trPr>
          <w:trHeight w:val="227"/>
        </w:trPr>
        <w:tc>
          <w:tcPr>
            <w:tcW w:w="2600" w:type="dxa"/>
            <w:vAlign w:val="bottom"/>
            <w:gridSpan w:val="4"/>
          </w:tcPr>
          <w:p>
            <w:pPr>
              <w:ind w:left="340"/>
              <w:spacing w:after="0" w:line="228" w:lineRule="exact"/>
              <w:rPr>
                <w:sz w:val="20"/>
                <w:szCs w:val="20"/>
                <w:color w:val="auto"/>
              </w:rPr>
            </w:pPr>
            <w:r>
              <w:rPr>
                <w:rFonts w:ascii="Times New Roman" w:cs="Times New Roman" w:eastAsia="Times New Roman" w:hAnsi="Times New Roman"/>
                <w:sz w:val="20"/>
                <w:szCs w:val="20"/>
                <w:color w:val="auto"/>
              </w:rPr>
              <w:t>Name: Daniel Zevnik</w:t>
            </w:r>
          </w:p>
        </w:tc>
        <w:tc>
          <w:tcPr>
            <w:tcW w:w="640" w:type="dxa"/>
            <w:vAlign w:val="bottom"/>
          </w:tcPr>
          <w:p>
            <w:pPr>
              <w:spacing w:after="0"/>
              <w:rPr>
                <w:sz w:val="19"/>
                <w:szCs w:val="19"/>
                <w:color w:val="auto"/>
              </w:rPr>
            </w:pPr>
          </w:p>
        </w:tc>
        <w:tc>
          <w:tcPr>
            <w:tcW w:w="640" w:type="dxa"/>
            <w:vAlign w:val="bottom"/>
          </w:tcPr>
          <w:p>
            <w:pPr>
              <w:spacing w:after="0"/>
              <w:rPr>
                <w:sz w:val="19"/>
                <w:szCs w:val="19"/>
                <w:color w:val="auto"/>
              </w:rPr>
            </w:pPr>
          </w:p>
        </w:tc>
      </w:tr>
      <w:tr>
        <w:trPr>
          <w:trHeight w:val="258"/>
        </w:trPr>
        <w:tc>
          <w:tcPr>
            <w:tcW w:w="2600" w:type="dxa"/>
            <w:vAlign w:val="bottom"/>
            <w:gridSpan w:val="4"/>
          </w:tcPr>
          <w:p>
            <w:pPr>
              <w:ind w:left="340"/>
              <w:spacing w:after="0"/>
              <w:rPr>
                <w:sz w:val="20"/>
                <w:szCs w:val="20"/>
                <w:color w:val="auto"/>
              </w:rPr>
            </w:pPr>
            <w:r>
              <w:rPr>
                <w:rFonts w:ascii="Times New Roman" w:cs="Times New Roman" w:eastAsia="Times New Roman" w:hAnsi="Times New Roman"/>
                <w:sz w:val="20"/>
                <w:szCs w:val="20"/>
                <w:color w:val="auto"/>
              </w:rPr>
              <w:t>Title:  Managing Director</w:t>
            </w:r>
          </w:p>
        </w:tc>
        <w:tc>
          <w:tcPr>
            <w:tcW w:w="640" w:type="dxa"/>
            <w:vAlign w:val="bottom"/>
          </w:tcPr>
          <w:p>
            <w:pPr>
              <w:spacing w:after="0"/>
              <w:rPr>
                <w:sz w:val="22"/>
                <w:szCs w:val="22"/>
                <w:color w:val="auto"/>
              </w:rPr>
            </w:pPr>
          </w:p>
        </w:tc>
        <w:tc>
          <w:tcPr>
            <w:tcW w:w="640" w:type="dxa"/>
            <w:vAlign w:val="bottom"/>
          </w:tcPr>
          <w:p>
            <w:pPr>
              <w:spacing w:after="0"/>
              <w:rPr>
                <w:sz w:val="22"/>
                <w:szCs w:val="22"/>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20"/>
          <w:szCs w:val="20"/>
          <w:color w:val="auto"/>
        </w:rPr>
        <w:t>SWISS CAPITAL HPS PRIVATE DEBT FUND</w:t>
      </w:r>
    </w:p>
    <w:p>
      <w:pPr>
        <w:spacing w:after="0" w:line="21"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20"/>
          <w:szCs w:val="20"/>
          <w:color w:val="auto"/>
        </w:rPr>
        <w:t>L.P., as a Lender</w:t>
      </w:r>
    </w:p>
    <w:p>
      <w:pPr>
        <w:ind w:left="4420"/>
        <w:spacing w:after="0"/>
        <w:rPr>
          <w:sz w:val="20"/>
          <w:szCs w:val="20"/>
          <w:color w:val="auto"/>
        </w:rPr>
      </w:pPr>
      <w:r>
        <w:rPr>
          <w:rFonts w:ascii="Times New Roman" w:cs="Times New Roman" w:eastAsia="Times New Roman" w:hAnsi="Times New Roman"/>
          <w:sz w:val="19"/>
          <w:szCs w:val="19"/>
          <w:color w:val="auto"/>
        </w:rPr>
        <w:t>By: HPS Investment Partners, LLC, as Investment</w:t>
      </w:r>
    </w:p>
    <w:p>
      <w:pPr>
        <w:spacing w:after="0" w:line="11"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20"/>
          <w:szCs w:val="20"/>
          <w:color w:val="auto"/>
        </w:rPr>
        <w:t>Manager</w:t>
      </w:r>
    </w:p>
    <w:p>
      <w:pPr>
        <w:spacing w:after="0" w:line="200" w:lineRule="exact"/>
        <w:rPr>
          <w:sz w:val="20"/>
          <w:szCs w:val="20"/>
          <w:color w:val="auto"/>
        </w:rPr>
      </w:pPr>
    </w:p>
    <w:p>
      <w:pPr>
        <w:spacing w:after="0" w:line="218" w:lineRule="exact"/>
        <w:rPr>
          <w:sz w:val="20"/>
          <w:szCs w:val="20"/>
          <w:color w:val="auto"/>
        </w:rPr>
      </w:pPr>
    </w:p>
    <w:tbl>
      <w:tblPr>
        <w:tblLayout w:type="fixed"/>
        <w:tblInd w:w="4420" w:type="dxa"/>
        <w:tblCellMar>
          <w:top w:w="0" w:type="dxa"/>
          <w:left w:w="0" w:type="dxa"/>
          <w:bottom w:w="0" w:type="dxa"/>
          <w:right w:w="0" w:type="dxa"/>
        </w:tblCellMar>
      </w:tblPr>
      <w:tr>
        <w:trPr>
          <w:trHeight w:val="230"/>
        </w:trPr>
        <w:tc>
          <w:tcPr>
            <w:tcW w:w="2600" w:type="dxa"/>
            <w:vAlign w:val="bottom"/>
            <w:gridSpan w:val="4"/>
          </w:tcPr>
          <w:p>
            <w:pPr>
              <w:spacing w:after="0"/>
              <w:rPr>
                <w:sz w:val="20"/>
                <w:szCs w:val="20"/>
                <w:color w:val="auto"/>
              </w:rPr>
            </w:pPr>
            <w:r>
              <w:rPr>
                <w:rFonts w:ascii="Times New Roman" w:cs="Times New Roman" w:eastAsia="Times New Roman" w:hAnsi="Times New Roman"/>
                <w:sz w:val="20"/>
                <w:szCs w:val="20"/>
                <w:color w:val="auto"/>
              </w:rPr>
              <w:t>By: /s/ Daniel Zevnik   ​</w:t>
            </w:r>
          </w:p>
        </w:tc>
        <w:tc>
          <w:tcPr>
            <w:tcW w:w="640" w:type="dxa"/>
            <w:vAlign w:val="bottom"/>
          </w:tcPr>
          <w:p>
            <w:pPr>
              <w:spacing w:after="0"/>
              <w:rPr>
                <w:sz w:val="20"/>
                <w:szCs w:val="20"/>
                <w:color w:val="auto"/>
              </w:rPr>
            </w:pPr>
            <w:r>
              <w:rPr>
                <w:rFonts w:ascii="Times New Roman" w:cs="Times New Roman" w:eastAsia="Times New Roman" w:hAnsi="Times New Roman"/>
                <w:sz w:val="20"/>
                <w:szCs w:val="20"/>
                <w:color w:val="auto"/>
              </w:rPr>
              <w:t>​</w:t>
            </w:r>
          </w:p>
        </w:tc>
        <w:tc>
          <w:tcPr>
            <w:tcW w:w="640" w:type="dxa"/>
            <w:vAlign w:val="bottom"/>
          </w:tcPr>
          <w:p>
            <w:pPr>
              <w:spacing w:after="0"/>
              <w:rPr>
                <w:sz w:val="20"/>
                <w:szCs w:val="20"/>
                <w:color w:val="auto"/>
              </w:rPr>
            </w:pPr>
            <w:r>
              <w:rPr>
                <w:rFonts w:ascii="Times New Roman" w:cs="Times New Roman" w:eastAsia="Times New Roman" w:hAnsi="Times New Roman"/>
                <w:sz w:val="20"/>
                <w:szCs w:val="20"/>
                <w:color w:val="auto"/>
              </w:rPr>
              <w:t>​</w:t>
            </w:r>
          </w:p>
        </w:tc>
      </w:tr>
      <w:tr>
        <w:trPr>
          <w:trHeight w:val="20"/>
        </w:trPr>
        <w:tc>
          <w:tcPr>
            <w:tcW w:w="340" w:type="dxa"/>
            <w:vAlign w:val="bottom"/>
          </w:tcPr>
          <w:p>
            <w:pPr>
              <w:spacing w:after="0" w:line="20" w:lineRule="exact"/>
              <w:rPr>
                <w:sz w:val="1"/>
                <w:szCs w:val="1"/>
                <w:color w:val="auto"/>
              </w:rPr>
            </w:pPr>
          </w:p>
        </w:tc>
        <w:tc>
          <w:tcPr>
            <w:tcW w:w="160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r>
      <w:tr>
        <w:trPr>
          <w:trHeight w:val="227"/>
        </w:trPr>
        <w:tc>
          <w:tcPr>
            <w:tcW w:w="2600" w:type="dxa"/>
            <w:vAlign w:val="bottom"/>
            <w:gridSpan w:val="4"/>
          </w:tcPr>
          <w:p>
            <w:pPr>
              <w:ind w:left="340"/>
              <w:spacing w:after="0" w:line="228" w:lineRule="exact"/>
              <w:rPr>
                <w:sz w:val="20"/>
                <w:szCs w:val="20"/>
                <w:color w:val="auto"/>
              </w:rPr>
            </w:pPr>
            <w:r>
              <w:rPr>
                <w:rFonts w:ascii="Times New Roman" w:cs="Times New Roman" w:eastAsia="Times New Roman" w:hAnsi="Times New Roman"/>
                <w:sz w:val="20"/>
                <w:szCs w:val="20"/>
                <w:color w:val="auto"/>
              </w:rPr>
              <w:t>Name: Daniel Zevnik</w:t>
            </w:r>
          </w:p>
        </w:tc>
        <w:tc>
          <w:tcPr>
            <w:tcW w:w="640" w:type="dxa"/>
            <w:vAlign w:val="bottom"/>
          </w:tcPr>
          <w:p>
            <w:pPr>
              <w:spacing w:after="0"/>
              <w:rPr>
                <w:sz w:val="19"/>
                <w:szCs w:val="19"/>
                <w:color w:val="auto"/>
              </w:rPr>
            </w:pPr>
          </w:p>
        </w:tc>
        <w:tc>
          <w:tcPr>
            <w:tcW w:w="640" w:type="dxa"/>
            <w:vAlign w:val="bottom"/>
          </w:tcPr>
          <w:p>
            <w:pPr>
              <w:spacing w:after="0"/>
              <w:rPr>
                <w:sz w:val="19"/>
                <w:szCs w:val="19"/>
                <w:color w:val="auto"/>
              </w:rPr>
            </w:pPr>
          </w:p>
        </w:tc>
      </w:tr>
      <w:tr>
        <w:trPr>
          <w:trHeight w:val="258"/>
        </w:trPr>
        <w:tc>
          <w:tcPr>
            <w:tcW w:w="2600" w:type="dxa"/>
            <w:vAlign w:val="bottom"/>
            <w:gridSpan w:val="4"/>
          </w:tcPr>
          <w:p>
            <w:pPr>
              <w:ind w:left="340"/>
              <w:spacing w:after="0"/>
              <w:rPr>
                <w:sz w:val="20"/>
                <w:szCs w:val="20"/>
                <w:color w:val="auto"/>
              </w:rPr>
            </w:pPr>
            <w:r>
              <w:rPr>
                <w:rFonts w:ascii="Times New Roman" w:cs="Times New Roman" w:eastAsia="Times New Roman" w:hAnsi="Times New Roman"/>
                <w:sz w:val="20"/>
                <w:szCs w:val="20"/>
                <w:color w:val="auto"/>
              </w:rPr>
              <w:t>Title:  Managing Director</w:t>
            </w:r>
          </w:p>
        </w:tc>
        <w:tc>
          <w:tcPr>
            <w:tcW w:w="640" w:type="dxa"/>
            <w:vAlign w:val="bottom"/>
          </w:tcPr>
          <w:p>
            <w:pPr>
              <w:spacing w:after="0"/>
              <w:rPr>
                <w:sz w:val="22"/>
                <w:szCs w:val="22"/>
                <w:color w:val="auto"/>
              </w:rPr>
            </w:pPr>
          </w:p>
        </w:tc>
        <w:tc>
          <w:tcPr>
            <w:tcW w:w="640" w:type="dxa"/>
            <w:vAlign w:val="bottom"/>
          </w:tcPr>
          <w:p>
            <w:pPr>
              <w:spacing w:after="0"/>
              <w:rPr>
                <w:sz w:val="22"/>
                <w:szCs w:val="22"/>
                <w:color w:val="auto"/>
              </w:rPr>
            </w:pPr>
          </w:p>
        </w:tc>
      </w:tr>
    </w:tbl>
    <w:p>
      <w:pPr>
        <w:spacing w:after="0" w:line="200" w:lineRule="exact"/>
        <w:rPr>
          <w:sz w:val="20"/>
          <w:szCs w:val="20"/>
          <w:color w:val="auto"/>
        </w:rPr>
      </w:pPr>
    </w:p>
    <w:p>
      <w:pPr>
        <w:spacing w:after="0" w:line="230"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20"/>
          <w:szCs w:val="20"/>
          <w:color w:val="auto"/>
        </w:rPr>
        <w:t>PACIFIC INDEMNITY COMPANY,</w:t>
      </w:r>
    </w:p>
    <w:p>
      <w:pPr>
        <w:spacing w:after="0" w:line="21"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20"/>
          <w:szCs w:val="20"/>
          <w:color w:val="auto"/>
        </w:rPr>
        <w:t>as a Lender</w:t>
      </w:r>
    </w:p>
    <w:p>
      <w:pPr>
        <w:ind w:left="4420"/>
        <w:spacing w:after="0"/>
        <w:rPr>
          <w:sz w:val="20"/>
          <w:szCs w:val="20"/>
          <w:color w:val="auto"/>
        </w:rPr>
      </w:pPr>
      <w:r>
        <w:rPr>
          <w:rFonts w:ascii="Times New Roman" w:cs="Times New Roman" w:eastAsia="Times New Roman" w:hAnsi="Times New Roman"/>
          <w:sz w:val="19"/>
          <w:szCs w:val="19"/>
          <w:color w:val="auto"/>
        </w:rPr>
        <w:t>By: HPS Investment Partners, LLC, its Investment</w:t>
      </w:r>
    </w:p>
    <w:p>
      <w:pPr>
        <w:spacing w:after="0" w:line="11"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20"/>
          <w:szCs w:val="20"/>
          <w:color w:val="auto"/>
        </w:rPr>
        <w:t>Manager</w:t>
      </w:r>
    </w:p>
    <w:p>
      <w:pPr>
        <w:spacing w:after="0" w:line="200" w:lineRule="exact"/>
        <w:rPr>
          <w:sz w:val="20"/>
          <w:szCs w:val="20"/>
          <w:color w:val="auto"/>
        </w:rPr>
      </w:pPr>
    </w:p>
    <w:p>
      <w:pPr>
        <w:spacing w:after="0" w:line="218" w:lineRule="exact"/>
        <w:rPr>
          <w:sz w:val="20"/>
          <w:szCs w:val="20"/>
          <w:color w:val="auto"/>
        </w:rPr>
      </w:pPr>
    </w:p>
    <w:tbl>
      <w:tblPr>
        <w:tblLayout w:type="fixed"/>
        <w:tblInd w:w="4420" w:type="dxa"/>
        <w:tblCellMar>
          <w:top w:w="0" w:type="dxa"/>
          <w:left w:w="0" w:type="dxa"/>
          <w:bottom w:w="0" w:type="dxa"/>
          <w:right w:w="0" w:type="dxa"/>
        </w:tblCellMar>
      </w:tblPr>
      <w:tr>
        <w:trPr>
          <w:trHeight w:val="230"/>
        </w:trPr>
        <w:tc>
          <w:tcPr>
            <w:tcW w:w="2600" w:type="dxa"/>
            <w:vAlign w:val="bottom"/>
            <w:gridSpan w:val="4"/>
          </w:tcPr>
          <w:p>
            <w:pPr>
              <w:spacing w:after="0"/>
              <w:rPr>
                <w:sz w:val="20"/>
                <w:szCs w:val="20"/>
                <w:color w:val="auto"/>
              </w:rPr>
            </w:pPr>
            <w:r>
              <w:rPr>
                <w:rFonts w:ascii="Times New Roman" w:cs="Times New Roman" w:eastAsia="Times New Roman" w:hAnsi="Times New Roman"/>
                <w:sz w:val="20"/>
                <w:szCs w:val="20"/>
                <w:color w:val="auto"/>
              </w:rPr>
              <w:t>By: /s/ Daniel Zevnik   ​</w:t>
            </w:r>
          </w:p>
        </w:tc>
        <w:tc>
          <w:tcPr>
            <w:tcW w:w="640" w:type="dxa"/>
            <w:vAlign w:val="bottom"/>
          </w:tcPr>
          <w:p>
            <w:pPr>
              <w:spacing w:after="0"/>
              <w:rPr>
                <w:sz w:val="20"/>
                <w:szCs w:val="20"/>
                <w:color w:val="auto"/>
              </w:rPr>
            </w:pPr>
            <w:r>
              <w:rPr>
                <w:rFonts w:ascii="Times New Roman" w:cs="Times New Roman" w:eastAsia="Times New Roman" w:hAnsi="Times New Roman"/>
                <w:sz w:val="20"/>
                <w:szCs w:val="20"/>
                <w:color w:val="auto"/>
              </w:rPr>
              <w:t>​</w:t>
            </w:r>
          </w:p>
        </w:tc>
        <w:tc>
          <w:tcPr>
            <w:tcW w:w="640" w:type="dxa"/>
            <w:vAlign w:val="bottom"/>
          </w:tcPr>
          <w:p>
            <w:pPr>
              <w:spacing w:after="0"/>
              <w:rPr>
                <w:sz w:val="20"/>
                <w:szCs w:val="20"/>
                <w:color w:val="auto"/>
              </w:rPr>
            </w:pPr>
            <w:r>
              <w:rPr>
                <w:rFonts w:ascii="Times New Roman" w:cs="Times New Roman" w:eastAsia="Times New Roman" w:hAnsi="Times New Roman"/>
                <w:sz w:val="20"/>
                <w:szCs w:val="20"/>
                <w:color w:val="auto"/>
              </w:rPr>
              <w:t>​</w:t>
            </w:r>
          </w:p>
        </w:tc>
      </w:tr>
      <w:tr>
        <w:trPr>
          <w:trHeight w:val="20"/>
        </w:trPr>
        <w:tc>
          <w:tcPr>
            <w:tcW w:w="340" w:type="dxa"/>
            <w:vAlign w:val="bottom"/>
          </w:tcPr>
          <w:p>
            <w:pPr>
              <w:spacing w:after="0" w:line="20" w:lineRule="exact"/>
              <w:rPr>
                <w:sz w:val="1"/>
                <w:szCs w:val="1"/>
                <w:color w:val="auto"/>
              </w:rPr>
            </w:pPr>
          </w:p>
        </w:tc>
        <w:tc>
          <w:tcPr>
            <w:tcW w:w="160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r>
      <w:tr>
        <w:trPr>
          <w:trHeight w:val="227"/>
        </w:trPr>
        <w:tc>
          <w:tcPr>
            <w:tcW w:w="2600" w:type="dxa"/>
            <w:vAlign w:val="bottom"/>
            <w:gridSpan w:val="4"/>
          </w:tcPr>
          <w:p>
            <w:pPr>
              <w:ind w:left="340"/>
              <w:spacing w:after="0" w:line="228" w:lineRule="exact"/>
              <w:rPr>
                <w:sz w:val="20"/>
                <w:szCs w:val="20"/>
                <w:color w:val="auto"/>
              </w:rPr>
            </w:pPr>
            <w:r>
              <w:rPr>
                <w:rFonts w:ascii="Times New Roman" w:cs="Times New Roman" w:eastAsia="Times New Roman" w:hAnsi="Times New Roman"/>
                <w:sz w:val="20"/>
                <w:szCs w:val="20"/>
                <w:color w:val="auto"/>
              </w:rPr>
              <w:t>Name: Daniel Zevnik</w:t>
            </w:r>
          </w:p>
        </w:tc>
        <w:tc>
          <w:tcPr>
            <w:tcW w:w="640" w:type="dxa"/>
            <w:vAlign w:val="bottom"/>
          </w:tcPr>
          <w:p>
            <w:pPr>
              <w:spacing w:after="0"/>
              <w:rPr>
                <w:sz w:val="19"/>
                <w:szCs w:val="19"/>
                <w:color w:val="auto"/>
              </w:rPr>
            </w:pPr>
          </w:p>
        </w:tc>
        <w:tc>
          <w:tcPr>
            <w:tcW w:w="640" w:type="dxa"/>
            <w:vAlign w:val="bottom"/>
          </w:tcPr>
          <w:p>
            <w:pPr>
              <w:spacing w:after="0"/>
              <w:rPr>
                <w:sz w:val="19"/>
                <w:szCs w:val="19"/>
                <w:color w:val="auto"/>
              </w:rPr>
            </w:pPr>
          </w:p>
        </w:tc>
      </w:tr>
      <w:tr>
        <w:trPr>
          <w:trHeight w:val="258"/>
        </w:trPr>
        <w:tc>
          <w:tcPr>
            <w:tcW w:w="2600" w:type="dxa"/>
            <w:vAlign w:val="bottom"/>
            <w:gridSpan w:val="4"/>
          </w:tcPr>
          <w:p>
            <w:pPr>
              <w:ind w:left="340"/>
              <w:spacing w:after="0"/>
              <w:rPr>
                <w:sz w:val="20"/>
                <w:szCs w:val="20"/>
                <w:color w:val="auto"/>
              </w:rPr>
            </w:pPr>
            <w:r>
              <w:rPr>
                <w:rFonts w:ascii="Times New Roman" w:cs="Times New Roman" w:eastAsia="Times New Roman" w:hAnsi="Times New Roman"/>
                <w:sz w:val="20"/>
                <w:szCs w:val="20"/>
                <w:color w:val="auto"/>
              </w:rPr>
              <w:t>Title:  Managing Director</w:t>
            </w:r>
          </w:p>
        </w:tc>
        <w:tc>
          <w:tcPr>
            <w:tcW w:w="640" w:type="dxa"/>
            <w:vAlign w:val="bottom"/>
          </w:tcPr>
          <w:p>
            <w:pPr>
              <w:spacing w:after="0"/>
              <w:rPr>
                <w:sz w:val="22"/>
                <w:szCs w:val="22"/>
                <w:color w:val="auto"/>
              </w:rPr>
            </w:pPr>
          </w:p>
        </w:tc>
        <w:tc>
          <w:tcPr>
            <w:tcW w:w="640" w:type="dxa"/>
            <w:vAlign w:val="bottom"/>
          </w:tcPr>
          <w:p>
            <w:pPr>
              <w:spacing w:after="0"/>
              <w:rPr>
                <w:sz w:val="22"/>
                <w:szCs w:val="22"/>
                <w:color w:val="auto"/>
              </w:rPr>
            </w:pPr>
          </w:p>
        </w:tc>
      </w:tr>
    </w:tbl>
    <w:p>
      <w:pPr>
        <w:spacing w:after="0" w:line="200" w:lineRule="exact"/>
        <w:rPr>
          <w:sz w:val="20"/>
          <w:szCs w:val="20"/>
          <w:color w:val="auto"/>
        </w:rPr>
      </w:pPr>
    </w:p>
    <w:p>
      <w:pPr>
        <w:spacing w:after="0" w:line="230"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20"/>
          <w:szCs w:val="20"/>
          <w:color w:val="auto"/>
        </w:rPr>
        <w:t>PRESIDIO LOAN FUND, L.P.,</w:t>
      </w:r>
    </w:p>
    <w:p>
      <w:pPr>
        <w:spacing w:after="0" w:line="21"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20"/>
          <w:szCs w:val="20"/>
          <w:color w:val="auto"/>
        </w:rPr>
        <w:t>as a Lender</w:t>
      </w:r>
    </w:p>
    <w:p>
      <w:pPr>
        <w:ind w:left="4420"/>
        <w:spacing w:after="0"/>
        <w:rPr>
          <w:sz w:val="20"/>
          <w:szCs w:val="20"/>
          <w:color w:val="auto"/>
        </w:rPr>
      </w:pPr>
      <w:r>
        <w:rPr>
          <w:rFonts w:ascii="Times New Roman" w:cs="Times New Roman" w:eastAsia="Times New Roman" w:hAnsi="Times New Roman"/>
          <w:sz w:val="19"/>
          <w:szCs w:val="19"/>
          <w:color w:val="auto"/>
        </w:rPr>
        <w:t>By: HPS Investment Partners, LLC, its Investment</w:t>
      </w:r>
    </w:p>
    <w:p>
      <w:pPr>
        <w:spacing w:after="0" w:line="11"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20"/>
          <w:szCs w:val="20"/>
          <w:color w:val="auto"/>
        </w:rPr>
        <w:t>Manager</w:t>
      </w:r>
    </w:p>
    <w:p>
      <w:pPr>
        <w:spacing w:after="0" w:line="200" w:lineRule="exact"/>
        <w:rPr>
          <w:sz w:val="20"/>
          <w:szCs w:val="20"/>
          <w:color w:val="auto"/>
        </w:rPr>
      </w:pPr>
    </w:p>
    <w:p>
      <w:pPr>
        <w:spacing w:after="0" w:line="218" w:lineRule="exact"/>
        <w:rPr>
          <w:sz w:val="20"/>
          <w:szCs w:val="20"/>
          <w:color w:val="auto"/>
        </w:rPr>
      </w:pPr>
    </w:p>
    <w:tbl>
      <w:tblPr>
        <w:tblLayout w:type="fixed"/>
        <w:tblInd w:w="4420" w:type="dxa"/>
        <w:tblCellMar>
          <w:top w:w="0" w:type="dxa"/>
          <w:left w:w="0" w:type="dxa"/>
          <w:bottom w:w="0" w:type="dxa"/>
          <w:right w:w="0" w:type="dxa"/>
        </w:tblCellMar>
      </w:tblPr>
      <w:tr>
        <w:trPr>
          <w:trHeight w:val="230"/>
        </w:trPr>
        <w:tc>
          <w:tcPr>
            <w:tcW w:w="2600" w:type="dxa"/>
            <w:vAlign w:val="bottom"/>
            <w:gridSpan w:val="4"/>
          </w:tcPr>
          <w:p>
            <w:pPr>
              <w:spacing w:after="0"/>
              <w:rPr>
                <w:sz w:val="20"/>
                <w:szCs w:val="20"/>
                <w:color w:val="auto"/>
              </w:rPr>
            </w:pPr>
            <w:r>
              <w:rPr>
                <w:rFonts w:ascii="Times New Roman" w:cs="Times New Roman" w:eastAsia="Times New Roman" w:hAnsi="Times New Roman"/>
                <w:sz w:val="20"/>
                <w:szCs w:val="20"/>
                <w:color w:val="auto"/>
              </w:rPr>
              <w:t>By: /s/ Daniel Zevnik   ​</w:t>
            </w:r>
          </w:p>
        </w:tc>
        <w:tc>
          <w:tcPr>
            <w:tcW w:w="640" w:type="dxa"/>
            <w:vAlign w:val="bottom"/>
          </w:tcPr>
          <w:p>
            <w:pPr>
              <w:spacing w:after="0"/>
              <w:rPr>
                <w:sz w:val="20"/>
                <w:szCs w:val="20"/>
                <w:color w:val="auto"/>
              </w:rPr>
            </w:pPr>
            <w:r>
              <w:rPr>
                <w:rFonts w:ascii="Times New Roman" w:cs="Times New Roman" w:eastAsia="Times New Roman" w:hAnsi="Times New Roman"/>
                <w:sz w:val="20"/>
                <w:szCs w:val="20"/>
                <w:color w:val="auto"/>
              </w:rPr>
              <w:t>​</w:t>
            </w:r>
          </w:p>
        </w:tc>
        <w:tc>
          <w:tcPr>
            <w:tcW w:w="640" w:type="dxa"/>
            <w:vAlign w:val="bottom"/>
          </w:tcPr>
          <w:p>
            <w:pPr>
              <w:spacing w:after="0"/>
              <w:rPr>
                <w:sz w:val="20"/>
                <w:szCs w:val="20"/>
                <w:color w:val="auto"/>
              </w:rPr>
            </w:pPr>
            <w:r>
              <w:rPr>
                <w:rFonts w:ascii="Times New Roman" w:cs="Times New Roman" w:eastAsia="Times New Roman" w:hAnsi="Times New Roman"/>
                <w:sz w:val="20"/>
                <w:szCs w:val="20"/>
                <w:color w:val="auto"/>
              </w:rPr>
              <w:t>​</w:t>
            </w:r>
          </w:p>
        </w:tc>
      </w:tr>
      <w:tr>
        <w:trPr>
          <w:trHeight w:val="20"/>
        </w:trPr>
        <w:tc>
          <w:tcPr>
            <w:tcW w:w="340" w:type="dxa"/>
            <w:vAlign w:val="bottom"/>
          </w:tcPr>
          <w:p>
            <w:pPr>
              <w:spacing w:after="0" w:line="20" w:lineRule="exact"/>
              <w:rPr>
                <w:sz w:val="1"/>
                <w:szCs w:val="1"/>
                <w:color w:val="auto"/>
              </w:rPr>
            </w:pPr>
          </w:p>
        </w:tc>
        <w:tc>
          <w:tcPr>
            <w:tcW w:w="160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r>
      <w:tr>
        <w:trPr>
          <w:trHeight w:val="227"/>
        </w:trPr>
        <w:tc>
          <w:tcPr>
            <w:tcW w:w="2600" w:type="dxa"/>
            <w:vAlign w:val="bottom"/>
            <w:gridSpan w:val="4"/>
          </w:tcPr>
          <w:p>
            <w:pPr>
              <w:ind w:left="340"/>
              <w:spacing w:after="0" w:line="228" w:lineRule="exact"/>
              <w:rPr>
                <w:sz w:val="20"/>
                <w:szCs w:val="20"/>
                <w:color w:val="auto"/>
              </w:rPr>
            </w:pPr>
            <w:r>
              <w:rPr>
                <w:rFonts w:ascii="Times New Roman" w:cs="Times New Roman" w:eastAsia="Times New Roman" w:hAnsi="Times New Roman"/>
                <w:sz w:val="20"/>
                <w:szCs w:val="20"/>
                <w:color w:val="auto"/>
              </w:rPr>
              <w:t>Name: Daniel Zevnik</w:t>
            </w:r>
          </w:p>
        </w:tc>
        <w:tc>
          <w:tcPr>
            <w:tcW w:w="640" w:type="dxa"/>
            <w:vAlign w:val="bottom"/>
          </w:tcPr>
          <w:p>
            <w:pPr>
              <w:spacing w:after="0"/>
              <w:rPr>
                <w:sz w:val="19"/>
                <w:szCs w:val="19"/>
                <w:color w:val="auto"/>
              </w:rPr>
            </w:pPr>
          </w:p>
        </w:tc>
        <w:tc>
          <w:tcPr>
            <w:tcW w:w="640" w:type="dxa"/>
            <w:vAlign w:val="bottom"/>
          </w:tcPr>
          <w:p>
            <w:pPr>
              <w:spacing w:after="0"/>
              <w:rPr>
                <w:sz w:val="19"/>
                <w:szCs w:val="19"/>
                <w:color w:val="auto"/>
              </w:rPr>
            </w:pPr>
          </w:p>
        </w:tc>
      </w:tr>
      <w:tr>
        <w:trPr>
          <w:trHeight w:val="258"/>
        </w:trPr>
        <w:tc>
          <w:tcPr>
            <w:tcW w:w="2600" w:type="dxa"/>
            <w:vAlign w:val="bottom"/>
            <w:gridSpan w:val="4"/>
          </w:tcPr>
          <w:p>
            <w:pPr>
              <w:ind w:left="340"/>
              <w:spacing w:after="0"/>
              <w:rPr>
                <w:sz w:val="20"/>
                <w:szCs w:val="20"/>
                <w:color w:val="auto"/>
              </w:rPr>
            </w:pPr>
            <w:r>
              <w:rPr>
                <w:rFonts w:ascii="Times New Roman" w:cs="Times New Roman" w:eastAsia="Times New Roman" w:hAnsi="Times New Roman"/>
                <w:sz w:val="20"/>
                <w:szCs w:val="20"/>
                <w:color w:val="auto"/>
              </w:rPr>
              <w:t>Title:  Managing Director</w:t>
            </w:r>
          </w:p>
        </w:tc>
        <w:tc>
          <w:tcPr>
            <w:tcW w:w="640" w:type="dxa"/>
            <w:vAlign w:val="bottom"/>
          </w:tcPr>
          <w:p>
            <w:pPr>
              <w:spacing w:after="0"/>
              <w:rPr>
                <w:sz w:val="22"/>
                <w:szCs w:val="22"/>
                <w:color w:val="auto"/>
              </w:rPr>
            </w:pPr>
          </w:p>
        </w:tc>
        <w:tc>
          <w:tcPr>
            <w:tcW w:w="640" w:type="dxa"/>
            <w:vAlign w:val="bottom"/>
          </w:tcPr>
          <w:p>
            <w:pPr>
              <w:spacing w:after="0"/>
              <w:rPr>
                <w:sz w:val="22"/>
                <w:szCs w:val="22"/>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4"/>
          <w:szCs w:val="14"/>
          <w:color w:val="auto"/>
        </w:rPr>
        <w:t>US-DOCS\171161013.8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339725</wp:posOffset>
            </wp:positionH>
            <wp:positionV relativeFrom="paragraph">
              <wp:posOffset>349250</wp:posOffset>
            </wp:positionV>
            <wp:extent cx="5040630" cy="2540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87">
                      <a:extLst>
                        <a:ext uri="{28A0092B-C50C-407E-A947-70E740481C1C}"/>
                      </a:extLst>
                    </a:blip>
                    <a:srcRect/>
                    <a:stretch>
                      <a:fillRect/>
                    </a:stretch>
                  </pic:blipFill>
                  <pic:spPr bwMode="auto">
                    <a:xfrm>
                      <a:off x="0" y="0"/>
                      <a:ext cx="5040630" cy="25400"/>
                    </a:xfrm>
                    <a:prstGeom prst="rect">
                      <a:avLst/>
                    </a:prstGeom>
                    <a:noFill/>
                  </pic:spPr>
                </pic:pic>
              </a:graphicData>
            </a:graphic>
          </wp:anchor>
        </w:drawing>
      </w:r>
    </w:p>
    <w:p>
      <w:pPr>
        <w:sectPr>
          <w:pgSz w:w="11900" w:h="16838" w:orient="portrait"/>
          <w:cols w:equalWidth="0" w:num="1">
            <w:col w:w="9019"/>
          </w:cols>
          <w:pgMar w:left="1440" w:top="900" w:right="1440" w:bottom="1440" w:gutter="0" w:footer="0" w:header="0"/>
        </w:sectPr>
      </w:pPr>
    </w:p>
    <w:bookmarkStart w:id="67" w:name="page68"/>
    <w:bookmarkEnd w:id="67"/>
    <w:p>
      <w:pPr>
        <w:ind w:left="4420"/>
        <w:spacing w:after="0"/>
        <w:rPr>
          <w:sz w:val="20"/>
          <w:szCs w:val="20"/>
          <w:color w:val="auto"/>
        </w:rPr>
      </w:pPr>
      <w:r>
        <w:rPr>
          <w:rFonts w:ascii="Times New Roman" w:cs="Times New Roman" w:eastAsia="Times New Roman" w:hAnsi="Times New Roman"/>
          <w:sz w:val="20"/>
          <w:szCs w:val="20"/>
          <w:color w:val="auto"/>
        </w:rPr>
        <w:t>PRESIDIO LOAN HOLDINGS, L.P.,</w:t>
      </w:r>
    </w:p>
    <w:p>
      <w:pPr>
        <w:spacing w:after="0" w:line="21"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20"/>
          <w:szCs w:val="20"/>
          <w:color w:val="auto"/>
        </w:rPr>
        <w:t>as a Lender</w:t>
      </w:r>
    </w:p>
    <w:p>
      <w:pPr>
        <w:ind w:left="4420"/>
        <w:spacing w:after="0"/>
        <w:rPr>
          <w:sz w:val="20"/>
          <w:szCs w:val="20"/>
          <w:color w:val="auto"/>
        </w:rPr>
      </w:pPr>
      <w:r>
        <w:rPr>
          <w:rFonts w:ascii="Times New Roman" w:cs="Times New Roman" w:eastAsia="Times New Roman" w:hAnsi="Times New Roman"/>
          <w:sz w:val="19"/>
          <w:szCs w:val="19"/>
          <w:color w:val="auto"/>
        </w:rPr>
        <w:t>By: HPS Investment Partners, LLC, its Investment</w:t>
      </w:r>
    </w:p>
    <w:p>
      <w:pPr>
        <w:spacing w:after="0" w:line="11"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20"/>
          <w:szCs w:val="20"/>
          <w:color w:val="auto"/>
        </w:rPr>
        <w:t>Manager</w:t>
      </w:r>
    </w:p>
    <w:p>
      <w:pPr>
        <w:spacing w:after="0" w:line="200" w:lineRule="exact"/>
        <w:rPr>
          <w:sz w:val="20"/>
          <w:szCs w:val="20"/>
          <w:color w:val="auto"/>
        </w:rPr>
      </w:pPr>
    </w:p>
    <w:p>
      <w:pPr>
        <w:spacing w:after="0" w:line="218" w:lineRule="exact"/>
        <w:rPr>
          <w:sz w:val="20"/>
          <w:szCs w:val="20"/>
          <w:color w:val="auto"/>
        </w:rPr>
      </w:pPr>
    </w:p>
    <w:tbl>
      <w:tblPr>
        <w:tblLayout w:type="fixed"/>
        <w:tblInd w:w="4420" w:type="dxa"/>
        <w:tblCellMar>
          <w:top w:w="0" w:type="dxa"/>
          <w:left w:w="0" w:type="dxa"/>
          <w:bottom w:w="0" w:type="dxa"/>
          <w:right w:w="0" w:type="dxa"/>
        </w:tblCellMar>
      </w:tblPr>
      <w:tr>
        <w:trPr>
          <w:trHeight w:val="230"/>
        </w:trPr>
        <w:tc>
          <w:tcPr>
            <w:tcW w:w="2600" w:type="dxa"/>
            <w:vAlign w:val="bottom"/>
            <w:gridSpan w:val="4"/>
          </w:tcPr>
          <w:p>
            <w:pPr>
              <w:spacing w:after="0"/>
              <w:rPr>
                <w:sz w:val="20"/>
                <w:szCs w:val="20"/>
                <w:color w:val="auto"/>
              </w:rPr>
            </w:pPr>
            <w:r>
              <w:rPr>
                <w:rFonts w:ascii="Times New Roman" w:cs="Times New Roman" w:eastAsia="Times New Roman" w:hAnsi="Times New Roman"/>
                <w:sz w:val="20"/>
                <w:szCs w:val="20"/>
                <w:color w:val="auto"/>
              </w:rPr>
              <w:t>By: /s/ Daniel Zevnik   ​</w:t>
            </w:r>
          </w:p>
        </w:tc>
        <w:tc>
          <w:tcPr>
            <w:tcW w:w="640" w:type="dxa"/>
            <w:vAlign w:val="bottom"/>
          </w:tcPr>
          <w:p>
            <w:pPr>
              <w:spacing w:after="0"/>
              <w:rPr>
                <w:sz w:val="20"/>
                <w:szCs w:val="20"/>
                <w:color w:val="auto"/>
              </w:rPr>
            </w:pPr>
            <w:r>
              <w:rPr>
                <w:rFonts w:ascii="Times New Roman" w:cs="Times New Roman" w:eastAsia="Times New Roman" w:hAnsi="Times New Roman"/>
                <w:sz w:val="20"/>
                <w:szCs w:val="20"/>
                <w:color w:val="auto"/>
              </w:rPr>
              <w:t>​</w:t>
            </w:r>
          </w:p>
        </w:tc>
        <w:tc>
          <w:tcPr>
            <w:tcW w:w="640" w:type="dxa"/>
            <w:vAlign w:val="bottom"/>
          </w:tcPr>
          <w:p>
            <w:pPr>
              <w:spacing w:after="0"/>
              <w:rPr>
                <w:sz w:val="20"/>
                <w:szCs w:val="20"/>
                <w:color w:val="auto"/>
              </w:rPr>
            </w:pPr>
            <w:r>
              <w:rPr>
                <w:rFonts w:ascii="Times New Roman" w:cs="Times New Roman" w:eastAsia="Times New Roman" w:hAnsi="Times New Roman"/>
                <w:sz w:val="20"/>
                <w:szCs w:val="20"/>
                <w:color w:val="auto"/>
              </w:rPr>
              <w:t>​</w:t>
            </w:r>
          </w:p>
        </w:tc>
      </w:tr>
      <w:tr>
        <w:trPr>
          <w:trHeight w:val="20"/>
        </w:trPr>
        <w:tc>
          <w:tcPr>
            <w:tcW w:w="340" w:type="dxa"/>
            <w:vAlign w:val="bottom"/>
          </w:tcPr>
          <w:p>
            <w:pPr>
              <w:spacing w:after="0" w:line="20" w:lineRule="exact"/>
              <w:rPr>
                <w:sz w:val="1"/>
                <w:szCs w:val="1"/>
                <w:color w:val="auto"/>
              </w:rPr>
            </w:pPr>
          </w:p>
        </w:tc>
        <w:tc>
          <w:tcPr>
            <w:tcW w:w="160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r>
      <w:tr>
        <w:trPr>
          <w:trHeight w:val="227"/>
        </w:trPr>
        <w:tc>
          <w:tcPr>
            <w:tcW w:w="2600" w:type="dxa"/>
            <w:vAlign w:val="bottom"/>
            <w:gridSpan w:val="4"/>
          </w:tcPr>
          <w:p>
            <w:pPr>
              <w:ind w:left="340"/>
              <w:spacing w:after="0" w:line="228" w:lineRule="exact"/>
              <w:rPr>
                <w:sz w:val="20"/>
                <w:szCs w:val="20"/>
                <w:color w:val="auto"/>
              </w:rPr>
            </w:pPr>
            <w:r>
              <w:rPr>
                <w:rFonts w:ascii="Times New Roman" w:cs="Times New Roman" w:eastAsia="Times New Roman" w:hAnsi="Times New Roman"/>
                <w:sz w:val="20"/>
                <w:szCs w:val="20"/>
                <w:color w:val="auto"/>
              </w:rPr>
              <w:t>Name: Daniel Zevnik</w:t>
            </w:r>
          </w:p>
        </w:tc>
        <w:tc>
          <w:tcPr>
            <w:tcW w:w="640" w:type="dxa"/>
            <w:vAlign w:val="bottom"/>
          </w:tcPr>
          <w:p>
            <w:pPr>
              <w:spacing w:after="0"/>
              <w:rPr>
                <w:sz w:val="19"/>
                <w:szCs w:val="19"/>
                <w:color w:val="auto"/>
              </w:rPr>
            </w:pPr>
          </w:p>
        </w:tc>
        <w:tc>
          <w:tcPr>
            <w:tcW w:w="640" w:type="dxa"/>
            <w:vAlign w:val="bottom"/>
          </w:tcPr>
          <w:p>
            <w:pPr>
              <w:spacing w:after="0"/>
              <w:rPr>
                <w:sz w:val="19"/>
                <w:szCs w:val="19"/>
                <w:color w:val="auto"/>
              </w:rPr>
            </w:pPr>
          </w:p>
        </w:tc>
      </w:tr>
      <w:tr>
        <w:trPr>
          <w:trHeight w:val="258"/>
        </w:trPr>
        <w:tc>
          <w:tcPr>
            <w:tcW w:w="2600" w:type="dxa"/>
            <w:vAlign w:val="bottom"/>
            <w:gridSpan w:val="4"/>
          </w:tcPr>
          <w:p>
            <w:pPr>
              <w:ind w:left="340"/>
              <w:spacing w:after="0"/>
              <w:rPr>
                <w:sz w:val="20"/>
                <w:szCs w:val="20"/>
                <w:color w:val="auto"/>
              </w:rPr>
            </w:pPr>
            <w:r>
              <w:rPr>
                <w:rFonts w:ascii="Times New Roman" w:cs="Times New Roman" w:eastAsia="Times New Roman" w:hAnsi="Times New Roman"/>
                <w:sz w:val="20"/>
                <w:szCs w:val="20"/>
                <w:color w:val="auto"/>
              </w:rPr>
              <w:t>Title:  Managing Director</w:t>
            </w:r>
          </w:p>
        </w:tc>
        <w:tc>
          <w:tcPr>
            <w:tcW w:w="640" w:type="dxa"/>
            <w:vAlign w:val="bottom"/>
          </w:tcPr>
          <w:p>
            <w:pPr>
              <w:spacing w:after="0"/>
              <w:rPr>
                <w:sz w:val="22"/>
                <w:szCs w:val="22"/>
                <w:color w:val="auto"/>
              </w:rPr>
            </w:pPr>
          </w:p>
        </w:tc>
        <w:tc>
          <w:tcPr>
            <w:tcW w:w="640" w:type="dxa"/>
            <w:vAlign w:val="bottom"/>
          </w:tcPr>
          <w:p>
            <w:pPr>
              <w:spacing w:after="0"/>
              <w:rPr>
                <w:sz w:val="22"/>
                <w:szCs w:val="22"/>
                <w:color w:val="auto"/>
              </w:rPr>
            </w:pPr>
          </w:p>
        </w:tc>
      </w:tr>
    </w:tbl>
    <w:p>
      <w:pPr>
        <w:spacing w:after="0" w:line="201"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20"/>
          <w:szCs w:val="20"/>
          <w:color w:val="auto"/>
        </w:rPr>
        <w:t>VG HPS PRIVATE DEBT FUND L.P.,</w:t>
      </w:r>
    </w:p>
    <w:p>
      <w:pPr>
        <w:spacing w:after="0" w:line="21"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20"/>
          <w:szCs w:val="20"/>
          <w:color w:val="auto"/>
        </w:rPr>
        <w:t>as a Lender</w:t>
      </w:r>
    </w:p>
    <w:p>
      <w:pPr>
        <w:ind w:left="4420"/>
        <w:spacing w:after="0"/>
        <w:rPr>
          <w:sz w:val="20"/>
          <w:szCs w:val="20"/>
          <w:color w:val="auto"/>
        </w:rPr>
      </w:pPr>
      <w:r>
        <w:rPr>
          <w:rFonts w:ascii="Times New Roman" w:cs="Times New Roman" w:eastAsia="Times New Roman" w:hAnsi="Times New Roman"/>
          <w:sz w:val="19"/>
          <w:szCs w:val="19"/>
          <w:color w:val="auto"/>
        </w:rPr>
        <w:t>By: HPS Investment Partners, LLC, its Investment</w:t>
      </w:r>
    </w:p>
    <w:p>
      <w:pPr>
        <w:spacing w:after="0" w:line="11"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20"/>
          <w:szCs w:val="20"/>
          <w:color w:val="auto"/>
        </w:rPr>
        <w:t>Manager</w:t>
      </w:r>
    </w:p>
    <w:p>
      <w:pPr>
        <w:spacing w:after="0" w:line="200" w:lineRule="exact"/>
        <w:rPr>
          <w:sz w:val="20"/>
          <w:szCs w:val="20"/>
          <w:color w:val="auto"/>
        </w:rPr>
      </w:pPr>
    </w:p>
    <w:p>
      <w:pPr>
        <w:spacing w:after="0" w:line="218" w:lineRule="exact"/>
        <w:rPr>
          <w:sz w:val="20"/>
          <w:szCs w:val="20"/>
          <w:color w:val="auto"/>
        </w:rPr>
      </w:pPr>
    </w:p>
    <w:tbl>
      <w:tblPr>
        <w:tblLayout w:type="fixed"/>
        <w:tblInd w:w="4420" w:type="dxa"/>
        <w:tblCellMar>
          <w:top w:w="0" w:type="dxa"/>
          <w:left w:w="0" w:type="dxa"/>
          <w:bottom w:w="0" w:type="dxa"/>
          <w:right w:w="0" w:type="dxa"/>
        </w:tblCellMar>
      </w:tblPr>
      <w:tr>
        <w:trPr>
          <w:trHeight w:val="230"/>
        </w:trPr>
        <w:tc>
          <w:tcPr>
            <w:tcW w:w="2600" w:type="dxa"/>
            <w:vAlign w:val="bottom"/>
            <w:gridSpan w:val="4"/>
          </w:tcPr>
          <w:p>
            <w:pPr>
              <w:spacing w:after="0"/>
              <w:rPr>
                <w:sz w:val="20"/>
                <w:szCs w:val="20"/>
                <w:color w:val="auto"/>
              </w:rPr>
            </w:pPr>
            <w:r>
              <w:rPr>
                <w:rFonts w:ascii="Times New Roman" w:cs="Times New Roman" w:eastAsia="Times New Roman" w:hAnsi="Times New Roman"/>
                <w:sz w:val="20"/>
                <w:szCs w:val="20"/>
                <w:color w:val="auto"/>
              </w:rPr>
              <w:t>By: /s/ Daniel Zevnik   ​</w:t>
            </w:r>
          </w:p>
        </w:tc>
        <w:tc>
          <w:tcPr>
            <w:tcW w:w="640" w:type="dxa"/>
            <w:vAlign w:val="bottom"/>
          </w:tcPr>
          <w:p>
            <w:pPr>
              <w:spacing w:after="0"/>
              <w:rPr>
                <w:sz w:val="20"/>
                <w:szCs w:val="20"/>
                <w:color w:val="auto"/>
              </w:rPr>
            </w:pPr>
            <w:r>
              <w:rPr>
                <w:rFonts w:ascii="Times New Roman" w:cs="Times New Roman" w:eastAsia="Times New Roman" w:hAnsi="Times New Roman"/>
                <w:sz w:val="20"/>
                <w:szCs w:val="20"/>
                <w:color w:val="auto"/>
              </w:rPr>
              <w:t>​</w:t>
            </w:r>
          </w:p>
        </w:tc>
        <w:tc>
          <w:tcPr>
            <w:tcW w:w="640" w:type="dxa"/>
            <w:vAlign w:val="bottom"/>
          </w:tcPr>
          <w:p>
            <w:pPr>
              <w:spacing w:after="0"/>
              <w:rPr>
                <w:sz w:val="20"/>
                <w:szCs w:val="20"/>
                <w:color w:val="auto"/>
              </w:rPr>
            </w:pPr>
            <w:r>
              <w:rPr>
                <w:rFonts w:ascii="Times New Roman" w:cs="Times New Roman" w:eastAsia="Times New Roman" w:hAnsi="Times New Roman"/>
                <w:sz w:val="20"/>
                <w:szCs w:val="20"/>
                <w:color w:val="auto"/>
              </w:rPr>
              <w:t>​</w:t>
            </w:r>
          </w:p>
        </w:tc>
      </w:tr>
      <w:tr>
        <w:trPr>
          <w:trHeight w:val="20"/>
        </w:trPr>
        <w:tc>
          <w:tcPr>
            <w:tcW w:w="300" w:type="dxa"/>
            <w:vAlign w:val="bottom"/>
          </w:tcPr>
          <w:p>
            <w:pPr>
              <w:spacing w:after="0" w:line="20" w:lineRule="exact"/>
              <w:rPr>
                <w:sz w:val="1"/>
                <w:szCs w:val="1"/>
                <w:color w:val="auto"/>
              </w:rPr>
            </w:pPr>
          </w:p>
        </w:tc>
        <w:tc>
          <w:tcPr>
            <w:tcW w:w="164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r>
      <w:tr>
        <w:trPr>
          <w:trHeight w:val="227"/>
        </w:trPr>
        <w:tc>
          <w:tcPr>
            <w:tcW w:w="300" w:type="dxa"/>
            <w:vAlign w:val="bottom"/>
          </w:tcPr>
          <w:p>
            <w:pPr>
              <w:spacing w:after="0"/>
              <w:rPr>
                <w:sz w:val="19"/>
                <w:szCs w:val="19"/>
                <w:color w:val="auto"/>
              </w:rPr>
            </w:pPr>
          </w:p>
        </w:tc>
        <w:tc>
          <w:tcPr>
            <w:tcW w:w="2300" w:type="dxa"/>
            <w:vAlign w:val="bottom"/>
            <w:gridSpan w:val="3"/>
          </w:tcPr>
          <w:p>
            <w:pPr>
              <w:ind w:left="40"/>
              <w:spacing w:after="0" w:line="228" w:lineRule="exact"/>
              <w:rPr>
                <w:sz w:val="20"/>
                <w:szCs w:val="20"/>
                <w:color w:val="auto"/>
              </w:rPr>
            </w:pPr>
            <w:r>
              <w:rPr>
                <w:rFonts w:ascii="Times New Roman" w:cs="Times New Roman" w:eastAsia="Times New Roman" w:hAnsi="Times New Roman"/>
                <w:sz w:val="20"/>
                <w:szCs w:val="20"/>
                <w:color w:val="auto"/>
              </w:rPr>
              <w:t>Name: Daniel Zevnik</w:t>
            </w:r>
          </w:p>
        </w:tc>
        <w:tc>
          <w:tcPr>
            <w:tcW w:w="640" w:type="dxa"/>
            <w:vAlign w:val="bottom"/>
          </w:tcPr>
          <w:p>
            <w:pPr>
              <w:spacing w:after="0"/>
              <w:rPr>
                <w:sz w:val="19"/>
                <w:szCs w:val="19"/>
                <w:color w:val="auto"/>
              </w:rPr>
            </w:pPr>
          </w:p>
        </w:tc>
        <w:tc>
          <w:tcPr>
            <w:tcW w:w="640" w:type="dxa"/>
            <w:vAlign w:val="bottom"/>
          </w:tcPr>
          <w:p>
            <w:pPr>
              <w:spacing w:after="0"/>
              <w:rPr>
                <w:sz w:val="19"/>
                <w:szCs w:val="19"/>
                <w:color w:val="auto"/>
              </w:rPr>
            </w:pPr>
          </w:p>
        </w:tc>
      </w:tr>
      <w:tr>
        <w:trPr>
          <w:trHeight w:val="258"/>
        </w:trPr>
        <w:tc>
          <w:tcPr>
            <w:tcW w:w="300" w:type="dxa"/>
            <w:vAlign w:val="bottom"/>
          </w:tcPr>
          <w:p>
            <w:pPr>
              <w:spacing w:after="0"/>
              <w:rPr>
                <w:sz w:val="22"/>
                <w:szCs w:val="22"/>
                <w:color w:val="auto"/>
              </w:rPr>
            </w:pPr>
          </w:p>
        </w:tc>
        <w:tc>
          <w:tcPr>
            <w:tcW w:w="2300" w:type="dxa"/>
            <w:vAlign w:val="bottom"/>
            <w:gridSpan w:val="3"/>
          </w:tcPr>
          <w:p>
            <w:pPr>
              <w:ind w:left="40"/>
              <w:spacing w:after="0"/>
              <w:rPr>
                <w:sz w:val="20"/>
                <w:szCs w:val="20"/>
                <w:color w:val="auto"/>
              </w:rPr>
            </w:pPr>
            <w:r>
              <w:rPr>
                <w:rFonts w:ascii="Times New Roman" w:cs="Times New Roman" w:eastAsia="Times New Roman" w:hAnsi="Times New Roman"/>
                <w:sz w:val="20"/>
                <w:szCs w:val="20"/>
                <w:color w:val="auto"/>
              </w:rPr>
              <w:t>Title:  Managing Director</w:t>
            </w:r>
          </w:p>
        </w:tc>
        <w:tc>
          <w:tcPr>
            <w:tcW w:w="640" w:type="dxa"/>
            <w:vAlign w:val="bottom"/>
          </w:tcPr>
          <w:p>
            <w:pPr>
              <w:spacing w:after="0"/>
              <w:rPr>
                <w:sz w:val="22"/>
                <w:szCs w:val="22"/>
                <w:color w:val="auto"/>
              </w:rPr>
            </w:pPr>
          </w:p>
        </w:tc>
        <w:tc>
          <w:tcPr>
            <w:tcW w:w="640" w:type="dxa"/>
            <w:vAlign w:val="bottom"/>
          </w:tcPr>
          <w:p>
            <w:pPr>
              <w:spacing w:after="0"/>
              <w:rPr>
                <w:sz w:val="22"/>
                <w:szCs w:val="22"/>
                <w:color w:val="auto"/>
              </w:rPr>
            </w:pPr>
          </w:p>
        </w:tc>
      </w:tr>
    </w:tbl>
    <w:p>
      <w:pPr>
        <w:spacing w:after="0" w:line="201"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20"/>
          <w:szCs w:val="20"/>
          <w:color w:val="auto"/>
        </w:rPr>
        <w:t>HPS OCOEE SPECIALTY LOAN FUND, L.P.,</w:t>
      </w:r>
    </w:p>
    <w:p>
      <w:pPr>
        <w:spacing w:after="0" w:line="21"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20"/>
          <w:szCs w:val="20"/>
          <w:color w:val="auto"/>
        </w:rPr>
        <w:t>as a Lender</w:t>
      </w:r>
    </w:p>
    <w:p>
      <w:pPr>
        <w:ind w:left="4420"/>
        <w:spacing w:after="0"/>
        <w:rPr>
          <w:sz w:val="20"/>
          <w:szCs w:val="20"/>
          <w:color w:val="auto"/>
        </w:rPr>
      </w:pPr>
      <w:r>
        <w:rPr>
          <w:rFonts w:ascii="Times New Roman" w:cs="Times New Roman" w:eastAsia="Times New Roman" w:hAnsi="Times New Roman"/>
          <w:sz w:val="19"/>
          <w:szCs w:val="19"/>
          <w:color w:val="auto"/>
        </w:rPr>
        <w:t>By: HPS Investment Partners, LLC, its Investment</w:t>
      </w:r>
    </w:p>
    <w:p>
      <w:pPr>
        <w:spacing w:after="0" w:line="11"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20"/>
          <w:szCs w:val="20"/>
          <w:color w:val="auto"/>
        </w:rPr>
        <w:t>Manager</w:t>
      </w:r>
    </w:p>
    <w:p>
      <w:pPr>
        <w:spacing w:after="0" w:line="200" w:lineRule="exact"/>
        <w:rPr>
          <w:sz w:val="20"/>
          <w:szCs w:val="20"/>
          <w:color w:val="auto"/>
        </w:rPr>
      </w:pPr>
    </w:p>
    <w:p>
      <w:pPr>
        <w:spacing w:after="0" w:line="218" w:lineRule="exact"/>
        <w:rPr>
          <w:sz w:val="20"/>
          <w:szCs w:val="20"/>
          <w:color w:val="auto"/>
        </w:rPr>
      </w:pPr>
    </w:p>
    <w:tbl>
      <w:tblPr>
        <w:tblLayout w:type="fixed"/>
        <w:tblInd w:w="4420" w:type="dxa"/>
        <w:tblCellMar>
          <w:top w:w="0" w:type="dxa"/>
          <w:left w:w="0" w:type="dxa"/>
          <w:bottom w:w="0" w:type="dxa"/>
          <w:right w:w="0" w:type="dxa"/>
        </w:tblCellMar>
      </w:tblPr>
      <w:tr>
        <w:trPr>
          <w:trHeight w:val="230"/>
        </w:trPr>
        <w:tc>
          <w:tcPr>
            <w:tcW w:w="2600" w:type="dxa"/>
            <w:vAlign w:val="bottom"/>
            <w:gridSpan w:val="4"/>
          </w:tcPr>
          <w:p>
            <w:pPr>
              <w:spacing w:after="0"/>
              <w:rPr>
                <w:sz w:val="20"/>
                <w:szCs w:val="20"/>
                <w:color w:val="auto"/>
              </w:rPr>
            </w:pPr>
            <w:r>
              <w:rPr>
                <w:rFonts w:ascii="Times New Roman" w:cs="Times New Roman" w:eastAsia="Times New Roman" w:hAnsi="Times New Roman"/>
                <w:sz w:val="20"/>
                <w:szCs w:val="20"/>
                <w:color w:val="auto"/>
              </w:rPr>
              <w:t>By: /s/ Daniel Zevnik   ​</w:t>
            </w:r>
          </w:p>
        </w:tc>
        <w:tc>
          <w:tcPr>
            <w:tcW w:w="640" w:type="dxa"/>
            <w:vAlign w:val="bottom"/>
          </w:tcPr>
          <w:p>
            <w:pPr>
              <w:spacing w:after="0"/>
              <w:rPr>
                <w:sz w:val="20"/>
                <w:szCs w:val="20"/>
                <w:color w:val="auto"/>
              </w:rPr>
            </w:pPr>
            <w:r>
              <w:rPr>
                <w:rFonts w:ascii="Times New Roman" w:cs="Times New Roman" w:eastAsia="Times New Roman" w:hAnsi="Times New Roman"/>
                <w:sz w:val="20"/>
                <w:szCs w:val="20"/>
                <w:color w:val="auto"/>
              </w:rPr>
              <w:t>​</w:t>
            </w:r>
          </w:p>
        </w:tc>
        <w:tc>
          <w:tcPr>
            <w:tcW w:w="640" w:type="dxa"/>
            <w:vAlign w:val="bottom"/>
          </w:tcPr>
          <w:p>
            <w:pPr>
              <w:spacing w:after="0"/>
              <w:rPr>
                <w:sz w:val="20"/>
                <w:szCs w:val="20"/>
                <w:color w:val="auto"/>
              </w:rPr>
            </w:pPr>
            <w:r>
              <w:rPr>
                <w:rFonts w:ascii="Times New Roman" w:cs="Times New Roman" w:eastAsia="Times New Roman" w:hAnsi="Times New Roman"/>
                <w:sz w:val="20"/>
                <w:szCs w:val="20"/>
                <w:color w:val="auto"/>
              </w:rPr>
              <w:t>​</w:t>
            </w:r>
          </w:p>
        </w:tc>
      </w:tr>
      <w:tr>
        <w:trPr>
          <w:trHeight w:val="20"/>
        </w:trPr>
        <w:tc>
          <w:tcPr>
            <w:tcW w:w="300" w:type="dxa"/>
            <w:vAlign w:val="bottom"/>
          </w:tcPr>
          <w:p>
            <w:pPr>
              <w:spacing w:after="0" w:line="20" w:lineRule="exact"/>
              <w:rPr>
                <w:sz w:val="1"/>
                <w:szCs w:val="1"/>
                <w:color w:val="auto"/>
              </w:rPr>
            </w:pPr>
          </w:p>
        </w:tc>
        <w:tc>
          <w:tcPr>
            <w:tcW w:w="164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r>
      <w:tr>
        <w:trPr>
          <w:trHeight w:val="227"/>
        </w:trPr>
        <w:tc>
          <w:tcPr>
            <w:tcW w:w="300" w:type="dxa"/>
            <w:vAlign w:val="bottom"/>
          </w:tcPr>
          <w:p>
            <w:pPr>
              <w:spacing w:after="0"/>
              <w:rPr>
                <w:sz w:val="19"/>
                <w:szCs w:val="19"/>
                <w:color w:val="auto"/>
              </w:rPr>
            </w:pPr>
          </w:p>
        </w:tc>
        <w:tc>
          <w:tcPr>
            <w:tcW w:w="2300" w:type="dxa"/>
            <w:vAlign w:val="bottom"/>
            <w:gridSpan w:val="3"/>
          </w:tcPr>
          <w:p>
            <w:pPr>
              <w:ind w:left="40"/>
              <w:spacing w:after="0" w:line="228" w:lineRule="exact"/>
              <w:rPr>
                <w:sz w:val="20"/>
                <w:szCs w:val="20"/>
                <w:color w:val="auto"/>
              </w:rPr>
            </w:pPr>
            <w:r>
              <w:rPr>
                <w:rFonts w:ascii="Times New Roman" w:cs="Times New Roman" w:eastAsia="Times New Roman" w:hAnsi="Times New Roman"/>
                <w:sz w:val="20"/>
                <w:szCs w:val="20"/>
                <w:color w:val="auto"/>
              </w:rPr>
              <w:t>Name: Daniel Zevnik</w:t>
            </w:r>
          </w:p>
        </w:tc>
        <w:tc>
          <w:tcPr>
            <w:tcW w:w="640" w:type="dxa"/>
            <w:vAlign w:val="bottom"/>
          </w:tcPr>
          <w:p>
            <w:pPr>
              <w:spacing w:after="0"/>
              <w:rPr>
                <w:sz w:val="19"/>
                <w:szCs w:val="19"/>
                <w:color w:val="auto"/>
              </w:rPr>
            </w:pPr>
          </w:p>
        </w:tc>
        <w:tc>
          <w:tcPr>
            <w:tcW w:w="640" w:type="dxa"/>
            <w:vAlign w:val="bottom"/>
          </w:tcPr>
          <w:p>
            <w:pPr>
              <w:spacing w:after="0"/>
              <w:rPr>
                <w:sz w:val="19"/>
                <w:szCs w:val="19"/>
                <w:color w:val="auto"/>
              </w:rPr>
            </w:pPr>
          </w:p>
        </w:tc>
      </w:tr>
      <w:tr>
        <w:trPr>
          <w:trHeight w:val="258"/>
        </w:trPr>
        <w:tc>
          <w:tcPr>
            <w:tcW w:w="300" w:type="dxa"/>
            <w:vAlign w:val="bottom"/>
          </w:tcPr>
          <w:p>
            <w:pPr>
              <w:spacing w:after="0"/>
              <w:rPr>
                <w:sz w:val="22"/>
                <w:szCs w:val="22"/>
                <w:color w:val="auto"/>
              </w:rPr>
            </w:pPr>
          </w:p>
        </w:tc>
        <w:tc>
          <w:tcPr>
            <w:tcW w:w="2300" w:type="dxa"/>
            <w:vAlign w:val="bottom"/>
            <w:gridSpan w:val="3"/>
          </w:tcPr>
          <w:p>
            <w:pPr>
              <w:ind w:left="40"/>
              <w:spacing w:after="0"/>
              <w:rPr>
                <w:sz w:val="20"/>
                <w:szCs w:val="20"/>
                <w:color w:val="auto"/>
              </w:rPr>
            </w:pPr>
            <w:r>
              <w:rPr>
                <w:rFonts w:ascii="Times New Roman" w:cs="Times New Roman" w:eastAsia="Times New Roman" w:hAnsi="Times New Roman"/>
                <w:sz w:val="20"/>
                <w:szCs w:val="20"/>
                <w:color w:val="auto"/>
              </w:rPr>
              <w:t>Title:  Managing Director</w:t>
            </w:r>
          </w:p>
        </w:tc>
        <w:tc>
          <w:tcPr>
            <w:tcW w:w="640" w:type="dxa"/>
            <w:vAlign w:val="bottom"/>
          </w:tcPr>
          <w:p>
            <w:pPr>
              <w:spacing w:after="0"/>
              <w:rPr>
                <w:sz w:val="22"/>
                <w:szCs w:val="22"/>
                <w:color w:val="auto"/>
              </w:rPr>
            </w:pPr>
          </w:p>
        </w:tc>
        <w:tc>
          <w:tcPr>
            <w:tcW w:w="640" w:type="dxa"/>
            <w:vAlign w:val="bottom"/>
          </w:tcPr>
          <w:p>
            <w:pPr>
              <w:spacing w:after="0"/>
              <w:rPr>
                <w:sz w:val="22"/>
                <w:szCs w:val="22"/>
                <w:color w:val="auto"/>
              </w:rPr>
            </w:pPr>
          </w:p>
        </w:tc>
      </w:tr>
    </w:tbl>
    <w:p>
      <w:pPr>
        <w:spacing w:after="0" w:line="200" w:lineRule="exact"/>
        <w:rPr>
          <w:sz w:val="20"/>
          <w:szCs w:val="20"/>
          <w:color w:val="auto"/>
        </w:rPr>
      </w:pPr>
    </w:p>
    <w:p>
      <w:pPr>
        <w:spacing w:after="0" w:line="230"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20"/>
          <w:szCs w:val="20"/>
          <w:color w:val="auto"/>
        </w:rPr>
        <w:t>HPS SPECIALTY LOAN FUND TX, L.P.,</w:t>
      </w:r>
    </w:p>
    <w:p>
      <w:pPr>
        <w:spacing w:after="0" w:line="21"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20"/>
          <w:szCs w:val="20"/>
          <w:color w:val="auto"/>
        </w:rPr>
        <w:t>as a Lender</w:t>
      </w:r>
    </w:p>
    <w:p>
      <w:pPr>
        <w:ind w:left="4420"/>
        <w:spacing w:after="0"/>
        <w:rPr>
          <w:sz w:val="20"/>
          <w:szCs w:val="20"/>
          <w:color w:val="auto"/>
        </w:rPr>
      </w:pPr>
      <w:r>
        <w:rPr>
          <w:rFonts w:ascii="Times New Roman" w:cs="Times New Roman" w:eastAsia="Times New Roman" w:hAnsi="Times New Roman"/>
          <w:sz w:val="19"/>
          <w:szCs w:val="19"/>
          <w:color w:val="auto"/>
        </w:rPr>
        <w:t>By: HPS Investment Partners, LLC, its Investment</w:t>
      </w:r>
    </w:p>
    <w:p>
      <w:pPr>
        <w:spacing w:after="0" w:line="11"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20"/>
          <w:szCs w:val="20"/>
          <w:color w:val="auto"/>
        </w:rPr>
        <w:t>Manager</w:t>
      </w:r>
    </w:p>
    <w:p>
      <w:pPr>
        <w:spacing w:after="0" w:line="200" w:lineRule="exact"/>
        <w:rPr>
          <w:sz w:val="20"/>
          <w:szCs w:val="20"/>
          <w:color w:val="auto"/>
        </w:rPr>
      </w:pPr>
    </w:p>
    <w:p>
      <w:pPr>
        <w:spacing w:after="0" w:line="218" w:lineRule="exact"/>
        <w:rPr>
          <w:sz w:val="20"/>
          <w:szCs w:val="20"/>
          <w:color w:val="auto"/>
        </w:rPr>
      </w:pPr>
    </w:p>
    <w:tbl>
      <w:tblPr>
        <w:tblLayout w:type="fixed"/>
        <w:tblInd w:w="4420" w:type="dxa"/>
        <w:tblCellMar>
          <w:top w:w="0" w:type="dxa"/>
          <w:left w:w="0" w:type="dxa"/>
          <w:bottom w:w="0" w:type="dxa"/>
          <w:right w:w="0" w:type="dxa"/>
        </w:tblCellMar>
      </w:tblPr>
      <w:tr>
        <w:trPr>
          <w:trHeight w:val="230"/>
        </w:trPr>
        <w:tc>
          <w:tcPr>
            <w:tcW w:w="2600" w:type="dxa"/>
            <w:vAlign w:val="bottom"/>
            <w:gridSpan w:val="4"/>
          </w:tcPr>
          <w:p>
            <w:pPr>
              <w:spacing w:after="0"/>
              <w:rPr>
                <w:sz w:val="20"/>
                <w:szCs w:val="20"/>
                <w:color w:val="auto"/>
              </w:rPr>
            </w:pPr>
            <w:r>
              <w:rPr>
                <w:rFonts w:ascii="Times New Roman" w:cs="Times New Roman" w:eastAsia="Times New Roman" w:hAnsi="Times New Roman"/>
                <w:sz w:val="20"/>
                <w:szCs w:val="20"/>
                <w:color w:val="auto"/>
              </w:rPr>
              <w:t>By: /s/ Daniel Zevnik   ​</w:t>
            </w:r>
          </w:p>
        </w:tc>
        <w:tc>
          <w:tcPr>
            <w:tcW w:w="640" w:type="dxa"/>
            <w:vAlign w:val="bottom"/>
          </w:tcPr>
          <w:p>
            <w:pPr>
              <w:spacing w:after="0"/>
              <w:rPr>
                <w:sz w:val="20"/>
                <w:szCs w:val="20"/>
                <w:color w:val="auto"/>
              </w:rPr>
            </w:pPr>
            <w:r>
              <w:rPr>
                <w:rFonts w:ascii="Times New Roman" w:cs="Times New Roman" w:eastAsia="Times New Roman" w:hAnsi="Times New Roman"/>
                <w:sz w:val="20"/>
                <w:szCs w:val="20"/>
                <w:color w:val="auto"/>
              </w:rPr>
              <w:t>​</w:t>
            </w:r>
          </w:p>
        </w:tc>
        <w:tc>
          <w:tcPr>
            <w:tcW w:w="640" w:type="dxa"/>
            <w:vAlign w:val="bottom"/>
          </w:tcPr>
          <w:p>
            <w:pPr>
              <w:spacing w:after="0"/>
              <w:rPr>
                <w:sz w:val="20"/>
                <w:szCs w:val="20"/>
                <w:color w:val="auto"/>
              </w:rPr>
            </w:pPr>
            <w:r>
              <w:rPr>
                <w:rFonts w:ascii="Times New Roman" w:cs="Times New Roman" w:eastAsia="Times New Roman" w:hAnsi="Times New Roman"/>
                <w:sz w:val="20"/>
                <w:szCs w:val="20"/>
                <w:color w:val="auto"/>
              </w:rPr>
              <w:t>​</w:t>
            </w:r>
          </w:p>
        </w:tc>
      </w:tr>
      <w:tr>
        <w:trPr>
          <w:trHeight w:val="20"/>
        </w:trPr>
        <w:tc>
          <w:tcPr>
            <w:tcW w:w="340" w:type="dxa"/>
            <w:vAlign w:val="bottom"/>
          </w:tcPr>
          <w:p>
            <w:pPr>
              <w:spacing w:after="0" w:line="20" w:lineRule="exact"/>
              <w:rPr>
                <w:sz w:val="1"/>
                <w:szCs w:val="1"/>
                <w:color w:val="auto"/>
              </w:rPr>
            </w:pPr>
          </w:p>
        </w:tc>
        <w:tc>
          <w:tcPr>
            <w:tcW w:w="160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r>
      <w:tr>
        <w:trPr>
          <w:trHeight w:val="227"/>
        </w:trPr>
        <w:tc>
          <w:tcPr>
            <w:tcW w:w="2600" w:type="dxa"/>
            <w:vAlign w:val="bottom"/>
            <w:gridSpan w:val="4"/>
          </w:tcPr>
          <w:p>
            <w:pPr>
              <w:ind w:left="340"/>
              <w:spacing w:after="0" w:line="228" w:lineRule="exact"/>
              <w:rPr>
                <w:sz w:val="20"/>
                <w:szCs w:val="20"/>
                <w:color w:val="auto"/>
              </w:rPr>
            </w:pPr>
            <w:r>
              <w:rPr>
                <w:rFonts w:ascii="Times New Roman" w:cs="Times New Roman" w:eastAsia="Times New Roman" w:hAnsi="Times New Roman"/>
                <w:sz w:val="20"/>
                <w:szCs w:val="20"/>
                <w:color w:val="auto"/>
              </w:rPr>
              <w:t>Name: Daniel Zevnik</w:t>
            </w:r>
          </w:p>
        </w:tc>
        <w:tc>
          <w:tcPr>
            <w:tcW w:w="640" w:type="dxa"/>
            <w:vAlign w:val="bottom"/>
          </w:tcPr>
          <w:p>
            <w:pPr>
              <w:spacing w:after="0"/>
              <w:rPr>
                <w:sz w:val="19"/>
                <w:szCs w:val="19"/>
                <w:color w:val="auto"/>
              </w:rPr>
            </w:pPr>
          </w:p>
        </w:tc>
        <w:tc>
          <w:tcPr>
            <w:tcW w:w="640" w:type="dxa"/>
            <w:vAlign w:val="bottom"/>
          </w:tcPr>
          <w:p>
            <w:pPr>
              <w:spacing w:after="0"/>
              <w:rPr>
                <w:sz w:val="19"/>
                <w:szCs w:val="19"/>
                <w:color w:val="auto"/>
              </w:rPr>
            </w:pPr>
          </w:p>
        </w:tc>
      </w:tr>
      <w:tr>
        <w:trPr>
          <w:trHeight w:val="258"/>
        </w:trPr>
        <w:tc>
          <w:tcPr>
            <w:tcW w:w="2600" w:type="dxa"/>
            <w:vAlign w:val="bottom"/>
            <w:gridSpan w:val="4"/>
          </w:tcPr>
          <w:p>
            <w:pPr>
              <w:ind w:left="340"/>
              <w:spacing w:after="0"/>
              <w:rPr>
                <w:sz w:val="20"/>
                <w:szCs w:val="20"/>
                <w:color w:val="auto"/>
              </w:rPr>
            </w:pPr>
            <w:r>
              <w:rPr>
                <w:rFonts w:ascii="Times New Roman" w:cs="Times New Roman" w:eastAsia="Times New Roman" w:hAnsi="Times New Roman"/>
                <w:sz w:val="20"/>
                <w:szCs w:val="20"/>
                <w:color w:val="auto"/>
              </w:rPr>
              <w:t>Title:  Managing Director</w:t>
            </w:r>
          </w:p>
        </w:tc>
        <w:tc>
          <w:tcPr>
            <w:tcW w:w="640" w:type="dxa"/>
            <w:vAlign w:val="bottom"/>
          </w:tcPr>
          <w:p>
            <w:pPr>
              <w:spacing w:after="0"/>
              <w:rPr>
                <w:sz w:val="22"/>
                <w:szCs w:val="22"/>
                <w:color w:val="auto"/>
              </w:rPr>
            </w:pPr>
          </w:p>
        </w:tc>
        <w:tc>
          <w:tcPr>
            <w:tcW w:w="640" w:type="dxa"/>
            <w:vAlign w:val="bottom"/>
          </w:tcPr>
          <w:p>
            <w:pPr>
              <w:spacing w:after="0"/>
              <w:rPr>
                <w:sz w:val="22"/>
                <w:szCs w:val="22"/>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4"/>
          <w:szCs w:val="14"/>
          <w:color w:val="auto"/>
        </w:rPr>
        <w:t>US-DOCS\171161013.8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339725</wp:posOffset>
            </wp:positionH>
            <wp:positionV relativeFrom="paragraph">
              <wp:posOffset>349250</wp:posOffset>
            </wp:positionV>
            <wp:extent cx="5040630" cy="2603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8">
                      <a:extLst>
                        <a:ext uri="{28A0092B-C50C-407E-A947-70E740481C1C}"/>
                      </a:extLst>
                    </a:blip>
                    <a:srcRect/>
                    <a:stretch>
                      <a:fillRect/>
                    </a:stretch>
                  </pic:blipFill>
                  <pic:spPr bwMode="auto">
                    <a:xfrm>
                      <a:off x="0" y="0"/>
                      <a:ext cx="5040630" cy="26035"/>
                    </a:xfrm>
                    <a:prstGeom prst="rect">
                      <a:avLst/>
                    </a:prstGeom>
                    <a:noFill/>
                  </pic:spPr>
                </pic:pic>
              </a:graphicData>
            </a:graphic>
          </wp:anchor>
        </w:drawing>
      </w:r>
    </w:p>
    <w:p>
      <w:pPr>
        <w:sectPr>
          <w:pgSz w:w="11900" w:h="16838" w:orient="portrait"/>
          <w:cols w:equalWidth="0" w:num="1">
            <w:col w:w="9019"/>
          </w:cols>
          <w:pgMar w:left="1440" w:top="900" w:right="1440" w:bottom="1440" w:gutter="0" w:footer="0" w:header="0"/>
        </w:sectPr>
      </w:pPr>
    </w:p>
    <w:bookmarkStart w:id="68" w:name="page69"/>
    <w:bookmarkEnd w:id="68"/>
    <w:p>
      <w:pPr>
        <w:ind w:left="4420"/>
        <w:spacing w:after="0"/>
        <w:rPr>
          <w:sz w:val="20"/>
          <w:szCs w:val="20"/>
          <w:color w:val="auto"/>
        </w:rPr>
      </w:pPr>
      <w:r>
        <w:rPr>
          <w:rFonts w:ascii="Times New Roman" w:cs="Times New Roman" w:eastAsia="Times New Roman" w:hAnsi="Times New Roman"/>
          <w:sz w:val="20"/>
          <w:szCs w:val="20"/>
          <w:color w:val="auto"/>
        </w:rPr>
        <w:t>BRICKYARD DIRECT (SLF) HOLDINGS A,</w:t>
      </w:r>
    </w:p>
    <w:p>
      <w:pPr>
        <w:spacing w:after="0" w:line="21"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20"/>
          <w:szCs w:val="20"/>
          <w:color w:val="auto"/>
        </w:rPr>
        <w:t>L.P., as a Lender</w:t>
      </w:r>
    </w:p>
    <w:p>
      <w:pPr>
        <w:ind w:left="4420"/>
        <w:spacing w:after="0"/>
        <w:rPr>
          <w:sz w:val="20"/>
          <w:szCs w:val="20"/>
          <w:color w:val="auto"/>
        </w:rPr>
      </w:pPr>
      <w:r>
        <w:rPr>
          <w:rFonts w:ascii="Times New Roman" w:cs="Times New Roman" w:eastAsia="Times New Roman" w:hAnsi="Times New Roman"/>
          <w:sz w:val="19"/>
          <w:szCs w:val="19"/>
          <w:color w:val="auto"/>
        </w:rPr>
        <w:t>By: HPS Investment Partners, LLC, its Investment</w:t>
      </w:r>
    </w:p>
    <w:p>
      <w:pPr>
        <w:spacing w:after="0" w:line="11"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20"/>
          <w:szCs w:val="20"/>
          <w:color w:val="auto"/>
        </w:rPr>
        <w:t>Manager</w:t>
      </w:r>
    </w:p>
    <w:p>
      <w:pPr>
        <w:spacing w:after="0" w:line="200" w:lineRule="exact"/>
        <w:rPr>
          <w:sz w:val="20"/>
          <w:szCs w:val="20"/>
          <w:color w:val="auto"/>
        </w:rPr>
      </w:pPr>
    </w:p>
    <w:p>
      <w:pPr>
        <w:spacing w:after="0" w:line="218" w:lineRule="exact"/>
        <w:rPr>
          <w:sz w:val="20"/>
          <w:szCs w:val="20"/>
          <w:color w:val="auto"/>
        </w:rPr>
      </w:pPr>
    </w:p>
    <w:tbl>
      <w:tblPr>
        <w:tblLayout w:type="fixed"/>
        <w:tblInd w:w="4420" w:type="dxa"/>
        <w:tblCellMar>
          <w:top w:w="0" w:type="dxa"/>
          <w:left w:w="0" w:type="dxa"/>
          <w:bottom w:w="0" w:type="dxa"/>
          <w:right w:w="0" w:type="dxa"/>
        </w:tblCellMar>
      </w:tblPr>
      <w:tr>
        <w:trPr>
          <w:trHeight w:val="230"/>
        </w:trPr>
        <w:tc>
          <w:tcPr>
            <w:tcW w:w="2600" w:type="dxa"/>
            <w:vAlign w:val="bottom"/>
            <w:gridSpan w:val="4"/>
          </w:tcPr>
          <w:p>
            <w:pPr>
              <w:spacing w:after="0"/>
              <w:rPr>
                <w:sz w:val="20"/>
                <w:szCs w:val="20"/>
                <w:color w:val="auto"/>
              </w:rPr>
            </w:pPr>
            <w:r>
              <w:rPr>
                <w:rFonts w:ascii="Times New Roman" w:cs="Times New Roman" w:eastAsia="Times New Roman" w:hAnsi="Times New Roman"/>
                <w:sz w:val="20"/>
                <w:szCs w:val="20"/>
                <w:color w:val="auto"/>
              </w:rPr>
              <w:t>By: /s/ Daniel Zevnik   ​</w:t>
            </w:r>
          </w:p>
        </w:tc>
        <w:tc>
          <w:tcPr>
            <w:tcW w:w="640" w:type="dxa"/>
            <w:vAlign w:val="bottom"/>
          </w:tcPr>
          <w:p>
            <w:pPr>
              <w:spacing w:after="0"/>
              <w:rPr>
                <w:sz w:val="20"/>
                <w:szCs w:val="20"/>
                <w:color w:val="auto"/>
              </w:rPr>
            </w:pPr>
            <w:r>
              <w:rPr>
                <w:rFonts w:ascii="Times New Roman" w:cs="Times New Roman" w:eastAsia="Times New Roman" w:hAnsi="Times New Roman"/>
                <w:sz w:val="20"/>
                <w:szCs w:val="20"/>
                <w:color w:val="auto"/>
              </w:rPr>
              <w:t>​</w:t>
            </w:r>
          </w:p>
        </w:tc>
        <w:tc>
          <w:tcPr>
            <w:tcW w:w="640" w:type="dxa"/>
            <w:vAlign w:val="bottom"/>
          </w:tcPr>
          <w:p>
            <w:pPr>
              <w:spacing w:after="0"/>
              <w:rPr>
                <w:sz w:val="20"/>
                <w:szCs w:val="20"/>
                <w:color w:val="auto"/>
              </w:rPr>
            </w:pPr>
            <w:r>
              <w:rPr>
                <w:rFonts w:ascii="Times New Roman" w:cs="Times New Roman" w:eastAsia="Times New Roman" w:hAnsi="Times New Roman"/>
                <w:sz w:val="20"/>
                <w:szCs w:val="20"/>
                <w:color w:val="auto"/>
              </w:rPr>
              <w:t>​</w:t>
            </w:r>
          </w:p>
        </w:tc>
      </w:tr>
      <w:tr>
        <w:trPr>
          <w:trHeight w:val="20"/>
        </w:trPr>
        <w:tc>
          <w:tcPr>
            <w:tcW w:w="340" w:type="dxa"/>
            <w:vAlign w:val="bottom"/>
          </w:tcPr>
          <w:p>
            <w:pPr>
              <w:spacing w:after="0" w:line="20" w:lineRule="exact"/>
              <w:rPr>
                <w:sz w:val="1"/>
                <w:szCs w:val="1"/>
                <w:color w:val="auto"/>
              </w:rPr>
            </w:pPr>
          </w:p>
        </w:tc>
        <w:tc>
          <w:tcPr>
            <w:tcW w:w="160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r>
      <w:tr>
        <w:trPr>
          <w:trHeight w:val="227"/>
        </w:trPr>
        <w:tc>
          <w:tcPr>
            <w:tcW w:w="2600" w:type="dxa"/>
            <w:vAlign w:val="bottom"/>
            <w:gridSpan w:val="4"/>
          </w:tcPr>
          <w:p>
            <w:pPr>
              <w:ind w:left="340"/>
              <w:spacing w:after="0" w:line="228" w:lineRule="exact"/>
              <w:rPr>
                <w:sz w:val="20"/>
                <w:szCs w:val="20"/>
                <w:color w:val="auto"/>
              </w:rPr>
            </w:pPr>
            <w:r>
              <w:rPr>
                <w:rFonts w:ascii="Times New Roman" w:cs="Times New Roman" w:eastAsia="Times New Roman" w:hAnsi="Times New Roman"/>
                <w:sz w:val="20"/>
                <w:szCs w:val="20"/>
                <w:color w:val="auto"/>
              </w:rPr>
              <w:t>Name: Daniel Zevnik</w:t>
            </w:r>
          </w:p>
        </w:tc>
        <w:tc>
          <w:tcPr>
            <w:tcW w:w="640" w:type="dxa"/>
            <w:vAlign w:val="bottom"/>
          </w:tcPr>
          <w:p>
            <w:pPr>
              <w:spacing w:after="0"/>
              <w:rPr>
                <w:sz w:val="19"/>
                <w:szCs w:val="19"/>
                <w:color w:val="auto"/>
              </w:rPr>
            </w:pPr>
          </w:p>
        </w:tc>
        <w:tc>
          <w:tcPr>
            <w:tcW w:w="640" w:type="dxa"/>
            <w:vAlign w:val="bottom"/>
          </w:tcPr>
          <w:p>
            <w:pPr>
              <w:spacing w:after="0"/>
              <w:rPr>
                <w:sz w:val="19"/>
                <w:szCs w:val="19"/>
                <w:color w:val="auto"/>
              </w:rPr>
            </w:pPr>
          </w:p>
        </w:tc>
      </w:tr>
      <w:tr>
        <w:trPr>
          <w:trHeight w:val="258"/>
        </w:trPr>
        <w:tc>
          <w:tcPr>
            <w:tcW w:w="2600" w:type="dxa"/>
            <w:vAlign w:val="bottom"/>
            <w:gridSpan w:val="4"/>
          </w:tcPr>
          <w:p>
            <w:pPr>
              <w:ind w:left="340"/>
              <w:spacing w:after="0"/>
              <w:rPr>
                <w:sz w:val="20"/>
                <w:szCs w:val="20"/>
                <w:color w:val="auto"/>
              </w:rPr>
            </w:pPr>
            <w:r>
              <w:rPr>
                <w:rFonts w:ascii="Times New Roman" w:cs="Times New Roman" w:eastAsia="Times New Roman" w:hAnsi="Times New Roman"/>
                <w:sz w:val="20"/>
                <w:szCs w:val="20"/>
                <w:color w:val="auto"/>
              </w:rPr>
              <w:t>Title:  Managing Director</w:t>
            </w:r>
          </w:p>
        </w:tc>
        <w:tc>
          <w:tcPr>
            <w:tcW w:w="640" w:type="dxa"/>
            <w:vAlign w:val="bottom"/>
          </w:tcPr>
          <w:p>
            <w:pPr>
              <w:spacing w:after="0"/>
              <w:rPr>
                <w:sz w:val="22"/>
                <w:szCs w:val="22"/>
                <w:color w:val="auto"/>
              </w:rPr>
            </w:pPr>
          </w:p>
        </w:tc>
        <w:tc>
          <w:tcPr>
            <w:tcW w:w="640" w:type="dxa"/>
            <w:vAlign w:val="bottom"/>
          </w:tcPr>
          <w:p>
            <w:pPr>
              <w:spacing w:after="0"/>
              <w:rPr>
                <w:sz w:val="22"/>
                <w:szCs w:val="22"/>
                <w:color w:val="auto"/>
              </w:rPr>
            </w:pPr>
          </w:p>
        </w:tc>
      </w:tr>
    </w:tbl>
    <w:p>
      <w:pPr>
        <w:spacing w:after="0" w:line="201"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19"/>
          <w:szCs w:val="19"/>
          <w:color w:val="auto"/>
        </w:rPr>
        <w:t>BRICKYARD DIRECT LENDING FUND (SLF),</w:t>
      </w:r>
    </w:p>
    <w:p>
      <w:pPr>
        <w:spacing w:after="0" w:line="33"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20"/>
          <w:szCs w:val="20"/>
          <w:color w:val="auto"/>
        </w:rPr>
        <w:t>L.P., as a Lender</w:t>
      </w:r>
    </w:p>
    <w:p>
      <w:pPr>
        <w:ind w:left="4420"/>
        <w:spacing w:after="0"/>
        <w:rPr>
          <w:sz w:val="20"/>
          <w:szCs w:val="20"/>
          <w:color w:val="auto"/>
        </w:rPr>
      </w:pPr>
      <w:r>
        <w:rPr>
          <w:rFonts w:ascii="Times New Roman" w:cs="Times New Roman" w:eastAsia="Times New Roman" w:hAnsi="Times New Roman"/>
          <w:sz w:val="19"/>
          <w:szCs w:val="19"/>
          <w:color w:val="auto"/>
        </w:rPr>
        <w:t>By: HPS Investment Partners, LLC, its Investment</w:t>
      </w:r>
    </w:p>
    <w:p>
      <w:pPr>
        <w:spacing w:after="0" w:line="11"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20"/>
          <w:szCs w:val="20"/>
          <w:color w:val="auto"/>
        </w:rPr>
        <w:t>Manager</w:t>
      </w:r>
    </w:p>
    <w:p>
      <w:pPr>
        <w:spacing w:after="0" w:line="200" w:lineRule="exact"/>
        <w:rPr>
          <w:sz w:val="20"/>
          <w:szCs w:val="20"/>
          <w:color w:val="auto"/>
        </w:rPr>
      </w:pPr>
    </w:p>
    <w:p>
      <w:pPr>
        <w:spacing w:after="0" w:line="218" w:lineRule="exact"/>
        <w:rPr>
          <w:sz w:val="20"/>
          <w:szCs w:val="20"/>
          <w:color w:val="auto"/>
        </w:rPr>
      </w:pPr>
    </w:p>
    <w:tbl>
      <w:tblPr>
        <w:tblLayout w:type="fixed"/>
        <w:tblInd w:w="4420" w:type="dxa"/>
        <w:tblCellMar>
          <w:top w:w="0" w:type="dxa"/>
          <w:left w:w="0" w:type="dxa"/>
          <w:bottom w:w="0" w:type="dxa"/>
          <w:right w:w="0" w:type="dxa"/>
        </w:tblCellMar>
      </w:tblPr>
      <w:tr>
        <w:trPr>
          <w:trHeight w:val="230"/>
        </w:trPr>
        <w:tc>
          <w:tcPr>
            <w:tcW w:w="2600" w:type="dxa"/>
            <w:vAlign w:val="bottom"/>
            <w:gridSpan w:val="4"/>
          </w:tcPr>
          <w:p>
            <w:pPr>
              <w:spacing w:after="0"/>
              <w:rPr>
                <w:sz w:val="20"/>
                <w:szCs w:val="20"/>
                <w:color w:val="auto"/>
              </w:rPr>
            </w:pPr>
            <w:r>
              <w:rPr>
                <w:rFonts w:ascii="Times New Roman" w:cs="Times New Roman" w:eastAsia="Times New Roman" w:hAnsi="Times New Roman"/>
                <w:sz w:val="20"/>
                <w:szCs w:val="20"/>
                <w:color w:val="auto"/>
              </w:rPr>
              <w:t>By: /s/ Daniel Zevnik   ​</w:t>
            </w:r>
          </w:p>
        </w:tc>
        <w:tc>
          <w:tcPr>
            <w:tcW w:w="640" w:type="dxa"/>
            <w:vAlign w:val="bottom"/>
          </w:tcPr>
          <w:p>
            <w:pPr>
              <w:spacing w:after="0"/>
              <w:rPr>
                <w:sz w:val="20"/>
                <w:szCs w:val="20"/>
                <w:color w:val="auto"/>
              </w:rPr>
            </w:pPr>
            <w:r>
              <w:rPr>
                <w:rFonts w:ascii="Times New Roman" w:cs="Times New Roman" w:eastAsia="Times New Roman" w:hAnsi="Times New Roman"/>
                <w:sz w:val="20"/>
                <w:szCs w:val="20"/>
                <w:color w:val="auto"/>
              </w:rPr>
              <w:t>​</w:t>
            </w:r>
          </w:p>
        </w:tc>
        <w:tc>
          <w:tcPr>
            <w:tcW w:w="640" w:type="dxa"/>
            <w:vAlign w:val="bottom"/>
          </w:tcPr>
          <w:p>
            <w:pPr>
              <w:spacing w:after="0"/>
              <w:rPr>
                <w:sz w:val="20"/>
                <w:szCs w:val="20"/>
                <w:color w:val="auto"/>
              </w:rPr>
            </w:pPr>
            <w:r>
              <w:rPr>
                <w:rFonts w:ascii="Times New Roman" w:cs="Times New Roman" w:eastAsia="Times New Roman" w:hAnsi="Times New Roman"/>
                <w:sz w:val="20"/>
                <w:szCs w:val="20"/>
                <w:color w:val="auto"/>
              </w:rPr>
              <w:t>​</w:t>
            </w:r>
          </w:p>
        </w:tc>
      </w:tr>
      <w:tr>
        <w:trPr>
          <w:trHeight w:val="20"/>
        </w:trPr>
        <w:tc>
          <w:tcPr>
            <w:tcW w:w="340" w:type="dxa"/>
            <w:vAlign w:val="bottom"/>
          </w:tcPr>
          <w:p>
            <w:pPr>
              <w:spacing w:after="0" w:line="20" w:lineRule="exact"/>
              <w:rPr>
                <w:sz w:val="1"/>
                <w:szCs w:val="1"/>
                <w:color w:val="auto"/>
              </w:rPr>
            </w:pPr>
          </w:p>
        </w:tc>
        <w:tc>
          <w:tcPr>
            <w:tcW w:w="160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r>
      <w:tr>
        <w:trPr>
          <w:trHeight w:val="227"/>
        </w:trPr>
        <w:tc>
          <w:tcPr>
            <w:tcW w:w="2600" w:type="dxa"/>
            <w:vAlign w:val="bottom"/>
            <w:gridSpan w:val="4"/>
          </w:tcPr>
          <w:p>
            <w:pPr>
              <w:ind w:left="340"/>
              <w:spacing w:after="0" w:line="228" w:lineRule="exact"/>
              <w:rPr>
                <w:sz w:val="20"/>
                <w:szCs w:val="20"/>
                <w:color w:val="auto"/>
              </w:rPr>
            </w:pPr>
            <w:r>
              <w:rPr>
                <w:rFonts w:ascii="Times New Roman" w:cs="Times New Roman" w:eastAsia="Times New Roman" w:hAnsi="Times New Roman"/>
                <w:sz w:val="20"/>
                <w:szCs w:val="20"/>
                <w:color w:val="auto"/>
              </w:rPr>
              <w:t>Name: Daniel Zevnik</w:t>
            </w:r>
          </w:p>
        </w:tc>
        <w:tc>
          <w:tcPr>
            <w:tcW w:w="640" w:type="dxa"/>
            <w:vAlign w:val="bottom"/>
          </w:tcPr>
          <w:p>
            <w:pPr>
              <w:spacing w:after="0"/>
              <w:rPr>
                <w:sz w:val="19"/>
                <w:szCs w:val="19"/>
                <w:color w:val="auto"/>
              </w:rPr>
            </w:pPr>
          </w:p>
        </w:tc>
        <w:tc>
          <w:tcPr>
            <w:tcW w:w="640" w:type="dxa"/>
            <w:vAlign w:val="bottom"/>
          </w:tcPr>
          <w:p>
            <w:pPr>
              <w:spacing w:after="0"/>
              <w:rPr>
                <w:sz w:val="19"/>
                <w:szCs w:val="19"/>
                <w:color w:val="auto"/>
              </w:rPr>
            </w:pPr>
          </w:p>
        </w:tc>
      </w:tr>
      <w:tr>
        <w:trPr>
          <w:trHeight w:val="258"/>
        </w:trPr>
        <w:tc>
          <w:tcPr>
            <w:tcW w:w="2600" w:type="dxa"/>
            <w:vAlign w:val="bottom"/>
            <w:gridSpan w:val="4"/>
          </w:tcPr>
          <w:p>
            <w:pPr>
              <w:ind w:left="340"/>
              <w:spacing w:after="0"/>
              <w:rPr>
                <w:sz w:val="20"/>
                <w:szCs w:val="20"/>
                <w:color w:val="auto"/>
              </w:rPr>
            </w:pPr>
            <w:r>
              <w:rPr>
                <w:rFonts w:ascii="Times New Roman" w:cs="Times New Roman" w:eastAsia="Times New Roman" w:hAnsi="Times New Roman"/>
                <w:sz w:val="20"/>
                <w:szCs w:val="20"/>
                <w:color w:val="auto"/>
              </w:rPr>
              <w:t>Title:  Managing Director</w:t>
            </w:r>
          </w:p>
        </w:tc>
        <w:tc>
          <w:tcPr>
            <w:tcW w:w="640" w:type="dxa"/>
            <w:vAlign w:val="bottom"/>
          </w:tcPr>
          <w:p>
            <w:pPr>
              <w:spacing w:after="0"/>
              <w:rPr>
                <w:sz w:val="22"/>
                <w:szCs w:val="22"/>
                <w:color w:val="auto"/>
              </w:rPr>
            </w:pPr>
          </w:p>
        </w:tc>
        <w:tc>
          <w:tcPr>
            <w:tcW w:w="640" w:type="dxa"/>
            <w:vAlign w:val="bottom"/>
          </w:tcPr>
          <w:p>
            <w:pPr>
              <w:spacing w:after="0"/>
              <w:rPr>
                <w:sz w:val="22"/>
                <w:szCs w:val="22"/>
                <w:color w:val="auto"/>
              </w:rPr>
            </w:pPr>
          </w:p>
        </w:tc>
      </w:tr>
    </w:tbl>
    <w:p>
      <w:pPr>
        <w:spacing w:after="0" w:line="200" w:lineRule="exact"/>
        <w:rPr>
          <w:sz w:val="20"/>
          <w:szCs w:val="20"/>
          <w:color w:val="auto"/>
        </w:rPr>
      </w:pPr>
    </w:p>
    <w:p>
      <w:pPr>
        <w:spacing w:after="0" w:line="230"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20"/>
          <w:szCs w:val="20"/>
          <w:color w:val="auto"/>
        </w:rPr>
        <w:t>HPS CORPORATE LENDING FUND,</w:t>
      </w:r>
    </w:p>
    <w:p>
      <w:pPr>
        <w:spacing w:after="0" w:line="21"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20"/>
          <w:szCs w:val="20"/>
          <w:color w:val="auto"/>
        </w:rPr>
        <w:t>as a Lender</w:t>
      </w:r>
    </w:p>
    <w:p>
      <w:pPr>
        <w:ind w:left="4420"/>
        <w:spacing w:after="0"/>
        <w:rPr>
          <w:sz w:val="20"/>
          <w:szCs w:val="20"/>
          <w:color w:val="auto"/>
        </w:rPr>
      </w:pPr>
      <w:r>
        <w:rPr>
          <w:rFonts w:ascii="Times New Roman" w:cs="Times New Roman" w:eastAsia="Times New Roman" w:hAnsi="Times New Roman"/>
          <w:sz w:val="20"/>
          <w:szCs w:val="20"/>
          <w:color w:val="auto"/>
        </w:rPr>
        <w:t>By: HPS Advisors, LLC, its Investment</w:t>
      </w:r>
    </w:p>
    <w:p>
      <w:pPr>
        <w:ind w:left="4420"/>
        <w:spacing w:after="0"/>
        <w:rPr>
          <w:sz w:val="20"/>
          <w:szCs w:val="20"/>
          <w:color w:val="auto"/>
        </w:rPr>
      </w:pPr>
      <w:r>
        <w:rPr>
          <w:rFonts w:ascii="Times New Roman" w:cs="Times New Roman" w:eastAsia="Times New Roman" w:hAnsi="Times New Roman"/>
          <w:sz w:val="20"/>
          <w:szCs w:val="20"/>
          <w:color w:val="auto"/>
        </w:rPr>
        <w:t>Adviser</w:t>
      </w:r>
    </w:p>
    <w:p>
      <w:pPr>
        <w:spacing w:after="0" w:line="189" w:lineRule="exact"/>
        <w:rPr>
          <w:sz w:val="20"/>
          <w:szCs w:val="20"/>
          <w:color w:val="auto"/>
        </w:rPr>
      </w:pPr>
    </w:p>
    <w:tbl>
      <w:tblPr>
        <w:tblLayout w:type="fixed"/>
        <w:tblInd w:w="4420" w:type="dxa"/>
        <w:tblCellMar>
          <w:top w:w="0" w:type="dxa"/>
          <w:left w:w="0" w:type="dxa"/>
          <w:bottom w:w="0" w:type="dxa"/>
          <w:right w:w="0" w:type="dxa"/>
        </w:tblCellMar>
      </w:tblPr>
      <w:tr>
        <w:trPr>
          <w:trHeight w:val="230"/>
        </w:trPr>
        <w:tc>
          <w:tcPr>
            <w:tcW w:w="2600" w:type="dxa"/>
            <w:vAlign w:val="bottom"/>
            <w:gridSpan w:val="4"/>
          </w:tcPr>
          <w:p>
            <w:pPr>
              <w:spacing w:after="0"/>
              <w:rPr>
                <w:sz w:val="20"/>
                <w:szCs w:val="20"/>
                <w:color w:val="auto"/>
              </w:rPr>
            </w:pPr>
            <w:r>
              <w:rPr>
                <w:rFonts w:ascii="Times New Roman" w:cs="Times New Roman" w:eastAsia="Times New Roman" w:hAnsi="Times New Roman"/>
                <w:sz w:val="20"/>
                <w:szCs w:val="20"/>
                <w:color w:val="auto"/>
              </w:rPr>
              <w:t>By: /s/ Daniel Zevnik   ​</w:t>
            </w:r>
          </w:p>
        </w:tc>
        <w:tc>
          <w:tcPr>
            <w:tcW w:w="640" w:type="dxa"/>
            <w:vAlign w:val="bottom"/>
          </w:tcPr>
          <w:p>
            <w:pPr>
              <w:spacing w:after="0"/>
              <w:rPr>
                <w:sz w:val="20"/>
                <w:szCs w:val="20"/>
                <w:color w:val="auto"/>
              </w:rPr>
            </w:pPr>
            <w:r>
              <w:rPr>
                <w:rFonts w:ascii="Times New Roman" w:cs="Times New Roman" w:eastAsia="Times New Roman" w:hAnsi="Times New Roman"/>
                <w:sz w:val="20"/>
                <w:szCs w:val="20"/>
                <w:color w:val="auto"/>
              </w:rPr>
              <w:t>​</w:t>
            </w:r>
          </w:p>
        </w:tc>
        <w:tc>
          <w:tcPr>
            <w:tcW w:w="640" w:type="dxa"/>
            <w:vAlign w:val="bottom"/>
          </w:tcPr>
          <w:p>
            <w:pPr>
              <w:spacing w:after="0"/>
              <w:rPr>
                <w:sz w:val="20"/>
                <w:szCs w:val="20"/>
                <w:color w:val="auto"/>
              </w:rPr>
            </w:pPr>
            <w:r>
              <w:rPr>
                <w:rFonts w:ascii="Times New Roman" w:cs="Times New Roman" w:eastAsia="Times New Roman" w:hAnsi="Times New Roman"/>
                <w:sz w:val="20"/>
                <w:szCs w:val="20"/>
                <w:color w:val="auto"/>
              </w:rPr>
              <w:t>​</w:t>
            </w:r>
          </w:p>
        </w:tc>
      </w:tr>
      <w:tr>
        <w:trPr>
          <w:trHeight w:val="20"/>
        </w:trPr>
        <w:tc>
          <w:tcPr>
            <w:tcW w:w="300" w:type="dxa"/>
            <w:vAlign w:val="bottom"/>
          </w:tcPr>
          <w:p>
            <w:pPr>
              <w:spacing w:after="0" w:line="20" w:lineRule="exact"/>
              <w:rPr>
                <w:sz w:val="1"/>
                <w:szCs w:val="1"/>
                <w:color w:val="auto"/>
              </w:rPr>
            </w:pPr>
          </w:p>
        </w:tc>
        <w:tc>
          <w:tcPr>
            <w:tcW w:w="164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r>
      <w:tr>
        <w:trPr>
          <w:trHeight w:val="227"/>
        </w:trPr>
        <w:tc>
          <w:tcPr>
            <w:tcW w:w="300" w:type="dxa"/>
            <w:vAlign w:val="bottom"/>
          </w:tcPr>
          <w:p>
            <w:pPr>
              <w:spacing w:after="0"/>
              <w:rPr>
                <w:sz w:val="19"/>
                <w:szCs w:val="19"/>
                <w:color w:val="auto"/>
              </w:rPr>
            </w:pPr>
          </w:p>
        </w:tc>
        <w:tc>
          <w:tcPr>
            <w:tcW w:w="2300" w:type="dxa"/>
            <w:vAlign w:val="bottom"/>
            <w:gridSpan w:val="3"/>
          </w:tcPr>
          <w:p>
            <w:pPr>
              <w:ind w:left="40"/>
              <w:spacing w:after="0" w:line="228" w:lineRule="exact"/>
              <w:rPr>
                <w:sz w:val="20"/>
                <w:szCs w:val="20"/>
                <w:color w:val="auto"/>
              </w:rPr>
            </w:pPr>
            <w:r>
              <w:rPr>
                <w:rFonts w:ascii="Times New Roman" w:cs="Times New Roman" w:eastAsia="Times New Roman" w:hAnsi="Times New Roman"/>
                <w:sz w:val="20"/>
                <w:szCs w:val="20"/>
                <w:color w:val="auto"/>
              </w:rPr>
              <w:t>Name: Daniel Zevnik</w:t>
            </w:r>
          </w:p>
        </w:tc>
        <w:tc>
          <w:tcPr>
            <w:tcW w:w="640" w:type="dxa"/>
            <w:vAlign w:val="bottom"/>
          </w:tcPr>
          <w:p>
            <w:pPr>
              <w:spacing w:after="0"/>
              <w:rPr>
                <w:sz w:val="19"/>
                <w:szCs w:val="19"/>
                <w:color w:val="auto"/>
              </w:rPr>
            </w:pPr>
          </w:p>
        </w:tc>
        <w:tc>
          <w:tcPr>
            <w:tcW w:w="640" w:type="dxa"/>
            <w:vAlign w:val="bottom"/>
          </w:tcPr>
          <w:p>
            <w:pPr>
              <w:spacing w:after="0"/>
              <w:rPr>
                <w:sz w:val="19"/>
                <w:szCs w:val="19"/>
                <w:color w:val="auto"/>
              </w:rPr>
            </w:pPr>
          </w:p>
        </w:tc>
      </w:tr>
      <w:tr>
        <w:trPr>
          <w:trHeight w:val="258"/>
        </w:trPr>
        <w:tc>
          <w:tcPr>
            <w:tcW w:w="300" w:type="dxa"/>
            <w:vAlign w:val="bottom"/>
          </w:tcPr>
          <w:p>
            <w:pPr>
              <w:spacing w:after="0"/>
              <w:rPr>
                <w:sz w:val="22"/>
                <w:szCs w:val="22"/>
                <w:color w:val="auto"/>
              </w:rPr>
            </w:pPr>
          </w:p>
        </w:tc>
        <w:tc>
          <w:tcPr>
            <w:tcW w:w="2300" w:type="dxa"/>
            <w:vAlign w:val="bottom"/>
            <w:gridSpan w:val="3"/>
          </w:tcPr>
          <w:p>
            <w:pPr>
              <w:ind w:left="40"/>
              <w:spacing w:after="0"/>
              <w:rPr>
                <w:sz w:val="20"/>
                <w:szCs w:val="20"/>
                <w:color w:val="auto"/>
              </w:rPr>
            </w:pPr>
            <w:r>
              <w:rPr>
                <w:rFonts w:ascii="Times New Roman" w:cs="Times New Roman" w:eastAsia="Times New Roman" w:hAnsi="Times New Roman"/>
                <w:sz w:val="20"/>
                <w:szCs w:val="20"/>
                <w:color w:val="auto"/>
              </w:rPr>
              <w:t>Title:  Managing Director</w:t>
            </w:r>
          </w:p>
        </w:tc>
        <w:tc>
          <w:tcPr>
            <w:tcW w:w="640" w:type="dxa"/>
            <w:vAlign w:val="bottom"/>
          </w:tcPr>
          <w:p>
            <w:pPr>
              <w:spacing w:after="0"/>
              <w:rPr>
                <w:sz w:val="22"/>
                <w:szCs w:val="22"/>
                <w:color w:val="auto"/>
              </w:rPr>
            </w:pPr>
          </w:p>
        </w:tc>
        <w:tc>
          <w:tcPr>
            <w:tcW w:w="640" w:type="dxa"/>
            <w:vAlign w:val="bottom"/>
          </w:tcPr>
          <w:p>
            <w:pPr>
              <w:spacing w:after="0"/>
              <w:rPr>
                <w:sz w:val="22"/>
                <w:szCs w:val="22"/>
                <w:color w:val="auto"/>
              </w:rPr>
            </w:pPr>
          </w:p>
        </w:tc>
      </w:tr>
    </w:tbl>
    <w:p>
      <w:pPr>
        <w:spacing w:after="0" w:line="200" w:lineRule="exact"/>
        <w:rPr>
          <w:sz w:val="20"/>
          <w:szCs w:val="20"/>
          <w:color w:val="auto"/>
        </w:rPr>
      </w:pPr>
    </w:p>
    <w:p>
      <w:pPr>
        <w:spacing w:after="0" w:line="230"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20"/>
          <w:szCs w:val="20"/>
          <w:color w:val="auto"/>
        </w:rPr>
        <w:t>HPS A-LIFE DIRECT LENDING FUND, L.P.,</w:t>
      </w:r>
    </w:p>
    <w:p>
      <w:pPr>
        <w:spacing w:after="0" w:line="21"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20"/>
          <w:szCs w:val="20"/>
          <w:color w:val="auto"/>
        </w:rPr>
        <w:t>as a Lender</w:t>
      </w:r>
    </w:p>
    <w:p>
      <w:pPr>
        <w:ind w:left="4420"/>
        <w:spacing w:after="0"/>
        <w:rPr>
          <w:sz w:val="20"/>
          <w:szCs w:val="20"/>
          <w:color w:val="auto"/>
        </w:rPr>
      </w:pPr>
      <w:r>
        <w:rPr>
          <w:rFonts w:ascii="Times New Roman" w:cs="Times New Roman" w:eastAsia="Times New Roman" w:hAnsi="Times New Roman"/>
          <w:sz w:val="19"/>
          <w:szCs w:val="19"/>
          <w:color w:val="auto"/>
        </w:rPr>
        <w:t>By: HPS Investment Partners, LLC, its Investment</w:t>
      </w:r>
    </w:p>
    <w:p>
      <w:pPr>
        <w:spacing w:after="0" w:line="11"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20"/>
          <w:szCs w:val="20"/>
          <w:color w:val="auto"/>
        </w:rPr>
        <w:t>Manager</w:t>
      </w:r>
    </w:p>
    <w:p>
      <w:pPr>
        <w:spacing w:after="0" w:line="200" w:lineRule="exact"/>
        <w:rPr>
          <w:sz w:val="20"/>
          <w:szCs w:val="20"/>
          <w:color w:val="auto"/>
        </w:rPr>
      </w:pPr>
    </w:p>
    <w:p>
      <w:pPr>
        <w:spacing w:after="0" w:line="218" w:lineRule="exact"/>
        <w:rPr>
          <w:sz w:val="20"/>
          <w:szCs w:val="20"/>
          <w:color w:val="auto"/>
        </w:rPr>
      </w:pPr>
    </w:p>
    <w:tbl>
      <w:tblPr>
        <w:tblLayout w:type="fixed"/>
        <w:tblInd w:w="4420" w:type="dxa"/>
        <w:tblCellMar>
          <w:top w:w="0" w:type="dxa"/>
          <w:left w:w="0" w:type="dxa"/>
          <w:bottom w:w="0" w:type="dxa"/>
          <w:right w:w="0" w:type="dxa"/>
        </w:tblCellMar>
      </w:tblPr>
      <w:tr>
        <w:trPr>
          <w:trHeight w:val="230"/>
        </w:trPr>
        <w:tc>
          <w:tcPr>
            <w:tcW w:w="2600" w:type="dxa"/>
            <w:vAlign w:val="bottom"/>
            <w:gridSpan w:val="4"/>
          </w:tcPr>
          <w:p>
            <w:pPr>
              <w:spacing w:after="0"/>
              <w:rPr>
                <w:sz w:val="20"/>
                <w:szCs w:val="20"/>
                <w:color w:val="auto"/>
              </w:rPr>
            </w:pPr>
            <w:r>
              <w:rPr>
                <w:rFonts w:ascii="Times New Roman" w:cs="Times New Roman" w:eastAsia="Times New Roman" w:hAnsi="Times New Roman"/>
                <w:sz w:val="20"/>
                <w:szCs w:val="20"/>
                <w:color w:val="auto"/>
              </w:rPr>
              <w:t>By: /s/ Daniel Zevnik   ​</w:t>
            </w:r>
          </w:p>
        </w:tc>
        <w:tc>
          <w:tcPr>
            <w:tcW w:w="640" w:type="dxa"/>
            <w:vAlign w:val="bottom"/>
          </w:tcPr>
          <w:p>
            <w:pPr>
              <w:spacing w:after="0"/>
              <w:rPr>
                <w:sz w:val="20"/>
                <w:szCs w:val="20"/>
                <w:color w:val="auto"/>
              </w:rPr>
            </w:pPr>
            <w:r>
              <w:rPr>
                <w:rFonts w:ascii="Times New Roman" w:cs="Times New Roman" w:eastAsia="Times New Roman" w:hAnsi="Times New Roman"/>
                <w:sz w:val="20"/>
                <w:szCs w:val="20"/>
                <w:color w:val="auto"/>
              </w:rPr>
              <w:t>​</w:t>
            </w:r>
          </w:p>
        </w:tc>
        <w:tc>
          <w:tcPr>
            <w:tcW w:w="640" w:type="dxa"/>
            <w:vAlign w:val="bottom"/>
          </w:tcPr>
          <w:p>
            <w:pPr>
              <w:spacing w:after="0"/>
              <w:rPr>
                <w:sz w:val="20"/>
                <w:szCs w:val="20"/>
                <w:color w:val="auto"/>
              </w:rPr>
            </w:pPr>
            <w:r>
              <w:rPr>
                <w:rFonts w:ascii="Times New Roman" w:cs="Times New Roman" w:eastAsia="Times New Roman" w:hAnsi="Times New Roman"/>
                <w:sz w:val="20"/>
                <w:szCs w:val="20"/>
                <w:color w:val="auto"/>
              </w:rPr>
              <w:t>​</w:t>
            </w:r>
          </w:p>
        </w:tc>
      </w:tr>
      <w:tr>
        <w:trPr>
          <w:trHeight w:val="20"/>
        </w:trPr>
        <w:tc>
          <w:tcPr>
            <w:tcW w:w="300" w:type="dxa"/>
            <w:vAlign w:val="bottom"/>
          </w:tcPr>
          <w:p>
            <w:pPr>
              <w:spacing w:after="0" w:line="20" w:lineRule="exact"/>
              <w:rPr>
                <w:sz w:val="1"/>
                <w:szCs w:val="1"/>
                <w:color w:val="auto"/>
              </w:rPr>
            </w:pPr>
          </w:p>
        </w:tc>
        <w:tc>
          <w:tcPr>
            <w:tcW w:w="164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r>
      <w:tr>
        <w:trPr>
          <w:trHeight w:val="227"/>
        </w:trPr>
        <w:tc>
          <w:tcPr>
            <w:tcW w:w="300" w:type="dxa"/>
            <w:vAlign w:val="bottom"/>
          </w:tcPr>
          <w:p>
            <w:pPr>
              <w:spacing w:after="0"/>
              <w:rPr>
                <w:sz w:val="19"/>
                <w:szCs w:val="19"/>
                <w:color w:val="auto"/>
              </w:rPr>
            </w:pPr>
          </w:p>
        </w:tc>
        <w:tc>
          <w:tcPr>
            <w:tcW w:w="2300" w:type="dxa"/>
            <w:vAlign w:val="bottom"/>
            <w:gridSpan w:val="3"/>
          </w:tcPr>
          <w:p>
            <w:pPr>
              <w:ind w:left="40"/>
              <w:spacing w:after="0" w:line="228" w:lineRule="exact"/>
              <w:rPr>
                <w:sz w:val="20"/>
                <w:szCs w:val="20"/>
                <w:color w:val="auto"/>
              </w:rPr>
            </w:pPr>
            <w:r>
              <w:rPr>
                <w:rFonts w:ascii="Times New Roman" w:cs="Times New Roman" w:eastAsia="Times New Roman" w:hAnsi="Times New Roman"/>
                <w:sz w:val="20"/>
                <w:szCs w:val="20"/>
                <w:color w:val="auto"/>
              </w:rPr>
              <w:t>Name: Daniel Zevnik</w:t>
            </w:r>
          </w:p>
        </w:tc>
        <w:tc>
          <w:tcPr>
            <w:tcW w:w="640" w:type="dxa"/>
            <w:vAlign w:val="bottom"/>
          </w:tcPr>
          <w:p>
            <w:pPr>
              <w:spacing w:after="0"/>
              <w:rPr>
                <w:sz w:val="19"/>
                <w:szCs w:val="19"/>
                <w:color w:val="auto"/>
              </w:rPr>
            </w:pPr>
          </w:p>
        </w:tc>
        <w:tc>
          <w:tcPr>
            <w:tcW w:w="640" w:type="dxa"/>
            <w:vAlign w:val="bottom"/>
          </w:tcPr>
          <w:p>
            <w:pPr>
              <w:spacing w:after="0"/>
              <w:rPr>
                <w:sz w:val="19"/>
                <w:szCs w:val="19"/>
                <w:color w:val="auto"/>
              </w:rPr>
            </w:pPr>
          </w:p>
        </w:tc>
      </w:tr>
      <w:tr>
        <w:trPr>
          <w:trHeight w:val="258"/>
        </w:trPr>
        <w:tc>
          <w:tcPr>
            <w:tcW w:w="300" w:type="dxa"/>
            <w:vAlign w:val="bottom"/>
          </w:tcPr>
          <w:p>
            <w:pPr>
              <w:spacing w:after="0"/>
              <w:rPr>
                <w:sz w:val="22"/>
                <w:szCs w:val="22"/>
                <w:color w:val="auto"/>
              </w:rPr>
            </w:pPr>
          </w:p>
        </w:tc>
        <w:tc>
          <w:tcPr>
            <w:tcW w:w="2300" w:type="dxa"/>
            <w:vAlign w:val="bottom"/>
            <w:gridSpan w:val="3"/>
          </w:tcPr>
          <w:p>
            <w:pPr>
              <w:ind w:left="40"/>
              <w:spacing w:after="0"/>
              <w:rPr>
                <w:sz w:val="20"/>
                <w:szCs w:val="20"/>
                <w:color w:val="auto"/>
              </w:rPr>
            </w:pPr>
            <w:r>
              <w:rPr>
                <w:rFonts w:ascii="Times New Roman" w:cs="Times New Roman" w:eastAsia="Times New Roman" w:hAnsi="Times New Roman"/>
                <w:sz w:val="20"/>
                <w:szCs w:val="20"/>
                <w:color w:val="auto"/>
              </w:rPr>
              <w:t>Title:  Managing Director</w:t>
            </w:r>
          </w:p>
        </w:tc>
        <w:tc>
          <w:tcPr>
            <w:tcW w:w="640" w:type="dxa"/>
            <w:vAlign w:val="bottom"/>
          </w:tcPr>
          <w:p>
            <w:pPr>
              <w:spacing w:after="0"/>
              <w:rPr>
                <w:sz w:val="22"/>
                <w:szCs w:val="22"/>
                <w:color w:val="auto"/>
              </w:rPr>
            </w:pPr>
          </w:p>
        </w:tc>
        <w:tc>
          <w:tcPr>
            <w:tcW w:w="640" w:type="dxa"/>
            <w:vAlign w:val="bottom"/>
          </w:tcPr>
          <w:p>
            <w:pPr>
              <w:spacing w:after="0"/>
              <w:rPr>
                <w:sz w:val="22"/>
                <w:szCs w:val="22"/>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4"/>
          <w:szCs w:val="14"/>
          <w:color w:val="auto"/>
        </w:rPr>
        <w:t>US-DOCS\171161013.8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339725</wp:posOffset>
            </wp:positionH>
            <wp:positionV relativeFrom="paragraph">
              <wp:posOffset>349250</wp:posOffset>
            </wp:positionV>
            <wp:extent cx="5040630" cy="2603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9">
                      <a:extLst>
                        <a:ext uri="{28A0092B-C50C-407E-A947-70E740481C1C}"/>
                      </a:extLst>
                    </a:blip>
                    <a:srcRect/>
                    <a:stretch>
                      <a:fillRect/>
                    </a:stretch>
                  </pic:blipFill>
                  <pic:spPr bwMode="auto">
                    <a:xfrm>
                      <a:off x="0" y="0"/>
                      <a:ext cx="5040630" cy="26035"/>
                    </a:xfrm>
                    <a:prstGeom prst="rect">
                      <a:avLst/>
                    </a:prstGeom>
                    <a:noFill/>
                  </pic:spPr>
                </pic:pic>
              </a:graphicData>
            </a:graphic>
          </wp:anchor>
        </w:drawing>
      </w:r>
    </w:p>
    <w:p>
      <w:pPr>
        <w:sectPr>
          <w:pgSz w:w="11900" w:h="16838" w:orient="portrait"/>
          <w:cols w:equalWidth="0" w:num="1">
            <w:col w:w="9019"/>
          </w:cols>
          <w:pgMar w:left="1440" w:top="900" w:right="1440" w:bottom="1440" w:gutter="0" w:footer="0" w:header="0"/>
        </w:sectPr>
      </w:pPr>
    </w:p>
    <w:bookmarkStart w:id="69" w:name="page70"/>
    <w:bookmarkEnd w:id="69"/>
    <w:p>
      <w:pPr>
        <w:ind w:left="4420"/>
        <w:spacing w:after="0"/>
        <w:rPr>
          <w:sz w:val="20"/>
          <w:szCs w:val="20"/>
          <w:color w:val="auto"/>
        </w:rPr>
      </w:pPr>
      <w:r>
        <w:rPr>
          <w:rFonts w:ascii="Times New Roman" w:cs="Times New Roman" w:eastAsia="Times New Roman" w:hAnsi="Times New Roman"/>
          <w:sz w:val="19"/>
          <w:szCs w:val="19"/>
          <w:color w:val="auto"/>
        </w:rPr>
        <w:t>HPS BLACK KNIGHT 1922 SPECIALTY LOAN</w:t>
      </w:r>
    </w:p>
    <w:p>
      <w:pPr>
        <w:spacing w:after="0" w:line="33"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20"/>
          <w:szCs w:val="20"/>
          <w:color w:val="auto"/>
        </w:rPr>
        <w:t>FUND, LLC,</w:t>
      </w:r>
    </w:p>
    <w:p>
      <w:pPr>
        <w:ind w:left="4420"/>
        <w:spacing w:after="0"/>
        <w:rPr>
          <w:sz w:val="20"/>
          <w:szCs w:val="20"/>
          <w:color w:val="auto"/>
        </w:rPr>
      </w:pPr>
      <w:r>
        <w:rPr>
          <w:rFonts w:ascii="Times New Roman" w:cs="Times New Roman" w:eastAsia="Times New Roman" w:hAnsi="Times New Roman"/>
          <w:sz w:val="20"/>
          <w:szCs w:val="20"/>
          <w:color w:val="auto"/>
        </w:rPr>
        <w:t>as a Lender</w:t>
      </w:r>
    </w:p>
    <w:p>
      <w:pPr>
        <w:ind w:left="4420"/>
        <w:spacing w:after="0"/>
        <w:rPr>
          <w:sz w:val="20"/>
          <w:szCs w:val="20"/>
          <w:color w:val="auto"/>
        </w:rPr>
      </w:pPr>
      <w:r>
        <w:rPr>
          <w:rFonts w:ascii="Times New Roman" w:cs="Times New Roman" w:eastAsia="Times New Roman" w:hAnsi="Times New Roman"/>
          <w:sz w:val="19"/>
          <w:szCs w:val="19"/>
          <w:color w:val="auto"/>
        </w:rPr>
        <w:t>By: HPS Investment Partners, LLC, its Investment</w:t>
      </w:r>
    </w:p>
    <w:p>
      <w:pPr>
        <w:spacing w:after="0" w:line="11"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20"/>
          <w:szCs w:val="20"/>
          <w:color w:val="auto"/>
        </w:rPr>
        <w:t>Manager</w:t>
      </w:r>
    </w:p>
    <w:p>
      <w:pPr>
        <w:spacing w:after="0" w:line="200" w:lineRule="exact"/>
        <w:rPr>
          <w:sz w:val="20"/>
          <w:szCs w:val="20"/>
          <w:color w:val="auto"/>
        </w:rPr>
      </w:pPr>
    </w:p>
    <w:p>
      <w:pPr>
        <w:spacing w:after="0" w:line="218" w:lineRule="exact"/>
        <w:rPr>
          <w:sz w:val="20"/>
          <w:szCs w:val="20"/>
          <w:color w:val="auto"/>
        </w:rPr>
      </w:pPr>
    </w:p>
    <w:tbl>
      <w:tblPr>
        <w:tblLayout w:type="fixed"/>
        <w:tblInd w:w="4420" w:type="dxa"/>
        <w:tblCellMar>
          <w:top w:w="0" w:type="dxa"/>
          <w:left w:w="0" w:type="dxa"/>
          <w:bottom w:w="0" w:type="dxa"/>
          <w:right w:w="0" w:type="dxa"/>
        </w:tblCellMar>
      </w:tblPr>
      <w:tr>
        <w:trPr>
          <w:trHeight w:val="230"/>
        </w:trPr>
        <w:tc>
          <w:tcPr>
            <w:tcW w:w="2600" w:type="dxa"/>
            <w:vAlign w:val="bottom"/>
            <w:gridSpan w:val="4"/>
          </w:tcPr>
          <w:p>
            <w:pPr>
              <w:spacing w:after="0"/>
              <w:rPr>
                <w:sz w:val="20"/>
                <w:szCs w:val="20"/>
                <w:color w:val="auto"/>
              </w:rPr>
            </w:pPr>
            <w:r>
              <w:rPr>
                <w:rFonts w:ascii="Times New Roman" w:cs="Times New Roman" w:eastAsia="Times New Roman" w:hAnsi="Times New Roman"/>
                <w:sz w:val="20"/>
                <w:szCs w:val="20"/>
                <w:color w:val="auto"/>
              </w:rPr>
              <w:t>By: /s/ Daniel Zevnik   ​</w:t>
            </w:r>
          </w:p>
        </w:tc>
        <w:tc>
          <w:tcPr>
            <w:tcW w:w="640" w:type="dxa"/>
            <w:vAlign w:val="bottom"/>
          </w:tcPr>
          <w:p>
            <w:pPr>
              <w:spacing w:after="0"/>
              <w:rPr>
                <w:sz w:val="20"/>
                <w:szCs w:val="20"/>
                <w:color w:val="auto"/>
              </w:rPr>
            </w:pPr>
            <w:r>
              <w:rPr>
                <w:rFonts w:ascii="Times New Roman" w:cs="Times New Roman" w:eastAsia="Times New Roman" w:hAnsi="Times New Roman"/>
                <w:sz w:val="20"/>
                <w:szCs w:val="20"/>
                <w:color w:val="auto"/>
              </w:rPr>
              <w:t>​</w:t>
            </w:r>
          </w:p>
        </w:tc>
        <w:tc>
          <w:tcPr>
            <w:tcW w:w="640" w:type="dxa"/>
            <w:vAlign w:val="bottom"/>
          </w:tcPr>
          <w:p>
            <w:pPr>
              <w:spacing w:after="0"/>
              <w:rPr>
                <w:sz w:val="20"/>
                <w:szCs w:val="20"/>
                <w:color w:val="auto"/>
              </w:rPr>
            </w:pPr>
            <w:r>
              <w:rPr>
                <w:rFonts w:ascii="Times New Roman" w:cs="Times New Roman" w:eastAsia="Times New Roman" w:hAnsi="Times New Roman"/>
                <w:sz w:val="20"/>
                <w:szCs w:val="20"/>
                <w:color w:val="auto"/>
              </w:rPr>
              <w:t>​</w:t>
            </w:r>
          </w:p>
        </w:tc>
      </w:tr>
      <w:tr>
        <w:trPr>
          <w:trHeight w:val="20"/>
        </w:trPr>
        <w:tc>
          <w:tcPr>
            <w:tcW w:w="300" w:type="dxa"/>
            <w:vAlign w:val="bottom"/>
          </w:tcPr>
          <w:p>
            <w:pPr>
              <w:spacing w:after="0" w:line="20" w:lineRule="exact"/>
              <w:rPr>
                <w:sz w:val="1"/>
                <w:szCs w:val="1"/>
                <w:color w:val="auto"/>
              </w:rPr>
            </w:pPr>
          </w:p>
        </w:tc>
        <w:tc>
          <w:tcPr>
            <w:tcW w:w="164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r>
      <w:tr>
        <w:trPr>
          <w:trHeight w:val="227"/>
        </w:trPr>
        <w:tc>
          <w:tcPr>
            <w:tcW w:w="300" w:type="dxa"/>
            <w:vAlign w:val="bottom"/>
          </w:tcPr>
          <w:p>
            <w:pPr>
              <w:spacing w:after="0"/>
              <w:rPr>
                <w:sz w:val="19"/>
                <w:szCs w:val="19"/>
                <w:color w:val="auto"/>
              </w:rPr>
            </w:pPr>
          </w:p>
        </w:tc>
        <w:tc>
          <w:tcPr>
            <w:tcW w:w="2300" w:type="dxa"/>
            <w:vAlign w:val="bottom"/>
            <w:gridSpan w:val="3"/>
          </w:tcPr>
          <w:p>
            <w:pPr>
              <w:ind w:left="40"/>
              <w:spacing w:after="0" w:line="228" w:lineRule="exact"/>
              <w:rPr>
                <w:sz w:val="20"/>
                <w:szCs w:val="20"/>
                <w:color w:val="auto"/>
              </w:rPr>
            </w:pPr>
            <w:r>
              <w:rPr>
                <w:rFonts w:ascii="Times New Roman" w:cs="Times New Roman" w:eastAsia="Times New Roman" w:hAnsi="Times New Roman"/>
                <w:sz w:val="20"/>
                <w:szCs w:val="20"/>
                <w:color w:val="auto"/>
              </w:rPr>
              <w:t>Name: Daniel Zevnik</w:t>
            </w:r>
          </w:p>
        </w:tc>
        <w:tc>
          <w:tcPr>
            <w:tcW w:w="640" w:type="dxa"/>
            <w:vAlign w:val="bottom"/>
          </w:tcPr>
          <w:p>
            <w:pPr>
              <w:spacing w:after="0"/>
              <w:rPr>
                <w:sz w:val="19"/>
                <w:szCs w:val="19"/>
                <w:color w:val="auto"/>
              </w:rPr>
            </w:pPr>
          </w:p>
        </w:tc>
        <w:tc>
          <w:tcPr>
            <w:tcW w:w="640" w:type="dxa"/>
            <w:vAlign w:val="bottom"/>
          </w:tcPr>
          <w:p>
            <w:pPr>
              <w:spacing w:after="0"/>
              <w:rPr>
                <w:sz w:val="19"/>
                <w:szCs w:val="19"/>
                <w:color w:val="auto"/>
              </w:rPr>
            </w:pPr>
          </w:p>
        </w:tc>
      </w:tr>
      <w:tr>
        <w:trPr>
          <w:trHeight w:val="258"/>
        </w:trPr>
        <w:tc>
          <w:tcPr>
            <w:tcW w:w="300" w:type="dxa"/>
            <w:vAlign w:val="bottom"/>
          </w:tcPr>
          <w:p>
            <w:pPr>
              <w:spacing w:after="0"/>
              <w:rPr>
                <w:sz w:val="22"/>
                <w:szCs w:val="22"/>
                <w:color w:val="auto"/>
              </w:rPr>
            </w:pPr>
          </w:p>
        </w:tc>
        <w:tc>
          <w:tcPr>
            <w:tcW w:w="2300" w:type="dxa"/>
            <w:vAlign w:val="bottom"/>
            <w:gridSpan w:val="3"/>
          </w:tcPr>
          <w:p>
            <w:pPr>
              <w:ind w:left="40"/>
              <w:spacing w:after="0"/>
              <w:rPr>
                <w:sz w:val="20"/>
                <w:szCs w:val="20"/>
                <w:color w:val="auto"/>
              </w:rPr>
            </w:pPr>
            <w:r>
              <w:rPr>
                <w:rFonts w:ascii="Times New Roman" w:cs="Times New Roman" w:eastAsia="Times New Roman" w:hAnsi="Times New Roman"/>
                <w:sz w:val="20"/>
                <w:szCs w:val="20"/>
                <w:color w:val="auto"/>
              </w:rPr>
              <w:t>Title:  Managing Director</w:t>
            </w:r>
          </w:p>
        </w:tc>
        <w:tc>
          <w:tcPr>
            <w:tcW w:w="640" w:type="dxa"/>
            <w:vAlign w:val="bottom"/>
          </w:tcPr>
          <w:p>
            <w:pPr>
              <w:spacing w:after="0"/>
              <w:rPr>
                <w:sz w:val="22"/>
                <w:szCs w:val="22"/>
                <w:color w:val="auto"/>
              </w:rPr>
            </w:pPr>
          </w:p>
        </w:tc>
        <w:tc>
          <w:tcPr>
            <w:tcW w:w="640" w:type="dxa"/>
            <w:vAlign w:val="bottom"/>
          </w:tcPr>
          <w:p>
            <w:pPr>
              <w:spacing w:after="0"/>
              <w:rPr>
                <w:sz w:val="22"/>
                <w:szCs w:val="22"/>
                <w:color w:val="auto"/>
              </w:rPr>
            </w:pPr>
          </w:p>
        </w:tc>
      </w:tr>
    </w:tbl>
    <w:p>
      <w:pPr>
        <w:spacing w:after="0" w:line="200" w:lineRule="exact"/>
        <w:rPr>
          <w:sz w:val="20"/>
          <w:szCs w:val="20"/>
          <w:color w:val="auto"/>
        </w:rPr>
      </w:pPr>
    </w:p>
    <w:p>
      <w:pPr>
        <w:spacing w:after="0" w:line="230"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20"/>
          <w:szCs w:val="20"/>
          <w:color w:val="auto"/>
        </w:rPr>
        <w:t>HPS GARDEN PRIVATE CREDIT FUND, L.P.,</w:t>
      </w:r>
    </w:p>
    <w:p>
      <w:pPr>
        <w:spacing w:after="0" w:line="21"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20"/>
          <w:szCs w:val="20"/>
          <w:color w:val="auto"/>
        </w:rPr>
        <w:t>as a Lender</w:t>
      </w:r>
    </w:p>
    <w:p>
      <w:pPr>
        <w:ind w:left="4420"/>
        <w:spacing w:after="0"/>
        <w:rPr>
          <w:sz w:val="20"/>
          <w:szCs w:val="20"/>
          <w:color w:val="auto"/>
        </w:rPr>
      </w:pPr>
      <w:r>
        <w:rPr>
          <w:rFonts w:ascii="Times New Roman" w:cs="Times New Roman" w:eastAsia="Times New Roman" w:hAnsi="Times New Roman"/>
          <w:sz w:val="19"/>
          <w:szCs w:val="19"/>
          <w:color w:val="auto"/>
        </w:rPr>
        <w:t>By: HPS Investment Partners, LLC, its Investment</w:t>
      </w:r>
    </w:p>
    <w:p>
      <w:pPr>
        <w:spacing w:after="0" w:line="11"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20"/>
          <w:szCs w:val="20"/>
          <w:color w:val="auto"/>
        </w:rPr>
        <w:t>Manager</w:t>
      </w:r>
    </w:p>
    <w:p>
      <w:pPr>
        <w:spacing w:after="0" w:line="200" w:lineRule="exact"/>
        <w:rPr>
          <w:sz w:val="20"/>
          <w:szCs w:val="20"/>
          <w:color w:val="auto"/>
        </w:rPr>
      </w:pPr>
    </w:p>
    <w:p>
      <w:pPr>
        <w:spacing w:after="0" w:line="218" w:lineRule="exact"/>
        <w:rPr>
          <w:sz w:val="20"/>
          <w:szCs w:val="20"/>
          <w:color w:val="auto"/>
        </w:rPr>
      </w:pPr>
    </w:p>
    <w:tbl>
      <w:tblPr>
        <w:tblLayout w:type="fixed"/>
        <w:tblInd w:w="4420" w:type="dxa"/>
        <w:tblCellMar>
          <w:top w:w="0" w:type="dxa"/>
          <w:left w:w="0" w:type="dxa"/>
          <w:bottom w:w="0" w:type="dxa"/>
          <w:right w:w="0" w:type="dxa"/>
        </w:tblCellMar>
      </w:tblPr>
      <w:tr>
        <w:trPr>
          <w:trHeight w:val="230"/>
        </w:trPr>
        <w:tc>
          <w:tcPr>
            <w:tcW w:w="2600" w:type="dxa"/>
            <w:vAlign w:val="bottom"/>
            <w:gridSpan w:val="4"/>
          </w:tcPr>
          <w:p>
            <w:pPr>
              <w:spacing w:after="0"/>
              <w:rPr>
                <w:sz w:val="20"/>
                <w:szCs w:val="20"/>
                <w:color w:val="auto"/>
              </w:rPr>
            </w:pPr>
            <w:r>
              <w:rPr>
                <w:rFonts w:ascii="Times New Roman" w:cs="Times New Roman" w:eastAsia="Times New Roman" w:hAnsi="Times New Roman"/>
                <w:sz w:val="20"/>
                <w:szCs w:val="20"/>
                <w:color w:val="auto"/>
              </w:rPr>
              <w:t>By: /s/ Daniel Zevnik   ​</w:t>
            </w:r>
          </w:p>
        </w:tc>
        <w:tc>
          <w:tcPr>
            <w:tcW w:w="640" w:type="dxa"/>
            <w:vAlign w:val="bottom"/>
          </w:tcPr>
          <w:p>
            <w:pPr>
              <w:spacing w:after="0"/>
              <w:rPr>
                <w:sz w:val="20"/>
                <w:szCs w:val="20"/>
                <w:color w:val="auto"/>
              </w:rPr>
            </w:pPr>
            <w:r>
              <w:rPr>
                <w:rFonts w:ascii="Times New Roman" w:cs="Times New Roman" w:eastAsia="Times New Roman" w:hAnsi="Times New Roman"/>
                <w:sz w:val="20"/>
                <w:szCs w:val="20"/>
                <w:color w:val="auto"/>
              </w:rPr>
              <w:t>​</w:t>
            </w:r>
          </w:p>
        </w:tc>
        <w:tc>
          <w:tcPr>
            <w:tcW w:w="640" w:type="dxa"/>
            <w:vAlign w:val="bottom"/>
          </w:tcPr>
          <w:p>
            <w:pPr>
              <w:spacing w:after="0"/>
              <w:rPr>
                <w:sz w:val="20"/>
                <w:szCs w:val="20"/>
                <w:color w:val="auto"/>
              </w:rPr>
            </w:pPr>
            <w:r>
              <w:rPr>
                <w:rFonts w:ascii="Times New Roman" w:cs="Times New Roman" w:eastAsia="Times New Roman" w:hAnsi="Times New Roman"/>
                <w:sz w:val="20"/>
                <w:szCs w:val="20"/>
                <w:color w:val="auto"/>
              </w:rPr>
              <w:t>​</w:t>
            </w:r>
          </w:p>
        </w:tc>
      </w:tr>
      <w:tr>
        <w:trPr>
          <w:trHeight w:val="20"/>
        </w:trPr>
        <w:tc>
          <w:tcPr>
            <w:tcW w:w="340" w:type="dxa"/>
            <w:vAlign w:val="bottom"/>
          </w:tcPr>
          <w:p>
            <w:pPr>
              <w:spacing w:after="0" w:line="20" w:lineRule="exact"/>
              <w:rPr>
                <w:sz w:val="1"/>
                <w:szCs w:val="1"/>
                <w:color w:val="auto"/>
              </w:rPr>
            </w:pPr>
          </w:p>
        </w:tc>
        <w:tc>
          <w:tcPr>
            <w:tcW w:w="160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r>
      <w:tr>
        <w:trPr>
          <w:trHeight w:val="227"/>
        </w:trPr>
        <w:tc>
          <w:tcPr>
            <w:tcW w:w="2600" w:type="dxa"/>
            <w:vAlign w:val="bottom"/>
            <w:gridSpan w:val="4"/>
          </w:tcPr>
          <w:p>
            <w:pPr>
              <w:ind w:left="340"/>
              <w:spacing w:after="0" w:line="228" w:lineRule="exact"/>
              <w:rPr>
                <w:sz w:val="20"/>
                <w:szCs w:val="20"/>
                <w:color w:val="auto"/>
              </w:rPr>
            </w:pPr>
            <w:r>
              <w:rPr>
                <w:rFonts w:ascii="Times New Roman" w:cs="Times New Roman" w:eastAsia="Times New Roman" w:hAnsi="Times New Roman"/>
                <w:sz w:val="20"/>
                <w:szCs w:val="20"/>
                <w:color w:val="auto"/>
              </w:rPr>
              <w:t>Name: Daniel Zevnik</w:t>
            </w:r>
          </w:p>
        </w:tc>
        <w:tc>
          <w:tcPr>
            <w:tcW w:w="640" w:type="dxa"/>
            <w:vAlign w:val="bottom"/>
          </w:tcPr>
          <w:p>
            <w:pPr>
              <w:spacing w:after="0"/>
              <w:rPr>
                <w:sz w:val="19"/>
                <w:szCs w:val="19"/>
                <w:color w:val="auto"/>
              </w:rPr>
            </w:pPr>
          </w:p>
        </w:tc>
        <w:tc>
          <w:tcPr>
            <w:tcW w:w="640" w:type="dxa"/>
            <w:vAlign w:val="bottom"/>
          </w:tcPr>
          <w:p>
            <w:pPr>
              <w:spacing w:after="0"/>
              <w:rPr>
                <w:sz w:val="19"/>
                <w:szCs w:val="19"/>
                <w:color w:val="auto"/>
              </w:rPr>
            </w:pPr>
          </w:p>
        </w:tc>
      </w:tr>
      <w:tr>
        <w:trPr>
          <w:trHeight w:val="258"/>
        </w:trPr>
        <w:tc>
          <w:tcPr>
            <w:tcW w:w="2600" w:type="dxa"/>
            <w:vAlign w:val="bottom"/>
            <w:gridSpan w:val="4"/>
          </w:tcPr>
          <w:p>
            <w:pPr>
              <w:ind w:left="340"/>
              <w:spacing w:after="0"/>
              <w:rPr>
                <w:sz w:val="20"/>
                <w:szCs w:val="20"/>
                <w:color w:val="auto"/>
              </w:rPr>
            </w:pPr>
            <w:r>
              <w:rPr>
                <w:rFonts w:ascii="Times New Roman" w:cs="Times New Roman" w:eastAsia="Times New Roman" w:hAnsi="Times New Roman"/>
                <w:sz w:val="20"/>
                <w:szCs w:val="20"/>
                <w:color w:val="auto"/>
              </w:rPr>
              <w:t>Title:  Managing Director</w:t>
            </w:r>
          </w:p>
        </w:tc>
        <w:tc>
          <w:tcPr>
            <w:tcW w:w="640" w:type="dxa"/>
            <w:vAlign w:val="bottom"/>
          </w:tcPr>
          <w:p>
            <w:pPr>
              <w:spacing w:after="0"/>
              <w:rPr>
                <w:sz w:val="22"/>
                <w:szCs w:val="22"/>
                <w:color w:val="auto"/>
              </w:rPr>
            </w:pPr>
          </w:p>
        </w:tc>
        <w:tc>
          <w:tcPr>
            <w:tcW w:w="640" w:type="dxa"/>
            <w:vAlign w:val="bottom"/>
          </w:tcPr>
          <w:p>
            <w:pPr>
              <w:spacing w:after="0"/>
              <w:rPr>
                <w:sz w:val="22"/>
                <w:szCs w:val="22"/>
                <w:color w:val="auto"/>
              </w:rPr>
            </w:pPr>
          </w:p>
        </w:tc>
      </w:tr>
    </w:tbl>
    <w:p>
      <w:pPr>
        <w:spacing w:after="0" w:line="201"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20"/>
          <w:szCs w:val="20"/>
          <w:color w:val="auto"/>
        </w:rPr>
        <w:t>T DIRECT LENDING HOLDINGS, L.P.,</w:t>
      </w:r>
    </w:p>
    <w:p>
      <w:pPr>
        <w:spacing w:after="0" w:line="21"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20"/>
          <w:szCs w:val="20"/>
          <w:color w:val="auto"/>
        </w:rPr>
        <w:t>as a Lender</w:t>
      </w:r>
    </w:p>
    <w:p>
      <w:pPr>
        <w:ind w:left="4420"/>
        <w:spacing w:after="0"/>
        <w:rPr>
          <w:sz w:val="20"/>
          <w:szCs w:val="20"/>
          <w:color w:val="auto"/>
        </w:rPr>
      </w:pPr>
      <w:r>
        <w:rPr>
          <w:rFonts w:ascii="Times New Roman" w:cs="Times New Roman" w:eastAsia="Times New Roman" w:hAnsi="Times New Roman"/>
          <w:sz w:val="19"/>
          <w:szCs w:val="19"/>
          <w:color w:val="auto"/>
        </w:rPr>
        <w:t>By: HPS Investment Partners, LLC, its Investment</w:t>
      </w:r>
    </w:p>
    <w:p>
      <w:pPr>
        <w:spacing w:after="0" w:line="11"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20"/>
          <w:szCs w:val="20"/>
          <w:color w:val="auto"/>
        </w:rPr>
        <w:t>Manager</w:t>
      </w:r>
    </w:p>
    <w:p>
      <w:pPr>
        <w:spacing w:after="0" w:line="200" w:lineRule="exact"/>
        <w:rPr>
          <w:sz w:val="20"/>
          <w:szCs w:val="20"/>
          <w:color w:val="auto"/>
        </w:rPr>
      </w:pPr>
    </w:p>
    <w:p>
      <w:pPr>
        <w:spacing w:after="0" w:line="218" w:lineRule="exact"/>
        <w:rPr>
          <w:sz w:val="20"/>
          <w:szCs w:val="20"/>
          <w:color w:val="auto"/>
        </w:rPr>
      </w:pPr>
    </w:p>
    <w:tbl>
      <w:tblPr>
        <w:tblLayout w:type="fixed"/>
        <w:tblInd w:w="4420" w:type="dxa"/>
        <w:tblCellMar>
          <w:top w:w="0" w:type="dxa"/>
          <w:left w:w="0" w:type="dxa"/>
          <w:bottom w:w="0" w:type="dxa"/>
          <w:right w:w="0" w:type="dxa"/>
        </w:tblCellMar>
      </w:tblPr>
      <w:tr>
        <w:trPr>
          <w:trHeight w:val="230"/>
        </w:trPr>
        <w:tc>
          <w:tcPr>
            <w:tcW w:w="2600" w:type="dxa"/>
            <w:vAlign w:val="bottom"/>
            <w:gridSpan w:val="4"/>
          </w:tcPr>
          <w:p>
            <w:pPr>
              <w:spacing w:after="0"/>
              <w:rPr>
                <w:sz w:val="20"/>
                <w:szCs w:val="20"/>
                <w:color w:val="auto"/>
              </w:rPr>
            </w:pPr>
            <w:r>
              <w:rPr>
                <w:rFonts w:ascii="Times New Roman" w:cs="Times New Roman" w:eastAsia="Times New Roman" w:hAnsi="Times New Roman"/>
                <w:sz w:val="20"/>
                <w:szCs w:val="20"/>
                <w:color w:val="auto"/>
              </w:rPr>
              <w:t>By: /s/ Daniel Zevnik   ​</w:t>
            </w:r>
          </w:p>
        </w:tc>
        <w:tc>
          <w:tcPr>
            <w:tcW w:w="640" w:type="dxa"/>
            <w:vAlign w:val="bottom"/>
          </w:tcPr>
          <w:p>
            <w:pPr>
              <w:spacing w:after="0"/>
              <w:rPr>
                <w:sz w:val="20"/>
                <w:szCs w:val="20"/>
                <w:color w:val="auto"/>
              </w:rPr>
            </w:pPr>
            <w:r>
              <w:rPr>
                <w:rFonts w:ascii="Times New Roman" w:cs="Times New Roman" w:eastAsia="Times New Roman" w:hAnsi="Times New Roman"/>
                <w:sz w:val="20"/>
                <w:szCs w:val="20"/>
                <w:color w:val="auto"/>
              </w:rPr>
              <w:t>​</w:t>
            </w:r>
          </w:p>
        </w:tc>
        <w:tc>
          <w:tcPr>
            <w:tcW w:w="640" w:type="dxa"/>
            <w:vAlign w:val="bottom"/>
          </w:tcPr>
          <w:p>
            <w:pPr>
              <w:spacing w:after="0"/>
              <w:rPr>
                <w:sz w:val="20"/>
                <w:szCs w:val="20"/>
                <w:color w:val="auto"/>
              </w:rPr>
            </w:pPr>
            <w:r>
              <w:rPr>
                <w:rFonts w:ascii="Times New Roman" w:cs="Times New Roman" w:eastAsia="Times New Roman" w:hAnsi="Times New Roman"/>
                <w:sz w:val="20"/>
                <w:szCs w:val="20"/>
                <w:color w:val="auto"/>
              </w:rPr>
              <w:t>​</w:t>
            </w:r>
          </w:p>
        </w:tc>
      </w:tr>
      <w:tr>
        <w:trPr>
          <w:trHeight w:val="20"/>
        </w:trPr>
        <w:tc>
          <w:tcPr>
            <w:tcW w:w="340" w:type="dxa"/>
            <w:vAlign w:val="bottom"/>
          </w:tcPr>
          <w:p>
            <w:pPr>
              <w:spacing w:after="0" w:line="20" w:lineRule="exact"/>
              <w:rPr>
                <w:sz w:val="1"/>
                <w:szCs w:val="1"/>
                <w:color w:val="auto"/>
              </w:rPr>
            </w:pPr>
          </w:p>
        </w:tc>
        <w:tc>
          <w:tcPr>
            <w:tcW w:w="160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r>
      <w:tr>
        <w:trPr>
          <w:trHeight w:val="227"/>
        </w:trPr>
        <w:tc>
          <w:tcPr>
            <w:tcW w:w="2600" w:type="dxa"/>
            <w:vAlign w:val="bottom"/>
            <w:gridSpan w:val="4"/>
          </w:tcPr>
          <w:p>
            <w:pPr>
              <w:ind w:left="340"/>
              <w:spacing w:after="0" w:line="228" w:lineRule="exact"/>
              <w:rPr>
                <w:sz w:val="20"/>
                <w:szCs w:val="20"/>
                <w:color w:val="auto"/>
              </w:rPr>
            </w:pPr>
            <w:r>
              <w:rPr>
                <w:rFonts w:ascii="Times New Roman" w:cs="Times New Roman" w:eastAsia="Times New Roman" w:hAnsi="Times New Roman"/>
                <w:sz w:val="20"/>
                <w:szCs w:val="20"/>
                <w:color w:val="auto"/>
              </w:rPr>
              <w:t>Name: Daniel Zevnik</w:t>
            </w:r>
          </w:p>
        </w:tc>
        <w:tc>
          <w:tcPr>
            <w:tcW w:w="640" w:type="dxa"/>
            <w:vAlign w:val="bottom"/>
          </w:tcPr>
          <w:p>
            <w:pPr>
              <w:spacing w:after="0"/>
              <w:rPr>
                <w:sz w:val="19"/>
                <w:szCs w:val="19"/>
                <w:color w:val="auto"/>
              </w:rPr>
            </w:pPr>
          </w:p>
        </w:tc>
        <w:tc>
          <w:tcPr>
            <w:tcW w:w="640" w:type="dxa"/>
            <w:vAlign w:val="bottom"/>
          </w:tcPr>
          <w:p>
            <w:pPr>
              <w:spacing w:after="0"/>
              <w:rPr>
                <w:sz w:val="19"/>
                <w:szCs w:val="19"/>
                <w:color w:val="auto"/>
              </w:rPr>
            </w:pPr>
          </w:p>
        </w:tc>
      </w:tr>
      <w:tr>
        <w:trPr>
          <w:trHeight w:val="258"/>
        </w:trPr>
        <w:tc>
          <w:tcPr>
            <w:tcW w:w="2600" w:type="dxa"/>
            <w:vAlign w:val="bottom"/>
            <w:gridSpan w:val="4"/>
          </w:tcPr>
          <w:p>
            <w:pPr>
              <w:ind w:left="340"/>
              <w:spacing w:after="0"/>
              <w:rPr>
                <w:sz w:val="20"/>
                <w:szCs w:val="20"/>
                <w:color w:val="auto"/>
              </w:rPr>
            </w:pPr>
            <w:r>
              <w:rPr>
                <w:rFonts w:ascii="Times New Roman" w:cs="Times New Roman" w:eastAsia="Times New Roman" w:hAnsi="Times New Roman"/>
                <w:sz w:val="20"/>
                <w:szCs w:val="20"/>
                <w:color w:val="auto"/>
              </w:rPr>
              <w:t>Title:  Managing Director</w:t>
            </w:r>
          </w:p>
        </w:tc>
        <w:tc>
          <w:tcPr>
            <w:tcW w:w="640" w:type="dxa"/>
            <w:vAlign w:val="bottom"/>
          </w:tcPr>
          <w:p>
            <w:pPr>
              <w:spacing w:after="0"/>
              <w:rPr>
                <w:sz w:val="22"/>
                <w:szCs w:val="22"/>
                <w:color w:val="auto"/>
              </w:rPr>
            </w:pPr>
          </w:p>
        </w:tc>
        <w:tc>
          <w:tcPr>
            <w:tcW w:w="640" w:type="dxa"/>
            <w:vAlign w:val="bottom"/>
          </w:tcPr>
          <w:p>
            <w:pPr>
              <w:spacing w:after="0"/>
              <w:rPr>
                <w:sz w:val="22"/>
                <w:szCs w:val="22"/>
                <w:color w:val="auto"/>
              </w:rPr>
            </w:pPr>
          </w:p>
        </w:tc>
      </w:tr>
    </w:tbl>
    <w:p>
      <w:pPr>
        <w:spacing w:after="0" w:line="200" w:lineRule="exact"/>
        <w:rPr>
          <w:sz w:val="20"/>
          <w:szCs w:val="20"/>
          <w:color w:val="auto"/>
        </w:rPr>
      </w:pPr>
    </w:p>
    <w:p>
      <w:pPr>
        <w:spacing w:after="0" w:line="230"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20"/>
          <w:szCs w:val="20"/>
          <w:color w:val="auto"/>
        </w:rPr>
        <w:t>HPS CORPORATE CAPITAL SOLUTIONS</w:t>
      </w:r>
    </w:p>
    <w:p>
      <w:pPr>
        <w:spacing w:after="0" w:line="21"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20"/>
          <w:szCs w:val="20"/>
          <w:color w:val="auto"/>
        </w:rPr>
        <w:t>FUND,</w:t>
      </w:r>
    </w:p>
    <w:p>
      <w:pPr>
        <w:ind w:left="4420"/>
        <w:spacing w:after="0"/>
        <w:rPr>
          <w:sz w:val="20"/>
          <w:szCs w:val="20"/>
          <w:color w:val="auto"/>
        </w:rPr>
      </w:pPr>
      <w:r>
        <w:rPr>
          <w:rFonts w:ascii="Times New Roman" w:cs="Times New Roman" w:eastAsia="Times New Roman" w:hAnsi="Times New Roman"/>
          <w:sz w:val="20"/>
          <w:szCs w:val="20"/>
          <w:color w:val="auto"/>
        </w:rPr>
        <w:t>as a Lender</w:t>
      </w:r>
    </w:p>
    <w:p>
      <w:pPr>
        <w:ind w:left="4420"/>
        <w:spacing w:after="0"/>
        <w:rPr>
          <w:sz w:val="20"/>
          <w:szCs w:val="20"/>
          <w:color w:val="auto"/>
        </w:rPr>
      </w:pPr>
      <w:r>
        <w:rPr>
          <w:rFonts w:ascii="Times New Roman" w:cs="Times New Roman" w:eastAsia="Times New Roman" w:hAnsi="Times New Roman"/>
          <w:sz w:val="20"/>
          <w:szCs w:val="20"/>
          <w:color w:val="auto"/>
        </w:rPr>
        <w:t>By: HPS Advisors, LLC, its Investment Adviser</w:t>
      </w:r>
    </w:p>
    <w:p>
      <w:pPr>
        <w:spacing w:after="0" w:line="200" w:lineRule="exact"/>
        <w:rPr>
          <w:sz w:val="20"/>
          <w:szCs w:val="20"/>
          <w:color w:val="auto"/>
        </w:rPr>
      </w:pPr>
    </w:p>
    <w:p>
      <w:pPr>
        <w:spacing w:after="0" w:line="218" w:lineRule="exact"/>
        <w:rPr>
          <w:sz w:val="20"/>
          <w:szCs w:val="20"/>
          <w:color w:val="auto"/>
        </w:rPr>
      </w:pPr>
    </w:p>
    <w:tbl>
      <w:tblPr>
        <w:tblLayout w:type="fixed"/>
        <w:tblInd w:w="4420" w:type="dxa"/>
        <w:tblCellMar>
          <w:top w:w="0" w:type="dxa"/>
          <w:left w:w="0" w:type="dxa"/>
          <w:bottom w:w="0" w:type="dxa"/>
          <w:right w:w="0" w:type="dxa"/>
        </w:tblCellMar>
      </w:tblPr>
      <w:tr>
        <w:trPr>
          <w:trHeight w:val="230"/>
        </w:trPr>
        <w:tc>
          <w:tcPr>
            <w:tcW w:w="2600" w:type="dxa"/>
            <w:vAlign w:val="bottom"/>
            <w:gridSpan w:val="4"/>
          </w:tcPr>
          <w:p>
            <w:pPr>
              <w:spacing w:after="0"/>
              <w:rPr>
                <w:sz w:val="20"/>
                <w:szCs w:val="20"/>
                <w:color w:val="auto"/>
              </w:rPr>
            </w:pPr>
            <w:r>
              <w:rPr>
                <w:rFonts w:ascii="Times New Roman" w:cs="Times New Roman" w:eastAsia="Times New Roman" w:hAnsi="Times New Roman"/>
                <w:sz w:val="20"/>
                <w:szCs w:val="20"/>
                <w:color w:val="auto"/>
              </w:rPr>
              <w:t>By: /s/ Daniel Zevnik   ​</w:t>
            </w:r>
          </w:p>
        </w:tc>
        <w:tc>
          <w:tcPr>
            <w:tcW w:w="640" w:type="dxa"/>
            <w:vAlign w:val="bottom"/>
          </w:tcPr>
          <w:p>
            <w:pPr>
              <w:spacing w:after="0"/>
              <w:rPr>
                <w:sz w:val="20"/>
                <w:szCs w:val="20"/>
                <w:color w:val="auto"/>
              </w:rPr>
            </w:pPr>
            <w:r>
              <w:rPr>
                <w:rFonts w:ascii="Times New Roman" w:cs="Times New Roman" w:eastAsia="Times New Roman" w:hAnsi="Times New Roman"/>
                <w:sz w:val="20"/>
                <w:szCs w:val="20"/>
                <w:color w:val="auto"/>
              </w:rPr>
              <w:t>​</w:t>
            </w:r>
          </w:p>
        </w:tc>
        <w:tc>
          <w:tcPr>
            <w:tcW w:w="640" w:type="dxa"/>
            <w:vAlign w:val="bottom"/>
          </w:tcPr>
          <w:p>
            <w:pPr>
              <w:spacing w:after="0"/>
              <w:rPr>
                <w:sz w:val="20"/>
                <w:szCs w:val="20"/>
                <w:color w:val="auto"/>
              </w:rPr>
            </w:pPr>
            <w:r>
              <w:rPr>
                <w:rFonts w:ascii="Times New Roman" w:cs="Times New Roman" w:eastAsia="Times New Roman" w:hAnsi="Times New Roman"/>
                <w:sz w:val="20"/>
                <w:szCs w:val="20"/>
                <w:color w:val="auto"/>
              </w:rPr>
              <w:t>​</w:t>
            </w:r>
          </w:p>
        </w:tc>
      </w:tr>
      <w:tr>
        <w:trPr>
          <w:trHeight w:val="20"/>
        </w:trPr>
        <w:tc>
          <w:tcPr>
            <w:tcW w:w="300" w:type="dxa"/>
            <w:vAlign w:val="bottom"/>
          </w:tcPr>
          <w:p>
            <w:pPr>
              <w:spacing w:after="0" w:line="20" w:lineRule="exact"/>
              <w:rPr>
                <w:sz w:val="1"/>
                <w:szCs w:val="1"/>
                <w:color w:val="auto"/>
              </w:rPr>
            </w:pPr>
          </w:p>
        </w:tc>
        <w:tc>
          <w:tcPr>
            <w:tcW w:w="164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r>
      <w:tr>
        <w:trPr>
          <w:trHeight w:val="227"/>
        </w:trPr>
        <w:tc>
          <w:tcPr>
            <w:tcW w:w="300" w:type="dxa"/>
            <w:vAlign w:val="bottom"/>
          </w:tcPr>
          <w:p>
            <w:pPr>
              <w:spacing w:after="0"/>
              <w:rPr>
                <w:sz w:val="19"/>
                <w:szCs w:val="19"/>
                <w:color w:val="auto"/>
              </w:rPr>
            </w:pPr>
          </w:p>
        </w:tc>
        <w:tc>
          <w:tcPr>
            <w:tcW w:w="2300" w:type="dxa"/>
            <w:vAlign w:val="bottom"/>
            <w:gridSpan w:val="3"/>
          </w:tcPr>
          <w:p>
            <w:pPr>
              <w:ind w:left="40"/>
              <w:spacing w:after="0" w:line="228" w:lineRule="exact"/>
              <w:rPr>
                <w:sz w:val="20"/>
                <w:szCs w:val="20"/>
                <w:color w:val="auto"/>
              </w:rPr>
            </w:pPr>
            <w:r>
              <w:rPr>
                <w:rFonts w:ascii="Times New Roman" w:cs="Times New Roman" w:eastAsia="Times New Roman" w:hAnsi="Times New Roman"/>
                <w:sz w:val="20"/>
                <w:szCs w:val="20"/>
                <w:color w:val="auto"/>
              </w:rPr>
              <w:t>Name: Daniel Zevnik</w:t>
            </w:r>
          </w:p>
        </w:tc>
        <w:tc>
          <w:tcPr>
            <w:tcW w:w="640" w:type="dxa"/>
            <w:vAlign w:val="bottom"/>
          </w:tcPr>
          <w:p>
            <w:pPr>
              <w:spacing w:after="0"/>
              <w:rPr>
                <w:sz w:val="19"/>
                <w:szCs w:val="19"/>
                <w:color w:val="auto"/>
              </w:rPr>
            </w:pPr>
          </w:p>
        </w:tc>
        <w:tc>
          <w:tcPr>
            <w:tcW w:w="640" w:type="dxa"/>
            <w:vAlign w:val="bottom"/>
          </w:tcPr>
          <w:p>
            <w:pPr>
              <w:spacing w:after="0"/>
              <w:rPr>
                <w:sz w:val="19"/>
                <w:szCs w:val="19"/>
                <w:color w:val="auto"/>
              </w:rPr>
            </w:pPr>
          </w:p>
        </w:tc>
      </w:tr>
      <w:tr>
        <w:trPr>
          <w:trHeight w:val="258"/>
        </w:trPr>
        <w:tc>
          <w:tcPr>
            <w:tcW w:w="300" w:type="dxa"/>
            <w:vAlign w:val="bottom"/>
          </w:tcPr>
          <w:p>
            <w:pPr>
              <w:spacing w:after="0"/>
              <w:rPr>
                <w:sz w:val="22"/>
                <w:szCs w:val="22"/>
                <w:color w:val="auto"/>
              </w:rPr>
            </w:pPr>
          </w:p>
        </w:tc>
        <w:tc>
          <w:tcPr>
            <w:tcW w:w="2300" w:type="dxa"/>
            <w:vAlign w:val="bottom"/>
            <w:gridSpan w:val="3"/>
          </w:tcPr>
          <w:p>
            <w:pPr>
              <w:ind w:left="40"/>
              <w:spacing w:after="0"/>
              <w:rPr>
                <w:sz w:val="20"/>
                <w:szCs w:val="20"/>
                <w:color w:val="auto"/>
              </w:rPr>
            </w:pPr>
            <w:r>
              <w:rPr>
                <w:rFonts w:ascii="Times New Roman" w:cs="Times New Roman" w:eastAsia="Times New Roman" w:hAnsi="Times New Roman"/>
                <w:sz w:val="20"/>
                <w:szCs w:val="20"/>
                <w:color w:val="auto"/>
              </w:rPr>
              <w:t>Title: Managing Director</w:t>
            </w:r>
          </w:p>
        </w:tc>
        <w:tc>
          <w:tcPr>
            <w:tcW w:w="640" w:type="dxa"/>
            <w:vAlign w:val="bottom"/>
          </w:tcPr>
          <w:p>
            <w:pPr>
              <w:spacing w:after="0"/>
              <w:rPr>
                <w:sz w:val="22"/>
                <w:szCs w:val="22"/>
                <w:color w:val="auto"/>
              </w:rPr>
            </w:pPr>
          </w:p>
        </w:tc>
        <w:tc>
          <w:tcPr>
            <w:tcW w:w="640" w:type="dxa"/>
            <w:vAlign w:val="bottom"/>
          </w:tcPr>
          <w:p>
            <w:pPr>
              <w:spacing w:after="0"/>
              <w:rPr>
                <w:sz w:val="22"/>
                <w:szCs w:val="22"/>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4"/>
          <w:szCs w:val="14"/>
          <w:color w:val="auto"/>
        </w:rPr>
        <w:t>US-DOCS\171161013.8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339725</wp:posOffset>
            </wp:positionH>
            <wp:positionV relativeFrom="paragraph">
              <wp:posOffset>349250</wp:posOffset>
            </wp:positionV>
            <wp:extent cx="5040630" cy="2603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90">
                      <a:extLst>
                        <a:ext uri="{28A0092B-C50C-407E-A947-70E740481C1C}"/>
                      </a:extLst>
                    </a:blip>
                    <a:srcRect/>
                    <a:stretch>
                      <a:fillRect/>
                    </a:stretch>
                  </pic:blipFill>
                  <pic:spPr bwMode="auto">
                    <a:xfrm>
                      <a:off x="0" y="0"/>
                      <a:ext cx="5040630" cy="26035"/>
                    </a:xfrm>
                    <a:prstGeom prst="rect">
                      <a:avLst/>
                    </a:prstGeom>
                    <a:noFill/>
                  </pic:spPr>
                </pic:pic>
              </a:graphicData>
            </a:graphic>
          </wp:anchor>
        </w:drawing>
      </w:r>
    </w:p>
    <w:p>
      <w:pPr>
        <w:sectPr>
          <w:pgSz w:w="11900" w:h="16838" w:orient="portrait"/>
          <w:cols w:equalWidth="0" w:num="1">
            <w:col w:w="9019"/>
          </w:cols>
          <w:pgMar w:left="1440" w:top="900" w:right="1440" w:bottom="1440" w:gutter="0" w:footer="0" w:header="0"/>
        </w:sectPr>
      </w:pPr>
    </w:p>
    <w:bookmarkStart w:id="70" w:name="page71"/>
    <w:bookmarkEnd w:id="70"/>
    <w:p>
      <w:pPr>
        <w:ind w:left="4420"/>
        <w:spacing w:after="0"/>
        <w:rPr>
          <w:sz w:val="20"/>
          <w:szCs w:val="20"/>
          <w:color w:val="auto"/>
        </w:rPr>
      </w:pPr>
      <w:r>
        <w:rPr>
          <w:rFonts w:ascii="Times New Roman" w:cs="Times New Roman" w:eastAsia="Times New Roman" w:hAnsi="Times New Roman"/>
          <w:sz w:val="20"/>
          <w:szCs w:val="20"/>
          <w:color w:val="auto"/>
        </w:rPr>
        <w:t>HALITE 2024 DIRECT (JERSEY) LIMITED,</w:t>
      </w:r>
    </w:p>
    <w:p>
      <w:pPr>
        <w:spacing w:after="0" w:line="21"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20"/>
          <w:szCs w:val="20"/>
          <w:color w:val="auto"/>
        </w:rPr>
        <w:t>as a Lender</w:t>
      </w:r>
    </w:p>
    <w:p>
      <w:pPr>
        <w:ind w:left="4420"/>
        <w:spacing w:after="0"/>
        <w:rPr>
          <w:sz w:val="20"/>
          <w:szCs w:val="20"/>
          <w:color w:val="auto"/>
        </w:rPr>
      </w:pPr>
      <w:r>
        <w:rPr>
          <w:rFonts w:ascii="Times New Roman" w:cs="Times New Roman" w:eastAsia="Times New Roman" w:hAnsi="Times New Roman"/>
          <w:sz w:val="19"/>
          <w:szCs w:val="19"/>
          <w:color w:val="auto"/>
        </w:rPr>
        <w:t>By: HPS Investment Partners, LLC, its Investment</w:t>
      </w:r>
    </w:p>
    <w:p>
      <w:pPr>
        <w:spacing w:after="0" w:line="11"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20"/>
          <w:szCs w:val="20"/>
          <w:color w:val="auto"/>
        </w:rPr>
        <w:t>Manager</w:t>
      </w:r>
    </w:p>
    <w:p>
      <w:pPr>
        <w:spacing w:after="0" w:line="200" w:lineRule="exact"/>
        <w:rPr>
          <w:sz w:val="20"/>
          <w:szCs w:val="20"/>
          <w:color w:val="auto"/>
        </w:rPr>
      </w:pPr>
    </w:p>
    <w:p>
      <w:pPr>
        <w:spacing w:after="0" w:line="237" w:lineRule="exact"/>
        <w:rPr>
          <w:sz w:val="20"/>
          <w:szCs w:val="20"/>
          <w:color w:val="auto"/>
        </w:rPr>
      </w:pPr>
    </w:p>
    <w:p>
      <w:pPr>
        <w:ind w:left="4420"/>
        <w:spacing w:after="0"/>
        <w:tabs>
          <w:tab w:leader="none" w:pos="6360" w:val="left"/>
          <w:tab w:leader="none" w:pos="7000" w:val="left"/>
          <w:tab w:leader="none" w:pos="7640" w:val="left"/>
        </w:tabs>
        <w:rPr>
          <w:sz w:val="20"/>
          <w:szCs w:val="20"/>
          <w:color w:val="auto"/>
        </w:rPr>
      </w:pPr>
      <w:r>
        <w:rPr>
          <w:rFonts w:ascii="Times New Roman" w:cs="Times New Roman" w:eastAsia="Times New Roman" w:hAnsi="Times New Roman"/>
          <w:sz w:val="20"/>
          <w:szCs w:val="20"/>
          <w:color w:val="auto"/>
        </w:rPr>
        <w:t xml:space="preserve">By: </w:t>
      </w:r>
      <w:r>
        <w:rPr>
          <w:rFonts w:ascii="Times New Roman" w:cs="Times New Roman" w:eastAsia="Times New Roman" w:hAnsi="Times New Roman"/>
          <w:sz w:val="20"/>
          <w:szCs w:val="20"/>
          <w:u w:val="single" w:color="auto"/>
          <w:color w:val="auto"/>
        </w:rPr>
        <w:t>/s/ Daniel Zevnik</w:t>
      </w:r>
      <w:r>
        <w:rPr>
          <w:rFonts w:ascii="Times New Roman" w:cs="Times New Roman" w:eastAsia="Times New Roman" w:hAnsi="Times New Roman"/>
          <w:sz w:val="20"/>
          <w:szCs w:val="20"/>
          <w:color w:val="auto"/>
        </w:rPr>
        <w:tab/>
        <w:t>​</w:t>
      </w:r>
      <w:r>
        <w:rPr>
          <w:sz w:val="20"/>
          <w:szCs w:val="20"/>
          <w:color w:val="auto"/>
        </w:rPr>
        <w:tab/>
      </w:r>
      <w:r>
        <w:rPr>
          <w:rFonts w:ascii="Times New Roman" w:cs="Times New Roman" w:eastAsia="Times New Roman" w:hAnsi="Times New Roman"/>
          <w:sz w:val="20"/>
          <w:szCs w:val="20"/>
          <w:color w:val="auto"/>
        </w:rPr>
        <w:t>​</w:t>
      </w:r>
      <w:r>
        <w:rPr>
          <w:sz w:val="20"/>
          <w:szCs w:val="20"/>
          <w:color w:val="auto"/>
        </w:rPr>
        <w:tab/>
      </w:r>
      <w:r>
        <w:rPr>
          <w:rFonts w:ascii="Times New Roman" w:cs="Times New Roman" w:eastAsia="Times New Roman" w:hAnsi="Times New Roman"/>
          <w:sz w:val="20"/>
          <w:szCs w:val="20"/>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3896995</wp:posOffset>
            </wp:positionH>
            <wp:positionV relativeFrom="paragraph">
              <wp:posOffset>-10795</wp:posOffset>
            </wp:positionV>
            <wp:extent cx="1379220" cy="825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91">
                      <a:extLst>
                        <a:ext uri="{28A0092B-C50C-407E-A947-70E740481C1C}"/>
                      </a:extLst>
                    </a:blip>
                    <a:srcRect/>
                    <a:stretch>
                      <a:fillRect/>
                    </a:stretch>
                  </pic:blipFill>
                  <pic:spPr bwMode="auto">
                    <a:xfrm>
                      <a:off x="0" y="0"/>
                      <a:ext cx="1379220" cy="8255"/>
                    </a:xfrm>
                    <a:prstGeom prst="rect">
                      <a:avLst/>
                    </a:prstGeom>
                    <a:noFill/>
                  </pic:spPr>
                </pic:pic>
              </a:graphicData>
            </a:graphic>
          </wp:anchor>
        </w:drawing>
      </w:r>
    </w:p>
    <w:p>
      <w:pPr>
        <w:spacing w:after="0" w:line="1" w:lineRule="exact"/>
        <w:rPr>
          <w:sz w:val="20"/>
          <w:szCs w:val="20"/>
          <w:color w:val="auto"/>
        </w:rPr>
      </w:pPr>
    </w:p>
    <w:p>
      <w:pPr>
        <w:ind w:left="4760"/>
        <w:spacing w:after="0"/>
        <w:rPr>
          <w:sz w:val="20"/>
          <w:szCs w:val="20"/>
          <w:color w:val="auto"/>
        </w:rPr>
      </w:pPr>
      <w:r>
        <w:rPr>
          <w:rFonts w:ascii="Times New Roman" w:cs="Times New Roman" w:eastAsia="Times New Roman" w:hAnsi="Times New Roman"/>
          <w:sz w:val="20"/>
          <w:szCs w:val="20"/>
          <w:color w:val="auto"/>
        </w:rPr>
        <w:t>Name: Daniel Zevnik</w:t>
      </w:r>
    </w:p>
    <w:p>
      <w:pPr>
        <w:ind w:left="5080"/>
        <w:spacing w:after="0"/>
        <w:rPr>
          <w:sz w:val="20"/>
          <w:szCs w:val="20"/>
          <w:color w:val="auto"/>
        </w:rPr>
      </w:pPr>
      <w:r>
        <w:rPr>
          <w:rFonts w:ascii="Times New Roman" w:cs="Times New Roman" w:eastAsia="Times New Roman" w:hAnsi="Times New Roman"/>
          <w:sz w:val="20"/>
          <w:szCs w:val="20"/>
          <w:color w:val="auto"/>
        </w:rPr>
        <w:t>Title:  Managing Director</w:t>
      </w:r>
    </w:p>
    <w:p>
      <w:pPr>
        <w:spacing w:after="0" w:line="207"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20"/>
          <w:szCs w:val="20"/>
          <w:color w:val="auto"/>
        </w:rPr>
        <w:t>HLEND CLO 2023-1, LLC</w:t>
      </w:r>
    </w:p>
    <w:p>
      <w:pPr>
        <w:spacing w:after="0" w:line="21"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20"/>
          <w:szCs w:val="20"/>
          <w:color w:val="auto"/>
        </w:rPr>
        <w:t>as a Lender</w:t>
      </w:r>
    </w:p>
    <w:p>
      <w:pPr>
        <w:ind w:left="4420"/>
        <w:spacing w:after="0"/>
        <w:rPr>
          <w:sz w:val="20"/>
          <w:szCs w:val="20"/>
          <w:color w:val="auto"/>
        </w:rPr>
      </w:pPr>
      <w:r>
        <w:rPr>
          <w:rFonts w:ascii="Times New Roman" w:cs="Times New Roman" w:eastAsia="Times New Roman" w:hAnsi="Times New Roman"/>
          <w:sz w:val="20"/>
          <w:szCs w:val="20"/>
          <w:color w:val="auto"/>
        </w:rPr>
        <w:t>By: HPS Corporate Lending Fund, its sole</w:t>
      </w:r>
    </w:p>
    <w:p>
      <w:pPr>
        <w:ind w:left="4420"/>
        <w:spacing w:after="0"/>
        <w:rPr>
          <w:sz w:val="20"/>
          <w:szCs w:val="20"/>
          <w:color w:val="auto"/>
        </w:rPr>
      </w:pPr>
      <w:r>
        <w:rPr>
          <w:rFonts w:ascii="Times New Roman" w:cs="Times New Roman" w:eastAsia="Times New Roman" w:hAnsi="Times New Roman"/>
          <w:sz w:val="20"/>
          <w:szCs w:val="20"/>
          <w:color w:val="auto"/>
        </w:rPr>
        <w:t>member</w:t>
      </w:r>
    </w:p>
    <w:p>
      <w:pPr>
        <w:ind w:left="4420"/>
        <w:spacing w:after="0"/>
        <w:rPr>
          <w:sz w:val="20"/>
          <w:szCs w:val="20"/>
          <w:color w:val="auto"/>
        </w:rPr>
      </w:pPr>
      <w:r>
        <w:rPr>
          <w:rFonts w:ascii="Times New Roman" w:cs="Times New Roman" w:eastAsia="Times New Roman" w:hAnsi="Times New Roman"/>
          <w:sz w:val="20"/>
          <w:szCs w:val="20"/>
          <w:color w:val="auto"/>
        </w:rPr>
        <w:t>By: HPS Advisors, LLC, its Investment Adviser</w:t>
      </w:r>
    </w:p>
    <w:p>
      <w:pPr>
        <w:spacing w:after="0" w:line="200" w:lineRule="exact"/>
        <w:rPr>
          <w:sz w:val="20"/>
          <w:szCs w:val="20"/>
          <w:color w:val="auto"/>
        </w:rPr>
      </w:pPr>
    </w:p>
    <w:p>
      <w:pPr>
        <w:spacing w:after="0" w:line="237" w:lineRule="exact"/>
        <w:rPr>
          <w:sz w:val="20"/>
          <w:szCs w:val="20"/>
          <w:color w:val="auto"/>
        </w:rPr>
      </w:pPr>
    </w:p>
    <w:p>
      <w:pPr>
        <w:ind w:left="4420"/>
        <w:spacing w:after="0"/>
        <w:tabs>
          <w:tab w:leader="none" w:pos="6360" w:val="left"/>
          <w:tab w:leader="none" w:pos="7000" w:val="left"/>
          <w:tab w:leader="none" w:pos="7640" w:val="left"/>
        </w:tabs>
        <w:rPr>
          <w:sz w:val="20"/>
          <w:szCs w:val="20"/>
          <w:color w:val="auto"/>
        </w:rPr>
      </w:pPr>
      <w:r>
        <w:rPr>
          <w:rFonts w:ascii="Times New Roman" w:cs="Times New Roman" w:eastAsia="Times New Roman" w:hAnsi="Times New Roman"/>
          <w:sz w:val="20"/>
          <w:szCs w:val="20"/>
          <w:color w:val="auto"/>
        </w:rPr>
        <w:t>By: /s/ Daniel Zevnik</w:t>
        <w:tab/>
        <w:t>​</w:t>
      </w:r>
      <w:r>
        <w:rPr>
          <w:sz w:val="20"/>
          <w:szCs w:val="20"/>
          <w:color w:val="auto"/>
        </w:rPr>
        <w:tab/>
      </w:r>
      <w:r>
        <w:rPr>
          <w:rFonts w:ascii="Times New Roman" w:cs="Times New Roman" w:eastAsia="Times New Roman" w:hAnsi="Times New Roman"/>
          <w:sz w:val="20"/>
          <w:szCs w:val="20"/>
          <w:color w:val="auto"/>
        </w:rPr>
        <w:t>​</w:t>
      </w:r>
      <w:r>
        <w:rPr>
          <w:sz w:val="20"/>
          <w:szCs w:val="20"/>
          <w:color w:val="auto"/>
        </w:rPr>
        <w:tab/>
      </w:r>
      <w:r>
        <w:rPr>
          <w:rFonts w:ascii="Times New Roman" w:cs="Times New Roman" w:eastAsia="Times New Roman" w:hAnsi="Times New Roman"/>
          <w:sz w:val="20"/>
          <w:szCs w:val="20"/>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2993390</wp:posOffset>
            </wp:positionH>
            <wp:positionV relativeFrom="paragraph">
              <wp:posOffset>-10795</wp:posOffset>
            </wp:positionV>
            <wp:extent cx="2283460" cy="825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92">
                      <a:extLst>
                        <a:ext uri="{28A0092B-C50C-407E-A947-70E740481C1C}"/>
                      </a:extLst>
                    </a:blip>
                    <a:srcRect/>
                    <a:stretch>
                      <a:fillRect/>
                    </a:stretch>
                  </pic:blipFill>
                  <pic:spPr bwMode="auto">
                    <a:xfrm>
                      <a:off x="0" y="0"/>
                      <a:ext cx="2283460" cy="8255"/>
                    </a:xfrm>
                    <a:prstGeom prst="rect">
                      <a:avLst/>
                    </a:prstGeom>
                    <a:noFill/>
                  </pic:spPr>
                </pic:pic>
              </a:graphicData>
            </a:graphic>
          </wp:anchor>
        </w:drawing>
      </w:r>
    </w:p>
    <w:p>
      <w:pPr>
        <w:spacing w:after="0" w:line="1" w:lineRule="exact"/>
        <w:rPr>
          <w:sz w:val="20"/>
          <w:szCs w:val="20"/>
          <w:color w:val="auto"/>
        </w:rPr>
      </w:pPr>
    </w:p>
    <w:p>
      <w:pPr>
        <w:ind w:left="4760"/>
        <w:spacing w:after="0"/>
        <w:rPr>
          <w:sz w:val="20"/>
          <w:szCs w:val="20"/>
          <w:color w:val="auto"/>
        </w:rPr>
      </w:pPr>
      <w:r>
        <w:rPr>
          <w:rFonts w:ascii="Times New Roman" w:cs="Times New Roman" w:eastAsia="Times New Roman" w:hAnsi="Times New Roman"/>
          <w:sz w:val="20"/>
          <w:szCs w:val="20"/>
          <w:color w:val="auto"/>
        </w:rPr>
        <w:t>Name: Daniel Zevnik</w:t>
      </w:r>
    </w:p>
    <w:p>
      <w:pPr>
        <w:ind w:left="5080"/>
        <w:spacing w:after="0"/>
        <w:rPr>
          <w:sz w:val="20"/>
          <w:szCs w:val="20"/>
          <w:color w:val="auto"/>
        </w:rPr>
      </w:pPr>
      <w:r>
        <w:rPr>
          <w:rFonts w:ascii="Times New Roman" w:cs="Times New Roman" w:eastAsia="Times New Roman" w:hAnsi="Times New Roman"/>
          <w:sz w:val="20"/>
          <w:szCs w:val="20"/>
          <w:color w:val="auto"/>
        </w:rPr>
        <w:t>Title: Managing Director</w:t>
      </w:r>
    </w:p>
    <w:p>
      <w:pPr>
        <w:spacing w:after="0" w:line="207"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20"/>
          <w:szCs w:val="20"/>
          <w:color w:val="auto"/>
        </w:rPr>
        <w:t>HLEND CLO 2024-2, LLC</w:t>
      </w:r>
    </w:p>
    <w:p>
      <w:pPr>
        <w:spacing w:after="0" w:line="21"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20"/>
          <w:szCs w:val="20"/>
          <w:color w:val="auto"/>
        </w:rPr>
        <w:t>as a Lender</w:t>
      </w:r>
    </w:p>
    <w:p>
      <w:pPr>
        <w:ind w:left="4420"/>
        <w:spacing w:after="0"/>
        <w:rPr>
          <w:sz w:val="20"/>
          <w:szCs w:val="20"/>
          <w:color w:val="auto"/>
        </w:rPr>
      </w:pPr>
      <w:r>
        <w:rPr>
          <w:rFonts w:ascii="Times New Roman" w:cs="Times New Roman" w:eastAsia="Times New Roman" w:hAnsi="Times New Roman"/>
          <w:sz w:val="20"/>
          <w:szCs w:val="20"/>
          <w:color w:val="auto"/>
        </w:rPr>
        <w:t>By: HPS Corporate Lending Fund, its sole</w:t>
      </w:r>
    </w:p>
    <w:p>
      <w:pPr>
        <w:ind w:left="4420"/>
        <w:spacing w:after="0"/>
        <w:rPr>
          <w:sz w:val="20"/>
          <w:szCs w:val="20"/>
          <w:color w:val="auto"/>
        </w:rPr>
      </w:pPr>
      <w:r>
        <w:rPr>
          <w:rFonts w:ascii="Times New Roman" w:cs="Times New Roman" w:eastAsia="Times New Roman" w:hAnsi="Times New Roman"/>
          <w:sz w:val="20"/>
          <w:szCs w:val="20"/>
          <w:color w:val="auto"/>
        </w:rPr>
        <w:t>member</w:t>
      </w:r>
    </w:p>
    <w:p>
      <w:pPr>
        <w:ind w:left="4420"/>
        <w:spacing w:after="0"/>
        <w:rPr>
          <w:sz w:val="20"/>
          <w:szCs w:val="20"/>
          <w:color w:val="auto"/>
        </w:rPr>
      </w:pPr>
      <w:r>
        <w:rPr>
          <w:rFonts w:ascii="Times New Roman" w:cs="Times New Roman" w:eastAsia="Times New Roman" w:hAnsi="Times New Roman"/>
          <w:sz w:val="20"/>
          <w:szCs w:val="20"/>
          <w:color w:val="auto"/>
        </w:rPr>
        <w:t>By: HPS Advisors, LLC, its Investment Adviser</w:t>
      </w:r>
    </w:p>
    <w:p>
      <w:pPr>
        <w:spacing w:after="0" w:line="200" w:lineRule="exact"/>
        <w:rPr>
          <w:sz w:val="20"/>
          <w:szCs w:val="20"/>
          <w:color w:val="auto"/>
        </w:rPr>
      </w:pPr>
    </w:p>
    <w:p>
      <w:pPr>
        <w:spacing w:after="0" w:line="237" w:lineRule="exact"/>
        <w:rPr>
          <w:sz w:val="20"/>
          <w:szCs w:val="20"/>
          <w:color w:val="auto"/>
        </w:rPr>
      </w:pPr>
    </w:p>
    <w:p>
      <w:pPr>
        <w:ind w:left="4420"/>
        <w:spacing w:after="0"/>
        <w:tabs>
          <w:tab w:leader="none" w:pos="6360" w:val="left"/>
          <w:tab w:leader="none" w:pos="7000" w:val="left"/>
          <w:tab w:leader="none" w:pos="7640" w:val="left"/>
        </w:tabs>
        <w:rPr>
          <w:sz w:val="20"/>
          <w:szCs w:val="20"/>
          <w:color w:val="auto"/>
        </w:rPr>
      </w:pPr>
      <w:r>
        <w:rPr>
          <w:rFonts w:ascii="Times New Roman" w:cs="Times New Roman" w:eastAsia="Times New Roman" w:hAnsi="Times New Roman"/>
          <w:sz w:val="20"/>
          <w:szCs w:val="20"/>
          <w:color w:val="auto"/>
        </w:rPr>
        <w:t>By: /s/ Daniel Zevnik</w:t>
        <w:tab/>
        <w:t>​</w:t>
      </w:r>
      <w:r>
        <w:rPr>
          <w:sz w:val="20"/>
          <w:szCs w:val="20"/>
          <w:color w:val="auto"/>
        </w:rPr>
        <w:tab/>
      </w:r>
      <w:r>
        <w:rPr>
          <w:rFonts w:ascii="Times New Roman" w:cs="Times New Roman" w:eastAsia="Times New Roman" w:hAnsi="Times New Roman"/>
          <w:sz w:val="20"/>
          <w:szCs w:val="20"/>
          <w:color w:val="auto"/>
        </w:rPr>
        <w:t>​</w:t>
      </w:r>
      <w:r>
        <w:rPr>
          <w:sz w:val="20"/>
          <w:szCs w:val="20"/>
          <w:color w:val="auto"/>
        </w:rPr>
        <w:tab/>
      </w:r>
      <w:r>
        <w:rPr>
          <w:rFonts w:ascii="Times New Roman" w:cs="Times New Roman" w:eastAsia="Times New Roman" w:hAnsi="Times New Roman"/>
          <w:sz w:val="20"/>
          <w:szCs w:val="20"/>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2993390</wp:posOffset>
            </wp:positionH>
            <wp:positionV relativeFrom="paragraph">
              <wp:posOffset>-10795</wp:posOffset>
            </wp:positionV>
            <wp:extent cx="2283460" cy="88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93">
                      <a:extLst>
                        <a:ext uri="{28A0092B-C50C-407E-A947-70E740481C1C}"/>
                      </a:extLst>
                    </a:blip>
                    <a:srcRect/>
                    <a:stretch>
                      <a:fillRect/>
                    </a:stretch>
                  </pic:blipFill>
                  <pic:spPr bwMode="auto">
                    <a:xfrm>
                      <a:off x="0" y="0"/>
                      <a:ext cx="2283460" cy="8890"/>
                    </a:xfrm>
                    <a:prstGeom prst="rect">
                      <a:avLst/>
                    </a:prstGeom>
                    <a:noFill/>
                  </pic:spPr>
                </pic:pic>
              </a:graphicData>
            </a:graphic>
          </wp:anchor>
        </w:drawing>
      </w:r>
    </w:p>
    <w:p>
      <w:pPr>
        <w:spacing w:after="0" w:line="1" w:lineRule="exact"/>
        <w:rPr>
          <w:sz w:val="20"/>
          <w:szCs w:val="20"/>
          <w:color w:val="auto"/>
        </w:rPr>
      </w:pPr>
    </w:p>
    <w:p>
      <w:pPr>
        <w:ind w:left="4760"/>
        <w:spacing w:after="0"/>
        <w:rPr>
          <w:sz w:val="20"/>
          <w:szCs w:val="20"/>
          <w:color w:val="auto"/>
        </w:rPr>
      </w:pPr>
      <w:r>
        <w:rPr>
          <w:rFonts w:ascii="Times New Roman" w:cs="Times New Roman" w:eastAsia="Times New Roman" w:hAnsi="Times New Roman"/>
          <w:sz w:val="20"/>
          <w:szCs w:val="20"/>
          <w:color w:val="auto"/>
        </w:rPr>
        <w:t>Name: Daniel Zevnik</w:t>
      </w:r>
    </w:p>
    <w:p>
      <w:pPr>
        <w:ind w:left="5080"/>
        <w:spacing w:after="0"/>
        <w:rPr>
          <w:sz w:val="20"/>
          <w:szCs w:val="20"/>
          <w:color w:val="auto"/>
        </w:rPr>
      </w:pPr>
      <w:r>
        <w:rPr>
          <w:rFonts w:ascii="Times New Roman" w:cs="Times New Roman" w:eastAsia="Times New Roman" w:hAnsi="Times New Roman"/>
          <w:sz w:val="20"/>
          <w:szCs w:val="20"/>
          <w:color w:val="auto"/>
        </w:rPr>
        <w:t>Title: Managing Director</w:t>
      </w:r>
    </w:p>
    <w:p>
      <w:pPr>
        <w:spacing w:after="0" w:line="207"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20"/>
          <w:szCs w:val="20"/>
          <w:color w:val="auto"/>
        </w:rPr>
        <w:t>HLEND HOLDINGS C, L.P.,</w:t>
      </w:r>
    </w:p>
    <w:p>
      <w:pPr>
        <w:spacing w:after="0" w:line="21"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20"/>
          <w:szCs w:val="20"/>
          <w:color w:val="auto"/>
        </w:rPr>
        <w:t>as a Lender</w:t>
      </w:r>
    </w:p>
    <w:p>
      <w:pPr>
        <w:ind w:left="4420"/>
        <w:spacing w:after="0"/>
        <w:rPr>
          <w:sz w:val="20"/>
          <w:szCs w:val="20"/>
          <w:color w:val="auto"/>
        </w:rPr>
      </w:pPr>
      <w:r>
        <w:rPr>
          <w:rFonts w:ascii="Times New Roman" w:cs="Times New Roman" w:eastAsia="Times New Roman" w:hAnsi="Times New Roman"/>
          <w:sz w:val="20"/>
          <w:szCs w:val="20"/>
          <w:color w:val="auto"/>
        </w:rPr>
        <w:t>By: HPS Advisors, LLC, its Investment Adviser</w:t>
      </w:r>
    </w:p>
    <w:p>
      <w:pPr>
        <w:spacing w:after="0" w:line="200" w:lineRule="exact"/>
        <w:rPr>
          <w:sz w:val="20"/>
          <w:szCs w:val="20"/>
          <w:color w:val="auto"/>
        </w:rPr>
      </w:pPr>
    </w:p>
    <w:p>
      <w:pPr>
        <w:spacing w:after="0" w:line="237" w:lineRule="exact"/>
        <w:rPr>
          <w:sz w:val="20"/>
          <w:szCs w:val="20"/>
          <w:color w:val="auto"/>
        </w:rPr>
      </w:pPr>
    </w:p>
    <w:p>
      <w:pPr>
        <w:ind w:left="4420"/>
        <w:spacing w:after="0"/>
        <w:tabs>
          <w:tab w:leader="none" w:pos="6360" w:val="left"/>
          <w:tab w:leader="none" w:pos="7000" w:val="left"/>
          <w:tab w:leader="none" w:pos="7640" w:val="left"/>
        </w:tabs>
        <w:rPr>
          <w:sz w:val="20"/>
          <w:szCs w:val="20"/>
          <w:color w:val="auto"/>
        </w:rPr>
      </w:pPr>
      <w:r>
        <w:rPr>
          <w:rFonts w:ascii="Times New Roman" w:cs="Times New Roman" w:eastAsia="Times New Roman" w:hAnsi="Times New Roman"/>
          <w:sz w:val="20"/>
          <w:szCs w:val="20"/>
          <w:color w:val="auto"/>
        </w:rPr>
        <w:t>By: /s/ Daniel Zevnik</w:t>
        <w:tab/>
        <w:t>​</w:t>
      </w:r>
      <w:r>
        <w:rPr>
          <w:sz w:val="20"/>
          <w:szCs w:val="20"/>
          <w:color w:val="auto"/>
        </w:rPr>
        <w:tab/>
      </w:r>
      <w:r>
        <w:rPr>
          <w:rFonts w:ascii="Times New Roman" w:cs="Times New Roman" w:eastAsia="Times New Roman" w:hAnsi="Times New Roman"/>
          <w:sz w:val="20"/>
          <w:szCs w:val="20"/>
          <w:color w:val="auto"/>
        </w:rPr>
        <w:t>​</w:t>
      </w:r>
      <w:r>
        <w:rPr>
          <w:sz w:val="20"/>
          <w:szCs w:val="20"/>
          <w:color w:val="auto"/>
        </w:rPr>
        <w:tab/>
      </w:r>
      <w:r>
        <w:rPr>
          <w:rFonts w:ascii="Times New Roman" w:cs="Times New Roman" w:eastAsia="Times New Roman" w:hAnsi="Times New Roman"/>
          <w:sz w:val="20"/>
          <w:szCs w:val="20"/>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2993390</wp:posOffset>
            </wp:positionH>
            <wp:positionV relativeFrom="paragraph">
              <wp:posOffset>-10795</wp:posOffset>
            </wp:positionV>
            <wp:extent cx="2283460" cy="825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94">
                      <a:extLst>
                        <a:ext uri="{28A0092B-C50C-407E-A947-70E740481C1C}"/>
                      </a:extLst>
                    </a:blip>
                    <a:srcRect/>
                    <a:stretch>
                      <a:fillRect/>
                    </a:stretch>
                  </pic:blipFill>
                  <pic:spPr bwMode="auto">
                    <a:xfrm>
                      <a:off x="0" y="0"/>
                      <a:ext cx="2283460" cy="8255"/>
                    </a:xfrm>
                    <a:prstGeom prst="rect">
                      <a:avLst/>
                    </a:prstGeom>
                    <a:noFill/>
                  </pic:spPr>
                </pic:pic>
              </a:graphicData>
            </a:graphic>
          </wp:anchor>
        </w:drawing>
      </w:r>
    </w:p>
    <w:p>
      <w:pPr>
        <w:spacing w:after="0" w:line="1" w:lineRule="exact"/>
        <w:rPr>
          <w:sz w:val="20"/>
          <w:szCs w:val="20"/>
          <w:color w:val="auto"/>
        </w:rPr>
      </w:pPr>
    </w:p>
    <w:p>
      <w:pPr>
        <w:ind w:left="4760"/>
        <w:spacing w:after="0"/>
        <w:rPr>
          <w:sz w:val="20"/>
          <w:szCs w:val="20"/>
          <w:color w:val="auto"/>
        </w:rPr>
      </w:pPr>
      <w:r>
        <w:rPr>
          <w:rFonts w:ascii="Times New Roman" w:cs="Times New Roman" w:eastAsia="Times New Roman" w:hAnsi="Times New Roman"/>
          <w:sz w:val="20"/>
          <w:szCs w:val="20"/>
          <w:color w:val="auto"/>
        </w:rPr>
        <w:t>Name: Daniel Zevnik</w:t>
      </w:r>
    </w:p>
    <w:p>
      <w:pPr>
        <w:ind w:left="5080"/>
        <w:spacing w:after="0"/>
        <w:rPr>
          <w:sz w:val="20"/>
          <w:szCs w:val="20"/>
          <w:color w:val="auto"/>
        </w:rPr>
      </w:pPr>
      <w:r>
        <w:rPr>
          <w:rFonts w:ascii="Times New Roman" w:cs="Times New Roman" w:eastAsia="Times New Roman" w:hAnsi="Times New Roman"/>
          <w:sz w:val="20"/>
          <w:szCs w:val="20"/>
          <w:color w:val="auto"/>
        </w:rPr>
        <w:t>Title: Managing Director</w:t>
      </w:r>
    </w:p>
    <w:p>
      <w:pPr>
        <w:spacing w:after="0" w:line="207"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20"/>
          <w:szCs w:val="20"/>
          <w:color w:val="auto"/>
        </w:rPr>
        <w:t>PALISADES CLO, LLC,</w:t>
      </w:r>
    </w:p>
    <w:p>
      <w:pPr>
        <w:spacing w:after="0" w:line="21"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20"/>
          <w:szCs w:val="20"/>
          <w:color w:val="auto"/>
        </w:rPr>
        <w:t>as a Lender</w:t>
      </w:r>
    </w:p>
    <w:p>
      <w:pPr>
        <w:ind w:left="4420"/>
        <w:spacing w:after="0"/>
        <w:rPr>
          <w:sz w:val="20"/>
          <w:szCs w:val="20"/>
          <w:color w:val="auto"/>
        </w:rPr>
      </w:pPr>
      <w:r>
        <w:rPr>
          <w:rFonts w:ascii="Times New Roman" w:cs="Times New Roman" w:eastAsia="Times New Roman" w:hAnsi="Times New Roman"/>
          <w:sz w:val="19"/>
          <w:szCs w:val="19"/>
          <w:color w:val="auto"/>
        </w:rPr>
        <w:t>By: HPS Investment Partners, LLC, its Investment</w:t>
      </w:r>
    </w:p>
    <w:p>
      <w:pPr>
        <w:spacing w:after="0" w:line="11"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20"/>
          <w:szCs w:val="20"/>
          <w:color w:val="auto"/>
        </w:rPr>
        <w:t>Manager</w:t>
      </w:r>
    </w:p>
    <w:p>
      <w:pPr>
        <w:spacing w:after="0" w:line="200" w:lineRule="exact"/>
        <w:rPr>
          <w:sz w:val="20"/>
          <w:szCs w:val="20"/>
          <w:color w:val="auto"/>
        </w:rPr>
      </w:pPr>
    </w:p>
    <w:p>
      <w:pPr>
        <w:spacing w:after="0" w:line="237" w:lineRule="exact"/>
        <w:rPr>
          <w:sz w:val="20"/>
          <w:szCs w:val="20"/>
          <w:color w:val="auto"/>
        </w:rPr>
      </w:pPr>
    </w:p>
    <w:p>
      <w:pPr>
        <w:ind w:left="4420"/>
        <w:spacing w:after="0"/>
        <w:tabs>
          <w:tab w:leader="none" w:pos="6360" w:val="left"/>
          <w:tab w:leader="none" w:pos="7000" w:val="left"/>
          <w:tab w:leader="none" w:pos="7640" w:val="left"/>
        </w:tabs>
        <w:rPr>
          <w:sz w:val="20"/>
          <w:szCs w:val="20"/>
          <w:color w:val="auto"/>
        </w:rPr>
      </w:pPr>
      <w:r>
        <w:rPr>
          <w:rFonts w:ascii="Times New Roman" w:cs="Times New Roman" w:eastAsia="Times New Roman" w:hAnsi="Times New Roman"/>
          <w:sz w:val="20"/>
          <w:szCs w:val="20"/>
          <w:color w:val="auto"/>
        </w:rPr>
        <w:t>By: /s/ Daniel Zevnik</w:t>
        <w:tab/>
        <w:t>​</w:t>
      </w:r>
      <w:r>
        <w:rPr>
          <w:sz w:val="20"/>
          <w:szCs w:val="20"/>
          <w:color w:val="auto"/>
        </w:rPr>
        <w:tab/>
      </w:r>
      <w:r>
        <w:rPr>
          <w:rFonts w:ascii="Times New Roman" w:cs="Times New Roman" w:eastAsia="Times New Roman" w:hAnsi="Times New Roman"/>
          <w:sz w:val="20"/>
          <w:szCs w:val="20"/>
          <w:color w:val="auto"/>
        </w:rPr>
        <w:t>​</w:t>
      </w:r>
      <w:r>
        <w:rPr>
          <w:sz w:val="20"/>
          <w:szCs w:val="20"/>
          <w:color w:val="auto"/>
        </w:rPr>
        <w:tab/>
      </w:r>
      <w:r>
        <w:rPr>
          <w:rFonts w:ascii="Times New Roman" w:cs="Times New Roman" w:eastAsia="Times New Roman" w:hAnsi="Times New Roman"/>
          <w:sz w:val="20"/>
          <w:szCs w:val="20"/>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2993390</wp:posOffset>
            </wp:positionH>
            <wp:positionV relativeFrom="paragraph">
              <wp:posOffset>-10795</wp:posOffset>
            </wp:positionV>
            <wp:extent cx="2283460" cy="88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95">
                      <a:extLst>
                        <a:ext uri="{28A0092B-C50C-407E-A947-70E740481C1C}"/>
                      </a:extLst>
                    </a:blip>
                    <a:srcRect/>
                    <a:stretch>
                      <a:fillRect/>
                    </a:stretch>
                  </pic:blipFill>
                  <pic:spPr bwMode="auto">
                    <a:xfrm>
                      <a:off x="0" y="0"/>
                      <a:ext cx="2283460" cy="8890"/>
                    </a:xfrm>
                    <a:prstGeom prst="rect">
                      <a:avLst/>
                    </a:prstGeom>
                    <a:noFill/>
                  </pic:spPr>
                </pic:pic>
              </a:graphicData>
            </a:graphic>
          </wp:anchor>
        </w:drawing>
      </w:r>
    </w:p>
    <w:p>
      <w:pPr>
        <w:spacing w:after="0" w:line="1" w:lineRule="exact"/>
        <w:rPr>
          <w:sz w:val="20"/>
          <w:szCs w:val="20"/>
          <w:color w:val="auto"/>
        </w:rPr>
      </w:pPr>
    </w:p>
    <w:p>
      <w:pPr>
        <w:ind w:left="4760"/>
        <w:spacing w:after="0"/>
        <w:rPr>
          <w:sz w:val="20"/>
          <w:szCs w:val="20"/>
          <w:color w:val="auto"/>
        </w:rPr>
      </w:pPr>
      <w:r>
        <w:rPr>
          <w:rFonts w:ascii="Times New Roman" w:cs="Times New Roman" w:eastAsia="Times New Roman" w:hAnsi="Times New Roman"/>
          <w:sz w:val="20"/>
          <w:szCs w:val="20"/>
          <w:color w:val="auto"/>
        </w:rPr>
        <w:t>Name: Daniel Zevnik</w:t>
      </w:r>
    </w:p>
    <w:p>
      <w:pPr>
        <w:ind w:left="5080"/>
        <w:spacing w:after="0"/>
        <w:rPr>
          <w:sz w:val="20"/>
          <w:szCs w:val="20"/>
          <w:color w:val="auto"/>
        </w:rPr>
      </w:pPr>
      <w:r>
        <w:rPr>
          <w:rFonts w:ascii="Times New Roman" w:cs="Times New Roman" w:eastAsia="Times New Roman" w:hAnsi="Times New Roman"/>
          <w:sz w:val="20"/>
          <w:szCs w:val="20"/>
          <w:color w:val="auto"/>
        </w:rPr>
        <w:t>Title: Managing Director</w:t>
      </w:r>
    </w:p>
    <w:p>
      <w:pPr>
        <w:spacing w:after="0" w:line="200" w:lineRule="exact"/>
        <w:rPr>
          <w:sz w:val="20"/>
          <w:szCs w:val="20"/>
          <w:color w:val="auto"/>
        </w:rPr>
      </w:pPr>
    </w:p>
    <w:p>
      <w:pPr>
        <w:spacing w:after="0" w:line="277"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4"/>
          <w:szCs w:val="14"/>
          <w:color w:val="auto"/>
        </w:rPr>
        <w:t>US-DOCS\171161013.8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339725</wp:posOffset>
            </wp:positionH>
            <wp:positionV relativeFrom="paragraph">
              <wp:posOffset>349250</wp:posOffset>
            </wp:positionV>
            <wp:extent cx="5040630" cy="2540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96">
                      <a:extLst>
                        <a:ext uri="{28A0092B-C50C-407E-A947-70E740481C1C}"/>
                      </a:extLst>
                    </a:blip>
                    <a:srcRect/>
                    <a:stretch>
                      <a:fillRect/>
                    </a:stretch>
                  </pic:blipFill>
                  <pic:spPr bwMode="auto">
                    <a:xfrm>
                      <a:off x="0" y="0"/>
                      <a:ext cx="5040630" cy="25400"/>
                    </a:xfrm>
                    <a:prstGeom prst="rect">
                      <a:avLst/>
                    </a:prstGeom>
                    <a:noFill/>
                  </pic:spPr>
                </pic:pic>
              </a:graphicData>
            </a:graphic>
          </wp:anchor>
        </w:drawing>
      </w:r>
    </w:p>
    <w:p>
      <w:pPr>
        <w:sectPr>
          <w:pgSz w:w="11900" w:h="16838" w:orient="portrait"/>
          <w:cols w:equalWidth="0" w:num="1">
            <w:col w:w="9019"/>
          </w:cols>
          <w:pgMar w:left="1440" w:top="900" w:right="1440" w:bottom="1440" w:gutter="0" w:footer="0" w:header="0"/>
        </w:sectPr>
      </w:pPr>
    </w:p>
    <w:bookmarkStart w:id="71" w:name="page72"/>
    <w:bookmarkEnd w:id="71"/>
    <w:p>
      <w:pPr>
        <w:ind w:left="4420"/>
        <w:spacing w:after="0"/>
        <w:rPr>
          <w:sz w:val="20"/>
          <w:szCs w:val="20"/>
          <w:color w:val="auto"/>
        </w:rPr>
      </w:pPr>
      <w:r>
        <w:rPr>
          <w:rFonts w:ascii="Times New Roman" w:cs="Times New Roman" w:eastAsia="Times New Roman" w:hAnsi="Times New Roman"/>
          <w:sz w:val="20"/>
          <w:szCs w:val="20"/>
          <w:color w:val="auto"/>
        </w:rPr>
        <w:t>SLF TX HOLDINGS, L.P,</w:t>
      </w:r>
    </w:p>
    <w:p>
      <w:pPr>
        <w:spacing w:after="0" w:line="21"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20"/>
          <w:szCs w:val="20"/>
          <w:color w:val="auto"/>
        </w:rPr>
        <w:t>as a Lender</w:t>
      </w:r>
    </w:p>
    <w:p>
      <w:pPr>
        <w:ind w:left="4420"/>
        <w:spacing w:after="0"/>
        <w:rPr>
          <w:sz w:val="20"/>
          <w:szCs w:val="20"/>
          <w:color w:val="auto"/>
        </w:rPr>
      </w:pPr>
      <w:r>
        <w:rPr>
          <w:rFonts w:ascii="Times New Roman" w:cs="Times New Roman" w:eastAsia="Times New Roman" w:hAnsi="Times New Roman"/>
          <w:sz w:val="19"/>
          <w:szCs w:val="19"/>
          <w:color w:val="auto"/>
        </w:rPr>
        <w:t>By: HPS Investment Partners, LLC, its Investment</w:t>
      </w:r>
    </w:p>
    <w:p>
      <w:pPr>
        <w:spacing w:after="0" w:line="11"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20"/>
          <w:szCs w:val="20"/>
          <w:color w:val="auto"/>
        </w:rPr>
        <w:t>Manager</w:t>
      </w:r>
    </w:p>
    <w:p>
      <w:pPr>
        <w:spacing w:after="0" w:line="200" w:lineRule="exact"/>
        <w:rPr>
          <w:sz w:val="20"/>
          <w:szCs w:val="20"/>
          <w:color w:val="auto"/>
        </w:rPr>
      </w:pPr>
    </w:p>
    <w:p>
      <w:pPr>
        <w:spacing w:after="0" w:line="237" w:lineRule="exact"/>
        <w:rPr>
          <w:sz w:val="20"/>
          <w:szCs w:val="20"/>
          <w:color w:val="auto"/>
        </w:rPr>
      </w:pPr>
    </w:p>
    <w:p>
      <w:pPr>
        <w:ind w:left="4420"/>
        <w:spacing w:after="0"/>
        <w:tabs>
          <w:tab w:leader="none" w:pos="6360" w:val="left"/>
          <w:tab w:leader="none" w:pos="7000" w:val="left"/>
          <w:tab w:leader="none" w:pos="7640" w:val="left"/>
        </w:tabs>
        <w:rPr>
          <w:sz w:val="20"/>
          <w:szCs w:val="20"/>
          <w:color w:val="auto"/>
        </w:rPr>
      </w:pPr>
      <w:r>
        <w:rPr>
          <w:rFonts w:ascii="Times New Roman" w:cs="Times New Roman" w:eastAsia="Times New Roman" w:hAnsi="Times New Roman"/>
          <w:sz w:val="20"/>
          <w:szCs w:val="20"/>
          <w:color w:val="auto"/>
        </w:rPr>
        <w:t>By: /s/ Daniel Zevnik</w:t>
        <w:tab/>
        <w:t>​</w:t>
      </w:r>
      <w:r>
        <w:rPr>
          <w:sz w:val="20"/>
          <w:szCs w:val="20"/>
          <w:color w:val="auto"/>
        </w:rPr>
        <w:tab/>
      </w:r>
      <w:r>
        <w:rPr>
          <w:rFonts w:ascii="Times New Roman" w:cs="Times New Roman" w:eastAsia="Times New Roman" w:hAnsi="Times New Roman"/>
          <w:sz w:val="20"/>
          <w:szCs w:val="20"/>
          <w:color w:val="auto"/>
        </w:rPr>
        <w:t>​</w:t>
      </w:r>
      <w:r>
        <w:rPr>
          <w:sz w:val="20"/>
          <w:szCs w:val="20"/>
          <w:color w:val="auto"/>
        </w:rPr>
        <w:tab/>
      </w:r>
      <w:r>
        <w:rPr>
          <w:rFonts w:ascii="Times New Roman" w:cs="Times New Roman" w:eastAsia="Times New Roman" w:hAnsi="Times New Roman"/>
          <w:sz w:val="20"/>
          <w:szCs w:val="20"/>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2993390</wp:posOffset>
            </wp:positionH>
            <wp:positionV relativeFrom="paragraph">
              <wp:posOffset>-10795</wp:posOffset>
            </wp:positionV>
            <wp:extent cx="2283460" cy="825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97">
                      <a:extLst>
                        <a:ext uri="{28A0092B-C50C-407E-A947-70E740481C1C}"/>
                      </a:extLst>
                    </a:blip>
                    <a:srcRect/>
                    <a:stretch>
                      <a:fillRect/>
                    </a:stretch>
                  </pic:blipFill>
                  <pic:spPr bwMode="auto">
                    <a:xfrm>
                      <a:off x="0" y="0"/>
                      <a:ext cx="2283460" cy="8255"/>
                    </a:xfrm>
                    <a:prstGeom prst="rect">
                      <a:avLst/>
                    </a:prstGeom>
                    <a:noFill/>
                  </pic:spPr>
                </pic:pic>
              </a:graphicData>
            </a:graphic>
          </wp:anchor>
        </w:drawing>
      </w:r>
    </w:p>
    <w:p>
      <w:pPr>
        <w:spacing w:after="0" w:line="1" w:lineRule="exact"/>
        <w:rPr>
          <w:sz w:val="20"/>
          <w:szCs w:val="20"/>
          <w:color w:val="auto"/>
        </w:rPr>
      </w:pPr>
    </w:p>
    <w:p>
      <w:pPr>
        <w:ind w:left="4760"/>
        <w:spacing w:after="0"/>
        <w:rPr>
          <w:sz w:val="20"/>
          <w:szCs w:val="20"/>
          <w:color w:val="auto"/>
        </w:rPr>
      </w:pPr>
      <w:r>
        <w:rPr>
          <w:rFonts w:ascii="Times New Roman" w:cs="Times New Roman" w:eastAsia="Times New Roman" w:hAnsi="Times New Roman"/>
          <w:sz w:val="20"/>
          <w:szCs w:val="20"/>
          <w:color w:val="auto"/>
        </w:rPr>
        <w:t>Name: Daniel Zevnik</w:t>
      </w:r>
    </w:p>
    <w:p>
      <w:pPr>
        <w:ind w:left="5080"/>
        <w:spacing w:after="0"/>
        <w:rPr>
          <w:sz w:val="20"/>
          <w:szCs w:val="20"/>
          <w:color w:val="auto"/>
        </w:rPr>
      </w:pPr>
      <w:r>
        <w:rPr>
          <w:rFonts w:ascii="Times New Roman" w:cs="Times New Roman" w:eastAsia="Times New Roman" w:hAnsi="Times New Roman"/>
          <w:sz w:val="20"/>
          <w:szCs w:val="20"/>
          <w:color w:val="auto"/>
        </w:rPr>
        <w:t>Title: Managing Director</w:t>
      </w:r>
    </w:p>
    <w:p>
      <w:pPr>
        <w:spacing w:after="0" w:line="207"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19"/>
          <w:szCs w:val="19"/>
          <w:color w:val="auto"/>
        </w:rPr>
        <w:t>SLF V INTERNATIONAL-L HOLDINGS C, L.P,</w:t>
      </w:r>
    </w:p>
    <w:p>
      <w:pPr>
        <w:spacing w:after="0" w:line="33"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20"/>
          <w:szCs w:val="20"/>
          <w:color w:val="auto"/>
        </w:rPr>
        <w:t>as a Lender</w:t>
      </w:r>
    </w:p>
    <w:p>
      <w:pPr>
        <w:ind w:left="4420"/>
        <w:spacing w:after="0"/>
        <w:rPr>
          <w:sz w:val="20"/>
          <w:szCs w:val="20"/>
          <w:color w:val="auto"/>
        </w:rPr>
      </w:pPr>
      <w:r>
        <w:rPr>
          <w:rFonts w:ascii="Times New Roman" w:cs="Times New Roman" w:eastAsia="Times New Roman" w:hAnsi="Times New Roman"/>
          <w:sz w:val="19"/>
          <w:szCs w:val="19"/>
          <w:color w:val="auto"/>
        </w:rPr>
        <w:t>By: HPS Investment Partners, LLC, its Investment</w:t>
      </w:r>
    </w:p>
    <w:p>
      <w:pPr>
        <w:spacing w:after="0" w:line="11"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20"/>
          <w:szCs w:val="20"/>
          <w:color w:val="auto"/>
        </w:rPr>
        <w:t>Manager</w:t>
      </w:r>
    </w:p>
    <w:p>
      <w:pPr>
        <w:spacing w:after="0" w:line="200" w:lineRule="exact"/>
        <w:rPr>
          <w:sz w:val="20"/>
          <w:szCs w:val="20"/>
          <w:color w:val="auto"/>
        </w:rPr>
      </w:pPr>
    </w:p>
    <w:p>
      <w:pPr>
        <w:spacing w:after="0" w:line="237" w:lineRule="exact"/>
        <w:rPr>
          <w:sz w:val="20"/>
          <w:szCs w:val="20"/>
          <w:color w:val="auto"/>
        </w:rPr>
      </w:pPr>
    </w:p>
    <w:p>
      <w:pPr>
        <w:ind w:left="4420"/>
        <w:spacing w:after="0"/>
        <w:tabs>
          <w:tab w:leader="none" w:pos="6360" w:val="left"/>
          <w:tab w:leader="none" w:pos="7000" w:val="left"/>
          <w:tab w:leader="none" w:pos="7640" w:val="left"/>
        </w:tabs>
        <w:rPr>
          <w:sz w:val="20"/>
          <w:szCs w:val="20"/>
          <w:color w:val="auto"/>
        </w:rPr>
      </w:pPr>
      <w:r>
        <w:rPr>
          <w:rFonts w:ascii="Times New Roman" w:cs="Times New Roman" w:eastAsia="Times New Roman" w:hAnsi="Times New Roman"/>
          <w:sz w:val="20"/>
          <w:szCs w:val="20"/>
          <w:color w:val="auto"/>
        </w:rPr>
        <w:t>By: /s/ Daniel Zevnik</w:t>
        <w:tab/>
        <w:t>​</w:t>
      </w:r>
      <w:r>
        <w:rPr>
          <w:sz w:val="20"/>
          <w:szCs w:val="20"/>
          <w:color w:val="auto"/>
        </w:rPr>
        <w:tab/>
      </w:r>
      <w:r>
        <w:rPr>
          <w:rFonts w:ascii="Times New Roman" w:cs="Times New Roman" w:eastAsia="Times New Roman" w:hAnsi="Times New Roman"/>
          <w:sz w:val="20"/>
          <w:szCs w:val="20"/>
          <w:color w:val="auto"/>
        </w:rPr>
        <w:t>​</w:t>
      </w:r>
      <w:r>
        <w:rPr>
          <w:sz w:val="20"/>
          <w:szCs w:val="20"/>
          <w:color w:val="auto"/>
        </w:rPr>
        <w:tab/>
      </w:r>
      <w:r>
        <w:rPr>
          <w:rFonts w:ascii="Times New Roman" w:cs="Times New Roman" w:eastAsia="Times New Roman" w:hAnsi="Times New Roman"/>
          <w:sz w:val="20"/>
          <w:szCs w:val="20"/>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2993390</wp:posOffset>
            </wp:positionH>
            <wp:positionV relativeFrom="paragraph">
              <wp:posOffset>-10795</wp:posOffset>
            </wp:positionV>
            <wp:extent cx="2283460" cy="825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8">
                      <a:extLst>
                        <a:ext uri="{28A0092B-C50C-407E-A947-70E740481C1C}"/>
                      </a:extLst>
                    </a:blip>
                    <a:srcRect/>
                    <a:stretch>
                      <a:fillRect/>
                    </a:stretch>
                  </pic:blipFill>
                  <pic:spPr bwMode="auto">
                    <a:xfrm>
                      <a:off x="0" y="0"/>
                      <a:ext cx="2283460" cy="8255"/>
                    </a:xfrm>
                    <a:prstGeom prst="rect">
                      <a:avLst/>
                    </a:prstGeom>
                    <a:noFill/>
                  </pic:spPr>
                </pic:pic>
              </a:graphicData>
            </a:graphic>
          </wp:anchor>
        </w:drawing>
      </w:r>
    </w:p>
    <w:p>
      <w:pPr>
        <w:spacing w:after="0" w:line="1" w:lineRule="exact"/>
        <w:rPr>
          <w:sz w:val="20"/>
          <w:szCs w:val="20"/>
          <w:color w:val="auto"/>
        </w:rPr>
      </w:pPr>
    </w:p>
    <w:p>
      <w:pPr>
        <w:ind w:left="4760"/>
        <w:spacing w:after="0"/>
        <w:rPr>
          <w:sz w:val="20"/>
          <w:szCs w:val="20"/>
          <w:color w:val="auto"/>
        </w:rPr>
      </w:pPr>
      <w:r>
        <w:rPr>
          <w:rFonts w:ascii="Times New Roman" w:cs="Times New Roman" w:eastAsia="Times New Roman" w:hAnsi="Times New Roman"/>
          <w:sz w:val="20"/>
          <w:szCs w:val="20"/>
          <w:color w:val="auto"/>
        </w:rPr>
        <w:t>Name: Daniel Zevnik</w:t>
      </w:r>
    </w:p>
    <w:p>
      <w:pPr>
        <w:ind w:left="5080"/>
        <w:spacing w:after="0"/>
        <w:rPr>
          <w:sz w:val="20"/>
          <w:szCs w:val="20"/>
          <w:color w:val="auto"/>
        </w:rPr>
      </w:pPr>
      <w:r>
        <w:rPr>
          <w:rFonts w:ascii="Times New Roman" w:cs="Times New Roman" w:eastAsia="Times New Roman" w:hAnsi="Times New Roman"/>
          <w:sz w:val="20"/>
          <w:szCs w:val="20"/>
          <w:color w:val="auto"/>
        </w:rPr>
        <w:t>Title: Managing Director</w:t>
      </w:r>
    </w:p>
    <w:p>
      <w:pPr>
        <w:spacing w:after="0" w:line="200" w:lineRule="exact"/>
        <w:rPr>
          <w:sz w:val="20"/>
          <w:szCs w:val="20"/>
          <w:color w:val="auto"/>
        </w:rPr>
      </w:pPr>
    </w:p>
    <w:p>
      <w:pPr>
        <w:spacing w:after="0" w:line="237"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20"/>
          <w:szCs w:val="20"/>
          <w:color w:val="auto"/>
        </w:rPr>
        <w:t>SLF V-L HOLDINGS C, L.P,</w:t>
      </w:r>
    </w:p>
    <w:p>
      <w:pPr>
        <w:spacing w:after="0" w:line="21"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20"/>
          <w:szCs w:val="20"/>
          <w:color w:val="auto"/>
        </w:rPr>
        <w:t>as a Lender</w:t>
      </w:r>
    </w:p>
    <w:p>
      <w:pPr>
        <w:ind w:left="4420"/>
        <w:spacing w:after="0"/>
        <w:rPr>
          <w:sz w:val="20"/>
          <w:szCs w:val="20"/>
          <w:color w:val="auto"/>
        </w:rPr>
      </w:pPr>
      <w:r>
        <w:rPr>
          <w:rFonts w:ascii="Times New Roman" w:cs="Times New Roman" w:eastAsia="Times New Roman" w:hAnsi="Times New Roman"/>
          <w:sz w:val="19"/>
          <w:szCs w:val="19"/>
          <w:color w:val="auto"/>
        </w:rPr>
        <w:t>By: HPS Investment Partners, LLC, its Investment</w:t>
      </w:r>
    </w:p>
    <w:p>
      <w:pPr>
        <w:spacing w:after="0" w:line="11"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20"/>
          <w:szCs w:val="20"/>
          <w:color w:val="auto"/>
        </w:rPr>
        <w:t>Manager</w:t>
      </w:r>
    </w:p>
    <w:p>
      <w:pPr>
        <w:spacing w:after="0" w:line="200" w:lineRule="exact"/>
        <w:rPr>
          <w:sz w:val="20"/>
          <w:szCs w:val="20"/>
          <w:color w:val="auto"/>
        </w:rPr>
      </w:pPr>
    </w:p>
    <w:p>
      <w:pPr>
        <w:spacing w:after="0" w:line="237" w:lineRule="exact"/>
        <w:rPr>
          <w:sz w:val="20"/>
          <w:szCs w:val="20"/>
          <w:color w:val="auto"/>
        </w:rPr>
      </w:pPr>
    </w:p>
    <w:p>
      <w:pPr>
        <w:ind w:left="4420"/>
        <w:spacing w:after="0"/>
        <w:tabs>
          <w:tab w:leader="none" w:pos="6360" w:val="left"/>
          <w:tab w:leader="none" w:pos="7000" w:val="left"/>
          <w:tab w:leader="none" w:pos="7640" w:val="left"/>
        </w:tabs>
        <w:rPr>
          <w:sz w:val="20"/>
          <w:szCs w:val="20"/>
          <w:color w:val="auto"/>
        </w:rPr>
      </w:pPr>
      <w:r>
        <w:rPr>
          <w:rFonts w:ascii="Times New Roman" w:cs="Times New Roman" w:eastAsia="Times New Roman" w:hAnsi="Times New Roman"/>
          <w:sz w:val="20"/>
          <w:szCs w:val="20"/>
          <w:color w:val="auto"/>
        </w:rPr>
        <w:t>By: /s/ Daniel Zevnik</w:t>
        <w:tab/>
        <w:t>​</w:t>
      </w:r>
      <w:r>
        <w:rPr>
          <w:sz w:val="20"/>
          <w:szCs w:val="20"/>
          <w:color w:val="auto"/>
        </w:rPr>
        <w:tab/>
      </w:r>
      <w:r>
        <w:rPr>
          <w:rFonts w:ascii="Times New Roman" w:cs="Times New Roman" w:eastAsia="Times New Roman" w:hAnsi="Times New Roman"/>
          <w:sz w:val="20"/>
          <w:szCs w:val="20"/>
          <w:color w:val="auto"/>
        </w:rPr>
        <w:t>​</w:t>
      </w:r>
      <w:r>
        <w:rPr>
          <w:sz w:val="20"/>
          <w:szCs w:val="20"/>
          <w:color w:val="auto"/>
        </w:rPr>
        <w:tab/>
      </w:r>
      <w:r>
        <w:rPr>
          <w:rFonts w:ascii="Times New Roman" w:cs="Times New Roman" w:eastAsia="Times New Roman" w:hAnsi="Times New Roman"/>
          <w:sz w:val="20"/>
          <w:szCs w:val="20"/>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2993390</wp:posOffset>
            </wp:positionH>
            <wp:positionV relativeFrom="paragraph">
              <wp:posOffset>-10795</wp:posOffset>
            </wp:positionV>
            <wp:extent cx="2283460" cy="889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9">
                      <a:extLst>
                        <a:ext uri="{28A0092B-C50C-407E-A947-70E740481C1C}"/>
                      </a:extLst>
                    </a:blip>
                    <a:srcRect/>
                    <a:stretch>
                      <a:fillRect/>
                    </a:stretch>
                  </pic:blipFill>
                  <pic:spPr bwMode="auto">
                    <a:xfrm>
                      <a:off x="0" y="0"/>
                      <a:ext cx="2283460" cy="8890"/>
                    </a:xfrm>
                    <a:prstGeom prst="rect">
                      <a:avLst/>
                    </a:prstGeom>
                    <a:noFill/>
                  </pic:spPr>
                </pic:pic>
              </a:graphicData>
            </a:graphic>
          </wp:anchor>
        </w:drawing>
      </w:r>
    </w:p>
    <w:p>
      <w:pPr>
        <w:spacing w:after="0" w:line="1" w:lineRule="exact"/>
        <w:rPr>
          <w:sz w:val="20"/>
          <w:szCs w:val="20"/>
          <w:color w:val="auto"/>
        </w:rPr>
      </w:pPr>
    </w:p>
    <w:p>
      <w:pPr>
        <w:ind w:left="4760"/>
        <w:spacing w:after="0"/>
        <w:rPr>
          <w:sz w:val="20"/>
          <w:szCs w:val="20"/>
          <w:color w:val="auto"/>
        </w:rPr>
      </w:pPr>
      <w:r>
        <w:rPr>
          <w:rFonts w:ascii="Times New Roman" w:cs="Times New Roman" w:eastAsia="Times New Roman" w:hAnsi="Times New Roman"/>
          <w:sz w:val="20"/>
          <w:szCs w:val="20"/>
          <w:color w:val="auto"/>
        </w:rPr>
        <w:t>Name: Daniel Zevnik</w:t>
      </w:r>
    </w:p>
    <w:p>
      <w:pPr>
        <w:ind w:left="5080"/>
        <w:spacing w:after="0"/>
        <w:rPr>
          <w:sz w:val="20"/>
          <w:szCs w:val="20"/>
          <w:color w:val="auto"/>
        </w:rPr>
      </w:pPr>
      <w:r>
        <w:rPr>
          <w:rFonts w:ascii="Times New Roman" w:cs="Times New Roman" w:eastAsia="Times New Roman" w:hAnsi="Times New Roman"/>
          <w:sz w:val="20"/>
          <w:szCs w:val="20"/>
          <w:color w:val="auto"/>
        </w:rPr>
        <w:t>Title: Managing Director</w:t>
      </w:r>
    </w:p>
    <w:p>
      <w:pPr>
        <w:spacing w:after="0" w:line="200" w:lineRule="exact"/>
        <w:rPr>
          <w:sz w:val="20"/>
          <w:szCs w:val="20"/>
          <w:color w:val="auto"/>
        </w:rPr>
      </w:pPr>
    </w:p>
    <w:p>
      <w:pPr>
        <w:spacing w:after="0" w:line="237"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20"/>
          <w:szCs w:val="20"/>
          <w:color w:val="auto"/>
        </w:rPr>
        <w:t>CACTUS DIRECT HOLDINGS B, L.P,</w:t>
      </w:r>
    </w:p>
    <w:p>
      <w:pPr>
        <w:spacing w:after="0" w:line="21"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20"/>
          <w:szCs w:val="20"/>
          <w:color w:val="auto"/>
        </w:rPr>
        <w:t>as a Lender</w:t>
      </w:r>
    </w:p>
    <w:p>
      <w:pPr>
        <w:ind w:left="4420"/>
        <w:spacing w:after="0"/>
        <w:rPr>
          <w:sz w:val="20"/>
          <w:szCs w:val="20"/>
          <w:color w:val="auto"/>
        </w:rPr>
      </w:pPr>
      <w:r>
        <w:rPr>
          <w:rFonts w:ascii="Times New Roman" w:cs="Times New Roman" w:eastAsia="Times New Roman" w:hAnsi="Times New Roman"/>
          <w:sz w:val="19"/>
          <w:szCs w:val="19"/>
          <w:color w:val="auto"/>
        </w:rPr>
        <w:t>By: HPS Investment Partners, LLC, its Investment</w:t>
      </w:r>
    </w:p>
    <w:p>
      <w:pPr>
        <w:spacing w:after="0" w:line="11"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20"/>
          <w:szCs w:val="20"/>
          <w:color w:val="auto"/>
        </w:rPr>
        <w:t>Manager</w:t>
      </w:r>
    </w:p>
    <w:p>
      <w:pPr>
        <w:spacing w:after="0" w:line="200" w:lineRule="exact"/>
        <w:rPr>
          <w:sz w:val="20"/>
          <w:szCs w:val="20"/>
          <w:color w:val="auto"/>
        </w:rPr>
      </w:pPr>
    </w:p>
    <w:p>
      <w:pPr>
        <w:spacing w:after="0" w:line="237" w:lineRule="exact"/>
        <w:rPr>
          <w:sz w:val="20"/>
          <w:szCs w:val="20"/>
          <w:color w:val="auto"/>
        </w:rPr>
      </w:pPr>
    </w:p>
    <w:p>
      <w:pPr>
        <w:ind w:left="4420"/>
        <w:spacing w:after="0"/>
        <w:tabs>
          <w:tab w:leader="none" w:pos="6360" w:val="left"/>
          <w:tab w:leader="none" w:pos="7000" w:val="left"/>
          <w:tab w:leader="none" w:pos="7640" w:val="left"/>
        </w:tabs>
        <w:rPr>
          <w:sz w:val="20"/>
          <w:szCs w:val="20"/>
          <w:color w:val="auto"/>
        </w:rPr>
      </w:pPr>
      <w:r>
        <w:rPr>
          <w:rFonts w:ascii="Times New Roman" w:cs="Times New Roman" w:eastAsia="Times New Roman" w:hAnsi="Times New Roman"/>
          <w:sz w:val="20"/>
          <w:szCs w:val="20"/>
          <w:color w:val="auto"/>
        </w:rPr>
        <w:t>By: /s/ Daniel Zevnik</w:t>
        <w:tab/>
        <w:t>​</w:t>
      </w:r>
      <w:r>
        <w:rPr>
          <w:sz w:val="20"/>
          <w:szCs w:val="20"/>
          <w:color w:val="auto"/>
        </w:rPr>
        <w:tab/>
      </w:r>
      <w:r>
        <w:rPr>
          <w:rFonts w:ascii="Times New Roman" w:cs="Times New Roman" w:eastAsia="Times New Roman" w:hAnsi="Times New Roman"/>
          <w:sz w:val="20"/>
          <w:szCs w:val="20"/>
          <w:color w:val="auto"/>
        </w:rPr>
        <w:t>​</w:t>
      </w:r>
      <w:r>
        <w:rPr>
          <w:sz w:val="20"/>
          <w:szCs w:val="20"/>
          <w:color w:val="auto"/>
        </w:rPr>
        <w:tab/>
      </w:r>
      <w:r>
        <w:rPr>
          <w:rFonts w:ascii="Times New Roman" w:cs="Times New Roman" w:eastAsia="Times New Roman" w:hAnsi="Times New Roman"/>
          <w:sz w:val="20"/>
          <w:szCs w:val="20"/>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2993390</wp:posOffset>
            </wp:positionH>
            <wp:positionV relativeFrom="paragraph">
              <wp:posOffset>-10795</wp:posOffset>
            </wp:positionV>
            <wp:extent cx="2283460" cy="825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100">
                      <a:extLst>
                        <a:ext uri="{28A0092B-C50C-407E-A947-70E740481C1C}"/>
                      </a:extLst>
                    </a:blip>
                    <a:srcRect/>
                    <a:stretch>
                      <a:fillRect/>
                    </a:stretch>
                  </pic:blipFill>
                  <pic:spPr bwMode="auto">
                    <a:xfrm>
                      <a:off x="0" y="0"/>
                      <a:ext cx="2283460" cy="8255"/>
                    </a:xfrm>
                    <a:prstGeom prst="rect">
                      <a:avLst/>
                    </a:prstGeom>
                    <a:noFill/>
                  </pic:spPr>
                </pic:pic>
              </a:graphicData>
            </a:graphic>
          </wp:anchor>
        </w:drawing>
      </w:r>
    </w:p>
    <w:p>
      <w:pPr>
        <w:spacing w:after="0" w:line="1" w:lineRule="exact"/>
        <w:rPr>
          <w:sz w:val="20"/>
          <w:szCs w:val="20"/>
          <w:color w:val="auto"/>
        </w:rPr>
      </w:pPr>
    </w:p>
    <w:p>
      <w:pPr>
        <w:ind w:left="4760"/>
        <w:spacing w:after="0"/>
        <w:rPr>
          <w:sz w:val="20"/>
          <w:szCs w:val="20"/>
          <w:color w:val="auto"/>
        </w:rPr>
      </w:pPr>
      <w:r>
        <w:rPr>
          <w:rFonts w:ascii="Times New Roman" w:cs="Times New Roman" w:eastAsia="Times New Roman" w:hAnsi="Times New Roman"/>
          <w:sz w:val="20"/>
          <w:szCs w:val="20"/>
          <w:color w:val="auto"/>
        </w:rPr>
        <w:t>Name: Daniel Zevnik</w:t>
      </w:r>
    </w:p>
    <w:p>
      <w:pPr>
        <w:ind w:left="5080"/>
        <w:spacing w:after="0"/>
        <w:rPr>
          <w:sz w:val="20"/>
          <w:szCs w:val="20"/>
          <w:color w:val="auto"/>
        </w:rPr>
      </w:pPr>
      <w:r>
        <w:rPr>
          <w:rFonts w:ascii="Times New Roman" w:cs="Times New Roman" w:eastAsia="Times New Roman" w:hAnsi="Times New Roman"/>
          <w:sz w:val="20"/>
          <w:szCs w:val="20"/>
          <w:color w:val="auto"/>
        </w:rPr>
        <w:t>Title: Managing Director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4"/>
          <w:szCs w:val="14"/>
          <w:color w:val="auto"/>
        </w:rPr>
        <w:t>US-DOCS\171161013.8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339725</wp:posOffset>
            </wp:positionH>
            <wp:positionV relativeFrom="paragraph">
              <wp:posOffset>349250</wp:posOffset>
            </wp:positionV>
            <wp:extent cx="5040630" cy="2540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101">
                      <a:extLst>
                        <a:ext uri="{28A0092B-C50C-407E-A947-70E740481C1C}"/>
                      </a:extLst>
                    </a:blip>
                    <a:srcRect/>
                    <a:stretch>
                      <a:fillRect/>
                    </a:stretch>
                  </pic:blipFill>
                  <pic:spPr bwMode="auto">
                    <a:xfrm>
                      <a:off x="0" y="0"/>
                      <a:ext cx="5040630" cy="25400"/>
                    </a:xfrm>
                    <a:prstGeom prst="rect">
                      <a:avLst/>
                    </a:prstGeom>
                    <a:noFill/>
                  </pic:spPr>
                </pic:pic>
              </a:graphicData>
            </a:graphic>
          </wp:anchor>
        </w:drawing>
      </w:r>
    </w:p>
    <w:p>
      <w:pPr>
        <w:sectPr>
          <w:pgSz w:w="11900" w:h="16838" w:orient="portrait"/>
          <w:cols w:equalWidth="0" w:num="1">
            <w:col w:w="9019"/>
          </w:cols>
          <w:pgMar w:left="1440" w:top="1129" w:right="1440" w:bottom="1440" w:gutter="0" w:footer="0" w:header="0"/>
        </w:sectPr>
      </w:pPr>
    </w:p>
    <w:bookmarkStart w:id="72" w:name="page73"/>
    <w:bookmarkEnd w:id="72"/>
    <w:p>
      <w:pPr>
        <w:ind w:left="4420"/>
        <w:spacing w:after="0"/>
        <w:rPr>
          <w:sz w:val="20"/>
          <w:szCs w:val="20"/>
          <w:color w:val="auto"/>
        </w:rPr>
      </w:pPr>
      <w:r>
        <w:rPr>
          <w:rFonts w:ascii="Times New Roman" w:cs="Times New Roman" w:eastAsia="Times New Roman" w:hAnsi="Times New Roman"/>
          <w:sz w:val="19"/>
          <w:szCs w:val="19"/>
          <w:color w:val="auto"/>
        </w:rPr>
        <w:t>SLF V INTERNATIONAL-L HOLDINGS C, L.P,</w:t>
      </w:r>
    </w:p>
    <w:p>
      <w:pPr>
        <w:spacing w:after="0" w:line="33"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20"/>
          <w:szCs w:val="20"/>
          <w:color w:val="auto"/>
        </w:rPr>
        <w:t>as a Lender</w:t>
      </w:r>
    </w:p>
    <w:p>
      <w:pPr>
        <w:ind w:left="4420"/>
        <w:spacing w:after="0"/>
        <w:rPr>
          <w:sz w:val="20"/>
          <w:szCs w:val="20"/>
          <w:color w:val="auto"/>
        </w:rPr>
      </w:pPr>
      <w:r>
        <w:rPr>
          <w:rFonts w:ascii="Times New Roman" w:cs="Times New Roman" w:eastAsia="Times New Roman" w:hAnsi="Times New Roman"/>
          <w:sz w:val="19"/>
          <w:szCs w:val="19"/>
          <w:color w:val="auto"/>
        </w:rPr>
        <w:t>By: HPS Investment Partners, LLC, its Investment</w:t>
      </w:r>
    </w:p>
    <w:p>
      <w:pPr>
        <w:spacing w:after="0" w:line="11"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20"/>
          <w:szCs w:val="20"/>
          <w:color w:val="auto"/>
        </w:rPr>
        <w:t>Manager</w:t>
      </w:r>
    </w:p>
    <w:p>
      <w:pPr>
        <w:spacing w:after="0" w:line="200" w:lineRule="exact"/>
        <w:rPr>
          <w:sz w:val="20"/>
          <w:szCs w:val="20"/>
          <w:color w:val="auto"/>
        </w:rPr>
      </w:pPr>
    </w:p>
    <w:p>
      <w:pPr>
        <w:spacing w:after="0" w:line="237" w:lineRule="exact"/>
        <w:rPr>
          <w:sz w:val="20"/>
          <w:szCs w:val="20"/>
          <w:color w:val="auto"/>
        </w:rPr>
      </w:pPr>
    </w:p>
    <w:p>
      <w:pPr>
        <w:ind w:left="4420"/>
        <w:spacing w:after="0"/>
        <w:tabs>
          <w:tab w:leader="none" w:pos="6360" w:val="left"/>
          <w:tab w:leader="none" w:pos="7000" w:val="left"/>
          <w:tab w:leader="none" w:pos="7640" w:val="left"/>
        </w:tabs>
        <w:rPr>
          <w:sz w:val="20"/>
          <w:szCs w:val="20"/>
          <w:color w:val="auto"/>
        </w:rPr>
      </w:pPr>
      <w:r>
        <w:rPr>
          <w:rFonts w:ascii="Times New Roman" w:cs="Times New Roman" w:eastAsia="Times New Roman" w:hAnsi="Times New Roman"/>
          <w:sz w:val="20"/>
          <w:szCs w:val="20"/>
          <w:color w:val="auto"/>
        </w:rPr>
        <w:t>By: /s/ Daniel Zevnik</w:t>
        <w:tab/>
        <w:t>​</w:t>
      </w:r>
      <w:r>
        <w:rPr>
          <w:sz w:val="20"/>
          <w:szCs w:val="20"/>
          <w:color w:val="auto"/>
        </w:rPr>
        <w:tab/>
      </w:r>
      <w:r>
        <w:rPr>
          <w:rFonts w:ascii="Times New Roman" w:cs="Times New Roman" w:eastAsia="Times New Roman" w:hAnsi="Times New Roman"/>
          <w:sz w:val="20"/>
          <w:szCs w:val="20"/>
          <w:color w:val="auto"/>
        </w:rPr>
        <w:t>​</w:t>
      </w:r>
      <w:r>
        <w:rPr>
          <w:sz w:val="20"/>
          <w:szCs w:val="20"/>
          <w:color w:val="auto"/>
        </w:rPr>
        <w:tab/>
      </w:r>
      <w:r>
        <w:rPr>
          <w:rFonts w:ascii="Times New Roman" w:cs="Times New Roman" w:eastAsia="Times New Roman" w:hAnsi="Times New Roman"/>
          <w:sz w:val="20"/>
          <w:szCs w:val="20"/>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2993390</wp:posOffset>
            </wp:positionH>
            <wp:positionV relativeFrom="paragraph">
              <wp:posOffset>-10795</wp:posOffset>
            </wp:positionV>
            <wp:extent cx="2283460" cy="825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102">
                      <a:extLst>
                        <a:ext uri="{28A0092B-C50C-407E-A947-70E740481C1C}"/>
                      </a:extLst>
                    </a:blip>
                    <a:srcRect/>
                    <a:stretch>
                      <a:fillRect/>
                    </a:stretch>
                  </pic:blipFill>
                  <pic:spPr bwMode="auto">
                    <a:xfrm>
                      <a:off x="0" y="0"/>
                      <a:ext cx="2283460" cy="8255"/>
                    </a:xfrm>
                    <a:prstGeom prst="rect">
                      <a:avLst/>
                    </a:prstGeom>
                    <a:noFill/>
                  </pic:spPr>
                </pic:pic>
              </a:graphicData>
            </a:graphic>
          </wp:anchor>
        </w:drawing>
      </w:r>
    </w:p>
    <w:p>
      <w:pPr>
        <w:spacing w:after="0" w:line="1" w:lineRule="exact"/>
        <w:rPr>
          <w:sz w:val="20"/>
          <w:szCs w:val="20"/>
          <w:color w:val="auto"/>
        </w:rPr>
      </w:pPr>
    </w:p>
    <w:p>
      <w:pPr>
        <w:ind w:left="4760"/>
        <w:spacing w:after="0"/>
        <w:rPr>
          <w:sz w:val="20"/>
          <w:szCs w:val="20"/>
          <w:color w:val="auto"/>
        </w:rPr>
      </w:pPr>
      <w:r>
        <w:rPr>
          <w:rFonts w:ascii="Times New Roman" w:cs="Times New Roman" w:eastAsia="Times New Roman" w:hAnsi="Times New Roman"/>
          <w:sz w:val="20"/>
          <w:szCs w:val="20"/>
          <w:color w:val="auto"/>
        </w:rPr>
        <w:t>Name: Daniel Zevnik</w:t>
      </w:r>
    </w:p>
    <w:p>
      <w:pPr>
        <w:ind w:left="5080"/>
        <w:spacing w:after="0"/>
        <w:rPr>
          <w:sz w:val="20"/>
          <w:szCs w:val="20"/>
          <w:color w:val="auto"/>
        </w:rPr>
      </w:pPr>
      <w:r>
        <w:rPr>
          <w:rFonts w:ascii="Times New Roman" w:cs="Times New Roman" w:eastAsia="Times New Roman" w:hAnsi="Times New Roman"/>
          <w:sz w:val="20"/>
          <w:szCs w:val="20"/>
          <w:color w:val="auto"/>
        </w:rPr>
        <w:t>Title: Managing Director</w:t>
      </w:r>
    </w:p>
    <w:p>
      <w:pPr>
        <w:spacing w:after="0" w:line="207"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20"/>
          <w:szCs w:val="20"/>
          <w:color w:val="auto"/>
        </w:rPr>
        <w:t>HLEND CLO 2025-3 LLC, as a Lender</w:t>
      </w:r>
    </w:p>
    <w:p>
      <w:pPr>
        <w:spacing w:after="0" w:line="22"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20"/>
          <w:szCs w:val="20"/>
          <w:color w:val="auto"/>
        </w:rPr>
        <w:t>By: HPS Advisors, LLC, its Investment Adviser</w:t>
      </w:r>
    </w:p>
    <w:p>
      <w:pPr>
        <w:spacing w:after="0" w:line="200" w:lineRule="exact"/>
        <w:rPr>
          <w:sz w:val="20"/>
          <w:szCs w:val="20"/>
          <w:color w:val="auto"/>
        </w:rPr>
      </w:pPr>
    </w:p>
    <w:p>
      <w:pPr>
        <w:spacing w:after="0" w:line="237" w:lineRule="exact"/>
        <w:rPr>
          <w:sz w:val="20"/>
          <w:szCs w:val="20"/>
          <w:color w:val="auto"/>
        </w:rPr>
      </w:pPr>
    </w:p>
    <w:p>
      <w:pPr>
        <w:ind w:left="4420"/>
        <w:spacing w:after="0"/>
        <w:tabs>
          <w:tab w:leader="none" w:pos="6360" w:val="left"/>
          <w:tab w:leader="none" w:pos="7000" w:val="left"/>
          <w:tab w:leader="none" w:pos="7640" w:val="left"/>
        </w:tabs>
        <w:rPr>
          <w:sz w:val="20"/>
          <w:szCs w:val="20"/>
          <w:color w:val="auto"/>
        </w:rPr>
      </w:pPr>
      <w:r>
        <w:rPr>
          <w:rFonts w:ascii="Times New Roman" w:cs="Times New Roman" w:eastAsia="Times New Roman" w:hAnsi="Times New Roman"/>
          <w:sz w:val="20"/>
          <w:szCs w:val="20"/>
          <w:color w:val="auto"/>
        </w:rPr>
        <w:t>By: /s/ Daniel Zevnik</w:t>
        <w:tab/>
        <w:t>​</w:t>
      </w:r>
      <w:r>
        <w:rPr>
          <w:sz w:val="20"/>
          <w:szCs w:val="20"/>
          <w:color w:val="auto"/>
        </w:rPr>
        <w:tab/>
      </w:r>
      <w:r>
        <w:rPr>
          <w:rFonts w:ascii="Times New Roman" w:cs="Times New Roman" w:eastAsia="Times New Roman" w:hAnsi="Times New Roman"/>
          <w:sz w:val="20"/>
          <w:szCs w:val="20"/>
          <w:color w:val="auto"/>
        </w:rPr>
        <w:t>​</w:t>
      </w:r>
      <w:r>
        <w:rPr>
          <w:sz w:val="20"/>
          <w:szCs w:val="20"/>
          <w:color w:val="auto"/>
        </w:rPr>
        <w:tab/>
      </w:r>
      <w:r>
        <w:rPr>
          <w:rFonts w:ascii="Times New Roman" w:cs="Times New Roman" w:eastAsia="Times New Roman" w:hAnsi="Times New Roman"/>
          <w:sz w:val="20"/>
          <w:szCs w:val="20"/>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2993390</wp:posOffset>
            </wp:positionH>
            <wp:positionV relativeFrom="paragraph">
              <wp:posOffset>-10795</wp:posOffset>
            </wp:positionV>
            <wp:extent cx="2283460" cy="825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103">
                      <a:extLst>
                        <a:ext uri="{28A0092B-C50C-407E-A947-70E740481C1C}"/>
                      </a:extLst>
                    </a:blip>
                    <a:srcRect/>
                    <a:stretch>
                      <a:fillRect/>
                    </a:stretch>
                  </pic:blipFill>
                  <pic:spPr bwMode="auto">
                    <a:xfrm>
                      <a:off x="0" y="0"/>
                      <a:ext cx="2283460" cy="8255"/>
                    </a:xfrm>
                    <a:prstGeom prst="rect">
                      <a:avLst/>
                    </a:prstGeom>
                    <a:noFill/>
                  </pic:spPr>
                </pic:pic>
              </a:graphicData>
            </a:graphic>
          </wp:anchor>
        </w:drawing>
      </w:r>
    </w:p>
    <w:p>
      <w:pPr>
        <w:spacing w:after="0" w:line="1" w:lineRule="exact"/>
        <w:rPr>
          <w:sz w:val="20"/>
          <w:szCs w:val="20"/>
          <w:color w:val="auto"/>
        </w:rPr>
      </w:pPr>
    </w:p>
    <w:p>
      <w:pPr>
        <w:ind w:left="4760"/>
        <w:spacing w:after="0"/>
        <w:rPr>
          <w:sz w:val="20"/>
          <w:szCs w:val="20"/>
          <w:color w:val="auto"/>
        </w:rPr>
      </w:pPr>
      <w:r>
        <w:rPr>
          <w:rFonts w:ascii="Times New Roman" w:cs="Times New Roman" w:eastAsia="Times New Roman" w:hAnsi="Times New Roman"/>
          <w:sz w:val="20"/>
          <w:szCs w:val="20"/>
          <w:color w:val="auto"/>
        </w:rPr>
        <w:t>Name: Daniel Zevnik</w:t>
      </w:r>
    </w:p>
    <w:p>
      <w:pPr>
        <w:ind w:left="5080"/>
        <w:spacing w:after="0"/>
        <w:rPr>
          <w:sz w:val="20"/>
          <w:szCs w:val="20"/>
          <w:color w:val="auto"/>
        </w:rPr>
      </w:pPr>
      <w:r>
        <w:rPr>
          <w:rFonts w:ascii="Times New Roman" w:cs="Times New Roman" w:eastAsia="Times New Roman" w:hAnsi="Times New Roman"/>
          <w:sz w:val="20"/>
          <w:szCs w:val="20"/>
          <w:color w:val="auto"/>
        </w:rPr>
        <w:t>Title: Managing Director</w:t>
      </w:r>
    </w:p>
    <w:p>
      <w:pPr>
        <w:spacing w:after="0" w:line="207"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20"/>
          <w:szCs w:val="20"/>
          <w:color w:val="auto"/>
        </w:rPr>
        <w:t>HLEND CLO 2025-4, LLC, as a Lender</w:t>
      </w:r>
    </w:p>
    <w:p>
      <w:pPr>
        <w:spacing w:after="0" w:line="22"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20"/>
          <w:szCs w:val="20"/>
          <w:color w:val="auto"/>
        </w:rPr>
        <w:t>By: HPS Advisors, LLC, its Investment Adviser</w:t>
      </w:r>
    </w:p>
    <w:p>
      <w:pPr>
        <w:spacing w:after="0" w:line="200" w:lineRule="exact"/>
        <w:rPr>
          <w:sz w:val="20"/>
          <w:szCs w:val="20"/>
          <w:color w:val="auto"/>
        </w:rPr>
      </w:pPr>
    </w:p>
    <w:p>
      <w:pPr>
        <w:spacing w:after="0" w:line="237" w:lineRule="exact"/>
        <w:rPr>
          <w:sz w:val="20"/>
          <w:szCs w:val="20"/>
          <w:color w:val="auto"/>
        </w:rPr>
      </w:pPr>
    </w:p>
    <w:p>
      <w:pPr>
        <w:ind w:left="4420"/>
        <w:spacing w:after="0"/>
        <w:tabs>
          <w:tab w:leader="none" w:pos="6360" w:val="left"/>
          <w:tab w:leader="none" w:pos="7000" w:val="left"/>
          <w:tab w:leader="none" w:pos="7640" w:val="left"/>
        </w:tabs>
        <w:rPr>
          <w:sz w:val="20"/>
          <w:szCs w:val="20"/>
          <w:color w:val="auto"/>
        </w:rPr>
      </w:pPr>
      <w:r>
        <w:rPr>
          <w:rFonts w:ascii="Times New Roman" w:cs="Times New Roman" w:eastAsia="Times New Roman" w:hAnsi="Times New Roman"/>
          <w:sz w:val="20"/>
          <w:szCs w:val="20"/>
          <w:color w:val="auto"/>
        </w:rPr>
        <w:t>By: /s/ Daniel Zevnik</w:t>
        <w:tab/>
        <w:t>​</w:t>
      </w:r>
      <w:r>
        <w:rPr>
          <w:sz w:val="20"/>
          <w:szCs w:val="20"/>
          <w:color w:val="auto"/>
        </w:rPr>
        <w:tab/>
      </w:r>
      <w:r>
        <w:rPr>
          <w:rFonts w:ascii="Times New Roman" w:cs="Times New Roman" w:eastAsia="Times New Roman" w:hAnsi="Times New Roman"/>
          <w:sz w:val="20"/>
          <w:szCs w:val="20"/>
          <w:color w:val="auto"/>
        </w:rPr>
        <w:t>​</w:t>
      </w:r>
      <w:r>
        <w:rPr>
          <w:sz w:val="20"/>
          <w:szCs w:val="20"/>
          <w:color w:val="auto"/>
        </w:rPr>
        <w:tab/>
      </w:r>
      <w:r>
        <w:rPr>
          <w:rFonts w:ascii="Times New Roman" w:cs="Times New Roman" w:eastAsia="Times New Roman" w:hAnsi="Times New Roman"/>
          <w:sz w:val="20"/>
          <w:szCs w:val="20"/>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2993390</wp:posOffset>
            </wp:positionH>
            <wp:positionV relativeFrom="paragraph">
              <wp:posOffset>-10795</wp:posOffset>
            </wp:positionV>
            <wp:extent cx="2283460" cy="825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104">
                      <a:extLst>
                        <a:ext uri="{28A0092B-C50C-407E-A947-70E740481C1C}"/>
                      </a:extLst>
                    </a:blip>
                    <a:srcRect/>
                    <a:stretch>
                      <a:fillRect/>
                    </a:stretch>
                  </pic:blipFill>
                  <pic:spPr bwMode="auto">
                    <a:xfrm>
                      <a:off x="0" y="0"/>
                      <a:ext cx="2283460" cy="8255"/>
                    </a:xfrm>
                    <a:prstGeom prst="rect">
                      <a:avLst/>
                    </a:prstGeom>
                    <a:noFill/>
                  </pic:spPr>
                </pic:pic>
              </a:graphicData>
            </a:graphic>
          </wp:anchor>
        </w:drawing>
      </w:r>
    </w:p>
    <w:p>
      <w:pPr>
        <w:spacing w:after="0" w:line="1" w:lineRule="exact"/>
        <w:rPr>
          <w:sz w:val="20"/>
          <w:szCs w:val="20"/>
          <w:color w:val="auto"/>
        </w:rPr>
      </w:pPr>
    </w:p>
    <w:p>
      <w:pPr>
        <w:ind w:left="4760"/>
        <w:spacing w:after="0"/>
        <w:rPr>
          <w:sz w:val="20"/>
          <w:szCs w:val="20"/>
          <w:color w:val="auto"/>
        </w:rPr>
      </w:pPr>
      <w:r>
        <w:rPr>
          <w:rFonts w:ascii="Times New Roman" w:cs="Times New Roman" w:eastAsia="Times New Roman" w:hAnsi="Times New Roman"/>
          <w:sz w:val="20"/>
          <w:szCs w:val="20"/>
          <w:color w:val="auto"/>
        </w:rPr>
        <w:t>Name: Daniel Zevnik</w:t>
      </w:r>
    </w:p>
    <w:p>
      <w:pPr>
        <w:ind w:left="5080"/>
        <w:spacing w:after="0"/>
        <w:rPr>
          <w:sz w:val="20"/>
          <w:szCs w:val="20"/>
          <w:color w:val="auto"/>
        </w:rPr>
      </w:pPr>
      <w:r>
        <w:rPr>
          <w:rFonts w:ascii="Times New Roman" w:cs="Times New Roman" w:eastAsia="Times New Roman" w:hAnsi="Times New Roman"/>
          <w:sz w:val="20"/>
          <w:szCs w:val="20"/>
          <w:color w:val="auto"/>
        </w:rPr>
        <w:t>Title: Managing Director</w:t>
      </w:r>
    </w:p>
    <w:p>
      <w:pPr>
        <w:spacing w:after="0" w:line="207"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20"/>
          <w:szCs w:val="20"/>
          <w:color w:val="auto"/>
        </w:rPr>
        <w:t>HLEND HOLDINGS D, L.P., as a Lender</w:t>
      </w:r>
    </w:p>
    <w:p>
      <w:pPr>
        <w:spacing w:after="0" w:line="22"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20"/>
          <w:szCs w:val="20"/>
          <w:color w:val="auto"/>
        </w:rPr>
        <w:t>By: HPS Advisors, LLC, its Investment Adviser</w:t>
      </w:r>
    </w:p>
    <w:p>
      <w:pPr>
        <w:spacing w:after="0" w:line="200" w:lineRule="exact"/>
        <w:rPr>
          <w:sz w:val="20"/>
          <w:szCs w:val="20"/>
          <w:color w:val="auto"/>
        </w:rPr>
      </w:pPr>
    </w:p>
    <w:p>
      <w:pPr>
        <w:spacing w:after="0" w:line="237" w:lineRule="exact"/>
        <w:rPr>
          <w:sz w:val="20"/>
          <w:szCs w:val="20"/>
          <w:color w:val="auto"/>
        </w:rPr>
      </w:pPr>
    </w:p>
    <w:p>
      <w:pPr>
        <w:ind w:left="4420"/>
        <w:spacing w:after="0"/>
        <w:tabs>
          <w:tab w:leader="none" w:pos="6360" w:val="left"/>
          <w:tab w:leader="none" w:pos="7000" w:val="left"/>
          <w:tab w:leader="none" w:pos="7640" w:val="left"/>
        </w:tabs>
        <w:rPr>
          <w:sz w:val="20"/>
          <w:szCs w:val="20"/>
          <w:color w:val="auto"/>
        </w:rPr>
      </w:pPr>
      <w:r>
        <w:rPr>
          <w:rFonts w:ascii="Times New Roman" w:cs="Times New Roman" w:eastAsia="Times New Roman" w:hAnsi="Times New Roman"/>
          <w:sz w:val="20"/>
          <w:szCs w:val="20"/>
          <w:color w:val="auto"/>
        </w:rPr>
        <w:t>By: /s/ Daniel Zevnik</w:t>
        <w:tab/>
        <w:t>​</w:t>
      </w:r>
      <w:r>
        <w:rPr>
          <w:sz w:val="20"/>
          <w:szCs w:val="20"/>
          <w:color w:val="auto"/>
        </w:rPr>
        <w:tab/>
      </w:r>
      <w:r>
        <w:rPr>
          <w:rFonts w:ascii="Times New Roman" w:cs="Times New Roman" w:eastAsia="Times New Roman" w:hAnsi="Times New Roman"/>
          <w:sz w:val="20"/>
          <w:szCs w:val="20"/>
          <w:color w:val="auto"/>
        </w:rPr>
        <w:t>​</w:t>
      </w:r>
      <w:r>
        <w:rPr>
          <w:sz w:val="20"/>
          <w:szCs w:val="20"/>
          <w:color w:val="auto"/>
        </w:rPr>
        <w:tab/>
      </w:r>
      <w:r>
        <w:rPr>
          <w:rFonts w:ascii="Times New Roman" w:cs="Times New Roman" w:eastAsia="Times New Roman" w:hAnsi="Times New Roman"/>
          <w:sz w:val="20"/>
          <w:szCs w:val="20"/>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2993390</wp:posOffset>
            </wp:positionH>
            <wp:positionV relativeFrom="paragraph">
              <wp:posOffset>-10795</wp:posOffset>
            </wp:positionV>
            <wp:extent cx="2283460" cy="825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105">
                      <a:extLst>
                        <a:ext uri="{28A0092B-C50C-407E-A947-70E740481C1C}"/>
                      </a:extLst>
                    </a:blip>
                    <a:srcRect/>
                    <a:stretch>
                      <a:fillRect/>
                    </a:stretch>
                  </pic:blipFill>
                  <pic:spPr bwMode="auto">
                    <a:xfrm>
                      <a:off x="0" y="0"/>
                      <a:ext cx="2283460" cy="8255"/>
                    </a:xfrm>
                    <a:prstGeom prst="rect">
                      <a:avLst/>
                    </a:prstGeom>
                    <a:noFill/>
                  </pic:spPr>
                </pic:pic>
              </a:graphicData>
            </a:graphic>
          </wp:anchor>
        </w:drawing>
      </w:r>
    </w:p>
    <w:p>
      <w:pPr>
        <w:spacing w:after="0" w:line="1" w:lineRule="exact"/>
        <w:rPr>
          <w:sz w:val="20"/>
          <w:szCs w:val="20"/>
          <w:color w:val="auto"/>
        </w:rPr>
      </w:pPr>
    </w:p>
    <w:p>
      <w:pPr>
        <w:ind w:left="4760"/>
        <w:spacing w:after="0"/>
        <w:rPr>
          <w:sz w:val="20"/>
          <w:szCs w:val="20"/>
          <w:color w:val="auto"/>
        </w:rPr>
      </w:pPr>
      <w:r>
        <w:rPr>
          <w:rFonts w:ascii="Times New Roman" w:cs="Times New Roman" w:eastAsia="Times New Roman" w:hAnsi="Times New Roman"/>
          <w:sz w:val="20"/>
          <w:szCs w:val="20"/>
          <w:color w:val="auto"/>
        </w:rPr>
        <w:t>Name: Daniel Zevnik</w:t>
      </w:r>
    </w:p>
    <w:p>
      <w:pPr>
        <w:ind w:left="5080"/>
        <w:spacing w:after="0"/>
        <w:rPr>
          <w:sz w:val="20"/>
          <w:szCs w:val="20"/>
          <w:color w:val="auto"/>
        </w:rPr>
      </w:pPr>
      <w:r>
        <w:rPr>
          <w:rFonts w:ascii="Times New Roman" w:cs="Times New Roman" w:eastAsia="Times New Roman" w:hAnsi="Times New Roman"/>
          <w:sz w:val="20"/>
          <w:szCs w:val="20"/>
          <w:color w:val="auto"/>
        </w:rPr>
        <w:t>Title: Managing Director</w:t>
      </w:r>
    </w:p>
    <w:p>
      <w:pPr>
        <w:spacing w:after="0" w:line="207"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20"/>
          <w:szCs w:val="20"/>
          <w:color w:val="auto"/>
        </w:rPr>
        <w:t>HPS CX-2 SPECIALTY LOAN FINANCING</w:t>
      </w:r>
    </w:p>
    <w:p>
      <w:pPr>
        <w:spacing w:after="0" w:line="21"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20"/>
          <w:szCs w:val="20"/>
          <w:color w:val="auto"/>
        </w:rPr>
        <w:t>CLO I, LTD., as a Lender</w:t>
      </w:r>
    </w:p>
    <w:p>
      <w:pPr>
        <w:ind w:left="4420"/>
        <w:spacing w:after="0"/>
        <w:rPr>
          <w:sz w:val="20"/>
          <w:szCs w:val="20"/>
          <w:color w:val="auto"/>
        </w:rPr>
      </w:pPr>
      <w:r>
        <w:rPr>
          <w:rFonts w:ascii="Times New Roman" w:cs="Times New Roman" w:eastAsia="Times New Roman" w:hAnsi="Times New Roman"/>
          <w:sz w:val="19"/>
          <w:szCs w:val="19"/>
          <w:color w:val="auto"/>
        </w:rPr>
        <w:t>By: HPS Investment Partners, LLC, its Investment</w:t>
      </w:r>
    </w:p>
    <w:p>
      <w:pPr>
        <w:spacing w:after="0" w:line="11"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20"/>
          <w:szCs w:val="20"/>
          <w:color w:val="auto"/>
        </w:rPr>
        <w:t>Manager</w:t>
      </w:r>
    </w:p>
    <w:p>
      <w:pPr>
        <w:spacing w:after="0" w:line="200" w:lineRule="exact"/>
        <w:rPr>
          <w:sz w:val="20"/>
          <w:szCs w:val="20"/>
          <w:color w:val="auto"/>
        </w:rPr>
      </w:pPr>
    </w:p>
    <w:p>
      <w:pPr>
        <w:spacing w:after="0" w:line="237" w:lineRule="exact"/>
        <w:rPr>
          <w:sz w:val="20"/>
          <w:szCs w:val="20"/>
          <w:color w:val="auto"/>
        </w:rPr>
      </w:pPr>
    </w:p>
    <w:p>
      <w:pPr>
        <w:ind w:left="4420"/>
        <w:spacing w:after="0"/>
        <w:tabs>
          <w:tab w:leader="none" w:pos="6360" w:val="left"/>
          <w:tab w:leader="none" w:pos="7000" w:val="left"/>
          <w:tab w:leader="none" w:pos="7640" w:val="left"/>
        </w:tabs>
        <w:rPr>
          <w:sz w:val="20"/>
          <w:szCs w:val="20"/>
          <w:color w:val="auto"/>
        </w:rPr>
      </w:pPr>
      <w:r>
        <w:rPr>
          <w:rFonts w:ascii="Times New Roman" w:cs="Times New Roman" w:eastAsia="Times New Roman" w:hAnsi="Times New Roman"/>
          <w:sz w:val="20"/>
          <w:szCs w:val="20"/>
          <w:color w:val="auto"/>
        </w:rPr>
        <w:t>By: /s/ Daniel Zevnik</w:t>
        <w:tab/>
        <w:t>​</w:t>
      </w:r>
      <w:r>
        <w:rPr>
          <w:sz w:val="20"/>
          <w:szCs w:val="20"/>
          <w:color w:val="auto"/>
        </w:rPr>
        <w:tab/>
      </w:r>
      <w:r>
        <w:rPr>
          <w:rFonts w:ascii="Times New Roman" w:cs="Times New Roman" w:eastAsia="Times New Roman" w:hAnsi="Times New Roman"/>
          <w:sz w:val="20"/>
          <w:szCs w:val="20"/>
          <w:color w:val="auto"/>
        </w:rPr>
        <w:t>​</w:t>
      </w:r>
      <w:r>
        <w:rPr>
          <w:sz w:val="20"/>
          <w:szCs w:val="20"/>
          <w:color w:val="auto"/>
        </w:rPr>
        <w:tab/>
      </w:r>
      <w:r>
        <w:rPr>
          <w:rFonts w:ascii="Times New Roman" w:cs="Times New Roman" w:eastAsia="Times New Roman" w:hAnsi="Times New Roman"/>
          <w:sz w:val="20"/>
          <w:szCs w:val="20"/>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2993390</wp:posOffset>
            </wp:positionH>
            <wp:positionV relativeFrom="paragraph">
              <wp:posOffset>-10795</wp:posOffset>
            </wp:positionV>
            <wp:extent cx="2283460" cy="889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106">
                      <a:extLst>
                        <a:ext uri="{28A0092B-C50C-407E-A947-70E740481C1C}"/>
                      </a:extLst>
                    </a:blip>
                    <a:srcRect/>
                    <a:stretch>
                      <a:fillRect/>
                    </a:stretch>
                  </pic:blipFill>
                  <pic:spPr bwMode="auto">
                    <a:xfrm>
                      <a:off x="0" y="0"/>
                      <a:ext cx="2283460" cy="8890"/>
                    </a:xfrm>
                    <a:prstGeom prst="rect">
                      <a:avLst/>
                    </a:prstGeom>
                    <a:noFill/>
                  </pic:spPr>
                </pic:pic>
              </a:graphicData>
            </a:graphic>
          </wp:anchor>
        </w:drawing>
      </w:r>
    </w:p>
    <w:p>
      <w:pPr>
        <w:spacing w:after="0" w:line="1" w:lineRule="exact"/>
        <w:rPr>
          <w:sz w:val="20"/>
          <w:szCs w:val="20"/>
          <w:color w:val="auto"/>
        </w:rPr>
      </w:pPr>
    </w:p>
    <w:p>
      <w:pPr>
        <w:ind w:left="4760"/>
        <w:spacing w:after="0"/>
        <w:rPr>
          <w:sz w:val="20"/>
          <w:szCs w:val="20"/>
          <w:color w:val="auto"/>
        </w:rPr>
      </w:pPr>
      <w:r>
        <w:rPr>
          <w:rFonts w:ascii="Times New Roman" w:cs="Times New Roman" w:eastAsia="Times New Roman" w:hAnsi="Times New Roman"/>
          <w:sz w:val="20"/>
          <w:szCs w:val="20"/>
          <w:color w:val="auto"/>
        </w:rPr>
        <w:t>Name: Daniel Zevnik</w:t>
      </w:r>
    </w:p>
    <w:p>
      <w:pPr>
        <w:ind w:left="5080"/>
        <w:spacing w:after="0"/>
        <w:rPr>
          <w:sz w:val="20"/>
          <w:szCs w:val="20"/>
          <w:color w:val="auto"/>
        </w:rPr>
      </w:pPr>
      <w:r>
        <w:rPr>
          <w:rFonts w:ascii="Times New Roman" w:cs="Times New Roman" w:eastAsia="Times New Roman" w:hAnsi="Times New Roman"/>
          <w:sz w:val="20"/>
          <w:szCs w:val="20"/>
          <w:color w:val="auto"/>
        </w:rPr>
        <w:t>Title: Managing Director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4"/>
          <w:szCs w:val="14"/>
          <w:color w:val="auto"/>
        </w:rPr>
        <w:t>US-DOCS\171161013.8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339725</wp:posOffset>
            </wp:positionH>
            <wp:positionV relativeFrom="paragraph">
              <wp:posOffset>349250</wp:posOffset>
            </wp:positionV>
            <wp:extent cx="5040630" cy="2540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107">
                      <a:extLst>
                        <a:ext uri="{28A0092B-C50C-407E-A947-70E740481C1C}"/>
                      </a:extLst>
                    </a:blip>
                    <a:srcRect/>
                    <a:stretch>
                      <a:fillRect/>
                    </a:stretch>
                  </pic:blipFill>
                  <pic:spPr bwMode="auto">
                    <a:xfrm>
                      <a:off x="0" y="0"/>
                      <a:ext cx="5040630" cy="25400"/>
                    </a:xfrm>
                    <a:prstGeom prst="rect">
                      <a:avLst/>
                    </a:prstGeom>
                    <a:noFill/>
                  </pic:spPr>
                </pic:pic>
              </a:graphicData>
            </a:graphic>
          </wp:anchor>
        </w:drawing>
      </w:r>
    </w:p>
    <w:p>
      <w:pPr>
        <w:sectPr>
          <w:pgSz w:w="11900" w:h="16838" w:orient="portrait"/>
          <w:cols w:equalWidth="0" w:num="1">
            <w:col w:w="9019"/>
          </w:cols>
          <w:pgMar w:left="1440" w:top="900" w:right="1440" w:bottom="1440" w:gutter="0" w:footer="0" w:header="0"/>
        </w:sectPr>
      </w:pPr>
    </w:p>
    <w:bookmarkStart w:id="73" w:name="page74"/>
    <w:bookmarkEnd w:id="73"/>
    <w:p>
      <w:pPr>
        <w:ind w:left="4420"/>
        <w:spacing w:after="0"/>
        <w:rPr>
          <w:sz w:val="20"/>
          <w:szCs w:val="20"/>
          <w:color w:val="auto"/>
        </w:rPr>
      </w:pPr>
      <w:r>
        <w:rPr>
          <w:rFonts w:ascii="Times New Roman" w:cs="Times New Roman" w:eastAsia="Times New Roman" w:hAnsi="Times New Roman"/>
          <w:sz w:val="20"/>
          <w:szCs w:val="20"/>
          <w:color w:val="auto"/>
        </w:rPr>
        <w:t>HUDSON KETTLE CLO 2025, LLC,</w:t>
      </w:r>
    </w:p>
    <w:p>
      <w:pPr>
        <w:spacing w:after="0" w:line="21"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20"/>
          <w:szCs w:val="20"/>
          <w:color w:val="auto"/>
        </w:rPr>
        <w:t>as a Lender</w:t>
      </w:r>
    </w:p>
    <w:p>
      <w:pPr>
        <w:ind w:left="4420"/>
        <w:spacing w:after="0"/>
        <w:rPr>
          <w:sz w:val="20"/>
          <w:szCs w:val="20"/>
          <w:color w:val="auto"/>
        </w:rPr>
      </w:pPr>
      <w:r>
        <w:rPr>
          <w:rFonts w:ascii="Times New Roman" w:cs="Times New Roman" w:eastAsia="Times New Roman" w:hAnsi="Times New Roman"/>
          <w:sz w:val="19"/>
          <w:szCs w:val="19"/>
          <w:color w:val="auto"/>
        </w:rPr>
        <w:t>By: HPS Investment Partners, LLC, its Investment</w:t>
      </w:r>
    </w:p>
    <w:p>
      <w:pPr>
        <w:spacing w:after="0" w:line="11"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20"/>
          <w:szCs w:val="20"/>
          <w:color w:val="auto"/>
        </w:rPr>
        <w:t>Manager</w:t>
      </w:r>
    </w:p>
    <w:p>
      <w:pPr>
        <w:spacing w:after="0" w:line="200" w:lineRule="exact"/>
        <w:rPr>
          <w:sz w:val="20"/>
          <w:szCs w:val="20"/>
          <w:color w:val="auto"/>
        </w:rPr>
      </w:pPr>
    </w:p>
    <w:p>
      <w:pPr>
        <w:spacing w:after="0" w:line="237" w:lineRule="exact"/>
        <w:rPr>
          <w:sz w:val="20"/>
          <w:szCs w:val="20"/>
          <w:color w:val="auto"/>
        </w:rPr>
      </w:pPr>
    </w:p>
    <w:p>
      <w:pPr>
        <w:ind w:left="4420"/>
        <w:spacing w:after="0"/>
        <w:tabs>
          <w:tab w:leader="none" w:pos="6360" w:val="left"/>
          <w:tab w:leader="none" w:pos="7000" w:val="left"/>
          <w:tab w:leader="none" w:pos="7640" w:val="left"/>
        </w:tabs>
        <w:rPr>
          <w:sz w:val="20"/>
          <w:szCs w:val="20"/>
          <w:color w:val="auto"/>
        </w:rPr>
      </w:pPr>
      <w:r>
        <w:rPr>
          <w:rFonts w:ascii="Times New Roman" w:cs="Times New Roman" w:eastAsia="Times New Roman" w:hAnsi="Times New Roman"/>
          <w:sz w:val="20"/>
          <w:szCs w:val="20"/>
          <w:color w:val="auto"/>
        </w:rPr>
        <w:t>By: /s/ Daniel Zevnik</w:t>
        <w:tab/>
        <w:t>​</w:t>
      </w:r>
      <w:r>
        <w:rPr>
          <w:sz w:val="20"/>
          <w:szCs w:val="20"/>
          <w:color w:val="auto"/>
        </w:rPr>
        <w:tab/>
      </w:r>
      <w:r>
        <w:rPr>
          <w:rFonts w:ascii="Times New Roman" w:cs="Times New Roman" w:eastAsia="Times New Roman" w:hAnsi="Times New Roman"/>
          <w:sz w:val="20"/>
          <w:szCs w:val="20"/>
          <w:color w:val="auto"/>
        </w:rPr>
        <w:t>​</w:t>
      </w:r>
      <w:r>
        <w:rPr>
          <w:sz w:val="20"/>
          <w:szCs w:val="20"/>
          <w:color w:val="auto"/>
        </w:rPr>
        <w:tab/>
      </w:r>
      <w:r>
        <w:rPr>
          <w:rFonts w:ascii="Times New Roman" w:cs="Times New Roman" w:eastAsia="Times New Roman" w:hAnsi="Times New Roman"/>
          <w:sz w:val="20"/>
          <w:szCs w:val="20"/>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2993390</wp:posOffset>
            </wp:positionH>
            <wp:positionV relativeFrom="paragraph">
              <wp:posOffset>-10795</wp:posOffset>
            </wp:positionV>
            <wp:extent cx="2283460" cy="825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8">
                      <a:extLst>
                        <a:ext uri="{28A0092B-C50C-407E-A947-70E740481C1C}"/>
                      </a:extLst>
                    </a:blip>
                    <a:srcRect/>
                    <a:stretch>
                      <a:fillRect/>
                    </a:stretch>
                  </pic:blipFill>
                  <pic:spPr bwMode="auto">
                    <a:xfrm>
                      <a:off x="0" y="0"/>
                      <a:ext cx="2283460" cy="8255"/>
                    </a:xfrm>
                    <a:prstGeom prst="rect">
                      <a:avLst/>
                    </a:prstGeom>
                    <a:noFill/>
                  </pic:spPr>
                </pic:pic>
              </a:graphicData>
            </a:graphic>
          </wp:anchor>
        </w:drawing>
      </w:r>
    </w:p>
    <w:p>
      <w:pPr>
        <w:spacing w:after="0" w:line="1" w:lineRule="exact"/>
        <w:rPr>
          <w:sz w:val="20"/>
          <w:szCs w:val="20"/>
          <w:color w:val="auto"/>
        </w:rPr>
      </w:pPr>
    </w:p>
    <w:p>
      <w:pPr>
        <w:ind w:left="4760"/>
        <w:spacing w:after="0"/>
        <w:rPr>
          <w:sz w:val="20"/>
          <w:szCs w:val="20"/>
          <w:color w:val="auto"/>
        </w:rPr>
      </w:pPr>
      <w:r>
        <w:rPr>
          <w:rFonts w:ascii="Times New Roman" w:cs="Times New Roman" w:eastAsia="Times New Roman" w:hAnsi="Times New Roman"/>
          <w:sz w:val="20"/>
          <w:szCs w:val="20"/>
          <w:color w:val="auto"/>
        </w:rPr>
        <w:t>Name: Daniel Zevnik</w:t>
      </w:r>
    </w:p>
    <w:p>
      <w:pPr>
        <w:ind w:left="5080"/>
        <w:spacing w:after="0"/>
        <w:rPr>
          <w:sz w:val="20"/>
          <w:szCs w:val="20"/>
          <w:color w:val="auto"/>
        </w:rPr>
      </w:pPr>
      <w:r>
        <w:rPr>
          <w:rFonts w:ascii="Times New Roman" w:cs="Times New Roman" w:eastAsia="Times New Roman" w:hAnsi="Times New Roman"/>
          <w:sz w:val="20"/>
          <w:szCs w:val="20"/>
          <w:color w:val="auto"/>
        </w:rPr>
        <w:t>Title: Managing Director</w:t>
      </w:r>
    </w:p>
    <w:p>
      <w:pPr>
        <w:spacing w:after="0" w:line="207"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20"/>
          <w:szCs w:val="20"/>
          <w:color w:val="auto"/>
        </w:rPr>
        <w:t>SLF V INTERNATIONAL-L HOLDINGS, L.P,</w:t>
      </w:r>
    </w:p>
    <w:p>
      <w:pPr>
        <w:spacing w:after="0" w:line="21"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20"/>
          <w:szCs w:val="20"/>
          <w:color w:val="auto"/>
        </w:rPr>
        <w:t>as a Lender</w:t>
      </w:r>
    </w:p>
    <w:p>
      <w:pPr>
        <w:ind w:left="4420"/>
        <w:spacing w:after="0"/>
        <w:rPr>
          <w:sz w:val="20"/>
          <w:szCs w:val="20"/>
          <w:color w:val="auto"/>
        </w:rPr>
      </w:pPr>
      <w:r>
        <w:rPr>
          <w:rFonts w:ascii="Times New Roman" w:cs="Times New Roman" w:eastAsia="Times New Roman" w:hAnsi="Times New Roman"/>
          <w:sz w:val="19"/>
          <w:szCs w:val="19"/>
          <w:color w:val="auto"/>
        </w:rPr>
        <w:t>By: HPS Investment Partners, LLC, its Investment</w:t>
      </w:r>
    </w:p>
    <w:p>
      <w:pPr>
        <w:spacing w:after="0" w:line="11"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20"/>
          <w:szCs w:val="20"/>
          <w:color w:val="auto"/>
        </w:rPr>
        <w:t>Manager</w:t>
      </w:r>
    </w:p>
    <w:p>
      <w:pPr>
        <w:spacing w:after="0" w:line="200" w:lineRule="exact"/>
        <w:rPr>
          <w:sz w:val="20"/>
          <w:szCs w:val="20"/>
          <w:color w:val="auto"/>
        </w:rPr>
      </w:pPr>
    </w:p>
    <w:p>
      <w:pPr>
        <w:spacing w:after="0" w:line="237" w:lineRule="exact"/>
        <w:rPr>
          <w:sz w:val="20"/>
          <w:szCs w:val="20"/>
          <w:color w:val="auto"/>
        </w:rPr>
      </w:pPr>
    </w:p>
    <w:p>
      <w:pPr>
        <w:ind w:left="4420"/>
        <w:spacing w:after="0"/>
        <w:tabs>
          <w:tab w:leader="none" w:pos="6360" w:val="left"/>
          <w:tab w:leader="none" w:pos="7000" w:val="left"/>
          <w:tab w:leader="none" w:pos="7640" w:val="left"/>
        </w:tabs>
        <w:rPr>
          <w:sz w:val="20"/>
          <w:szCs w:val="20"/>
          <w:color w:val="auto"/>
        </w:rPr>
      </w:pPr>
      <w:r>
        <w:rPr>
          <w:rFonts w:ascii="Times New Roman" w:cs="Times New Roman" w:eastAsia="Times New Roman" w:hAnsi="Times New Roman"/>
          <w:sz w:val="20"/>
          <w:szCs w:val="20"/>
          <w:color w:val="auto"/>
        </w:rPr>
        <w:t>By: /s/ Daniel Zevnik</w:t>
        <w:tab/>
        <w:t>​</w:t>
      </w:r>
      <w:r>
        <w:rPr>
          <w:sz w:val="20"/>
          <w:szCs w:val="20"/>
          <w:color w:val="auto"/>
        </w:rPr>
        <w:tab/>
      </w:r>
      <w:r>
        <w:rPr>
          <w:rFonts w:ascii="Times New Roman" w:cs="Times New Roman" w:eastAsia="Times New Roman" w:hAnsi="Times New Roman"/>
          <w:sz w:val="20"/>
          <w:szCs w:val="20"/>
          <w:color w:val="auto"/>
        </w:rPr>
        <w:t>​</w:t>
      </w:r>
      <w:r>
        <w:rPr>
          <w:sz w:val="20"/>
          <w:szCs w:val="20"/>
          <w:color w:val="auto"/>
        </w:rPr>
        <w:tab/>
      </w:r>
      <w:r>
        <w:rPr>
          <w:rFonts w:ascii="Times New Roman" w:cs="Times New Roman" w:eastAsia="Times New Roman" w:hAnsi="Times New Roman"/>
          <w:sz w:val="20"/>
          <w:szCs w:val="20"/>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2993390</wp:posOffset>
            </wp:positionH>
            <wp:positionV relativeFrom="paragraph">
              <wp:posOffset>-10795</wp:posOffset>
            </wp:positionV>
            <wp:extent cx="2283460" cy="825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9">
                      <a:extLst>
                        <a:ext uri="{28A0092B-C50C-407E-A947-70E740481C1C}"/>
                      </a:extLst>
                    </a:blip>
                    <a:srcRect/>
                    <a:stretch>
                      <a:fillRect/>
                    </a:stretch>
                  </pic:blipFill>
                  <pic:spPr bwMode="auto">
                    <a:xfrm>
                      <a:off x="0" y="0"/>
                      <a:ext cx="2283460" cy="8255"/>
                    </a:xfrm>
                    <a:prstGeom prst="rect">
                      <a:avLst/>
                    </a:prstGeom>
                    <a:noFill/>
                  </pic:spPr>
                </pic:pic>
              </a:graphicData>
            </a:graphic>
          </wp:anchor>
        </w:drawing>
      </w:r>
    </w:p>
    <w:p>
      <w:pPr>
        <w:spacing w:after="0" w:line="1" w:lineRule="exact"/>
        <w:rPr>
          <w:sz w:val="20"/>
          <w:szCs w:val="20"/>
          <w:color w:val="auto"/>
        </w:rPr>
      </w:pPr>
    </w:p>
    <w:p>
      <w:pPr>
        <w:ind w:left="4760"/>
        <w:spacing w:after="0"/>
        <w:rPr>
          <w:sz w:val="20"/>
          <w:szCs w:val="20"/>
          <w:color w:val="auto"/>
        </w:rPr>
      </w:pPr>
      <w:r>
        <w:rPr>
          <w:rFonts w:ascii="Times New Roman" w:cs="Times New Roman" w:eastAsia="Times New Roman" w:hAnsi="Times New Roman"/>
          <w:sz w:val="20"/>
          <w:szCs w:val="20"/>
          <w:color w:val="auto"/>
        </w:rPr>
        <w:t>Name: Daniel Zevnik</w:t>
      </w:r>
    </w:p>
    <w:p>
      <w:pPr>
        <w:ind w:left="5080"/>
        <w:spacing w:after="0"/>
        <w:rPr>
          <w:sz w:val="20"/>
          <w:szCs w:val="20"/>
          <w:color w:val="auto"/>
        </w:rPr>
      </w:pPr>
      <w:r>
        <w:rPr>
          <w:rFonts w:ascii="Times New Roman" w:cs="Times New Roman" w:eastAsia="Times New Roman" w:hAnsi="Times New Roman"/>
          <w:sz w:val="20"/>
          <w:szCs w:val="20"/>
          <w:color w:val="auto"/>
        </w:rPr>
        <w:t>Title: Managing Director</w:t>
      </w:r>
    </w:p>
    <w:p>
      <w:pPr>
        <w:spacing w:after="0" w:line="207"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20"/>
          <w:szCs w:val="20"/>
          <w:color w:val="auto"/>
        </w:rPr>
        <w:t>SLF VI INTERNATIONAL-L HOLDINGS B,</w:t>
      </w:r>
    </w:p>
    <w:p>
      <w:pPr>
        <w:spacing w:after="0" w:line="21"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20"/>
          <w:szCs w:val="20"/>
          <w:color w:val="auto"/>
        </w:rPr>
        <w:t>L.P,</w:t>
      </w:r>
    </w:p>
    <w:p>
      <w:pPr>
        <w:ind w:left="4420"/>
        <w:spacing w:after="0"/>
        <w:rPr>
          <w:sz w:val="20"/>
          <w:szCs w:val="20"/>
          <w:color w:val="auto"/>
        </w:rPr>
      </w:pPr>
      <w:r>
        <w:rPr>
          <w:rFonts w:ascii="Times New Roman" w:cs="Times New Roman" w:eastAsia="Times New Roman" w:hAnsi="Times New Roman"/>
          <w:sz w:val="20"/>
          <w:szCs w:val="20"/>
          <w:color w:val="auto"/>
        </w:rPr>
        <w:t>as a Lender</w:t>
      </w:r>
    </w:p>
    <w:p>
      <w:pPr>
        <w:ind w:left="4420"/>
        <w:spacing w:after="0"/>
        <w:rPr>
          <w:sz w:val="20"/>
          <w:szCs w:val="20"/>
          <w:color w:val="auto"/>
        </w:rPr>
      </w:pPr>
      <w:r>
        <w:rPr>
          <w:rFonts w:ascii="Times New Roman" w:cs="Times New Roman" w:eastAsia="Times New Roman" w:hAnsi="Times New Roman"/>
          <w:sz w:val="19"/>
          <w:szCs w:val="19"/>
          <w:color w:val="auto"/>
        </w:rPr>
        <w:t>By: HPS Investment Partners, LLC, its Investment</w:t>
      </w:r>
    </w:p>
    <w:p>
      <w:pPr>
        <w:spacing w:after="0" w:line="11"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20"/>
          <w:szCs w:val="20"/>
          <w:color w:val="auto"/>
        </w:rPr>
        <w:t>Manager</w:t>
      </w:r>
    </w:p>
    <w:p>
      <w:pPr>
        <w:spacing w:after="0" w:line="200" w:lineRule="exact"/>
        <w:rPr>
          <w:sz w:val="20"/>
          <w:szCs w:val="20"/>
          <w:color w:val="auto"/>
        </w:rPr>
      </w:pPr>
    </w:p>
    <w:p>
      <w:pPr>
        <w:spacing w:after="0" w:line="237" w:lineRule="exact"/>
        <w:rPr>
          <w:sz w:val="20"/>
          <w:szCs w:val="20"/>
          <w:color w:val="auto"/>
        </w:rPr>
      </w:pPr>
    </w:p>
    <w:p>
      <w:pPr>
        <w:ind w:left="4420"/>
        <w:spacing w:after="0"/>
        <w:tabs>
          <w:tab w:leader="none" w:pos="6360" w:val="left"/>
          <w:tab w:leader="none" w:pos="7000" w:val="left"/>
          <w:tab w:leader="none" w:pos="7640" w:val="left"/>
        </w:tabs>
        <w:rPr>
          <w:sz w:val="20"/>
          <w:szCs w:val="20"/>
          <w:color w:val="auto"/>
        </w:rPr>
      </w:pPr>
      <w:r>
        <w:rPr>
          <w:rFonts w:ascii="Times New Roman" w:cs="Times New Roman" w:eastAsia="Times New Roman" w:hAnsi="Times New Roman"/>
          <w:sz w:val="20"/>
          <w:szCs w:val="20"/>
          <w:color w:val="auto"/>
        </w:rPr>
        <w:t>By: /s/ Daniel Zevnik</w:t>
        <w:tab/>
        <w:t>​</w:t>
      </w:r>
      <w:r>
        <w:rPr>
          <w:sz w:val="20"/>
          <w:szCs w:val="20"/>
          <w:color w:val="auto"/>
        </w:rPr>
        <w:tab/>
      </w:r>
      <w:r>
        <w:rPr>
          <w:rFonts w:ascii="Times New Roman" w:cs="Times New Roman" w:eastAsia="Times New Roman" w:hAnsi="Times New Roman"/>
          <w:sz w:val="20"/>
          <w:szCs w:val="20"/>
          <w:color w:val="auto"/>
        </w:rPr>
        <w:t>​</w:t>
      </w:r>
      <w:r>
        <w:rPr>
          <w:sz w:val="20"/>
          <w:szCs w:val="20"/>
          <w:color w:val="auto"/>
        </w:rPr>
        <w:tab/>
      </w:r>
      <w:r>
        <w:rPr>
          <w:rFonts w:ascii="Times New Roman" w:cs="Times New Roman" w:eastAsia="Times New Roman" w:hAnsi="Times New Roman"/>
          <w:sz w:val="20"/>
          <w:szCs w:val="20"/>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2993390</wp:posOffset>
            </wp:positionH>
            <wp:positionV relativeFrom="paragraph">
              <wp:posOffset>-10795</wp:posOffset>
            </wp:positionV>
            <wp:extent cx="2283460" cy="825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10">
                      <a:extLst>
                        <a:ext uri="{28A0092B-C50C-407E-A947-70E740481C1C}"/>
                      </a:extLst>
                    </a:blip>
                    <a:srcRect/>
                    <a:stretch>
                      <a:fillRect/>
                    </a:stretch>
                  </pic:blipFill>
                  <pic:spPr bwMode="auto">
                    <a:xfrm>
                      <a:off x="0" y="0"/>
                      <a:ext cx="2283460" cy="8255"/>
                    </a:xfrm>
                    <a:prstGeom prst="rect">
                      <a:avLst/>
                    </a:prstGeom>
                    <a:noFill/>
                  </pic:spPr>
                </pic:pic>
              </a:graphicData>
            </a:graphic>
          </wp:anchor>
        </w:drawing>
      </w:r>
    </w:p>
    <w:p>
      <w:pPr>
        <w:spacing w:after="0" w:line="1" w:lineRule="exact"/>
        <w:rPr>
          <w:sz w:val="20"/>
          <w:szCs w:val="20"/>
          <w:color w:val="auto"/>
        </w:rPr>
      </w:pPr>
    </w:p>
    <w:p>
      <w:pPr>
        <w:ind w:left="4760"/>
        <w:spacing w:after="0"/>
        <w:rPr>
          <w:sz w:val="20"/>
          <w:szCs w:val="20"/>
          <w:color w:val="auto"/>
        </w:rPr>
      </w:pPr>
      <w:r>
        <w:rPr>
          <w:rFonts w:ascii="Times New Roman" w:cs="Times New Roman" w:eastAsia="Times New Roman" w:hAnsi="Times New Roman"/>
          <w:sz w:val="20"/>
          <w:szCs w:val="20"/>
          <w:color w:val="auto"/>
        </w:rPr>
        <w:t>Name: Daniel Zevnik</w:t>
      </w:r>
    </w:p>
    <w:p>
      <w:pPr>
        <w:ind w:left="5080"/>
        <w:spacing w:after="0"/>
        <w:rPr>
          <w:sz w:val="20"/>
          <w:szCs w:val="20"/>
          <w:color w:val="auto"/>
        </w:rPr>
      </w:pPr>
      <w:r>
        <w:rPr>
          <w:rFonts w:ascii="Times New Roman" w:cs="Times New Roman" w:eastAsia="Times New Roman" w:hAnsi="Times New Roman"/>
          <w:sz w:val="20"/>
          <w:szCs w:val="20"/>
          <w:color w:val="auto"/>
        </w:rPr>
        <w:t>Title: Managing Director</w:t>
      </w:r>
    </w:p>
    <w:p>
      <w:pPr>
        <w:spacing w:after="0" w:line="207"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20"/>
          <w:szCs w:val="20"/>
          <w:color w:val="auto"/>
        </w:rPr>
        <w:t>SLF V-L HOLDINGS B, SCSP,</w:t>
      </w:r>
    </w:p>
    <w:p>
      <w:pPr>
        <w:spacing w:after="0" w:line="21"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20"/>
          <w:szCs w:val="20"/>
          <w:color w:val="auto"/>
        </w:rPr>
        <w:t>as a Lender</w:t>
      </w:r>
    </w:p>
    <w:p>
      <w:pPr>
        <w:ind w:left="4420"/>
        <w:spacing w:after="0"/>
        <w:rPr>
          <w:sz w:val="20"/>
          <w:szCs w:val="20"/>
          <w:color w:val="auto"/>
        </w:rPr>
      </w:pPr>
      <w:r>
        <w:rPr>
          <w:rFonts w:ascii="Times New Roman" w:cs="Times New Roman" w:eastAsia="Times New Roman" w:hAnsi="Times New Roman"/>
          <w:sz w:val="20"/>
          <w:szCs w:val="20"/>
          <w:color w:val="auto"/>
        </w:rPr>
        <w:t>By: HPS Investment Partners, LLC, its Portfolio</w:t>
      </w:r>
    </w:p>
    <w:p>
      <w:pPr>
        <w:ind w:left="4420"/>
        <w:spacing w:after="0"/>
        <w:rPr>
          <w:sz w:val="20"/>
          <w:szCs w:val="20"/>
          <w:color w:val="auto"/>
        </w:rPr>
      </w:pPr>
      <w:r>
        <w:rPr>
          <w:rFonts w:ascii="Times New Roman" w:cs="Times New Roman" w:eastAsia="Times New Roman" w:hAnsi="Times New Roman"/>
          <w:sz w:val="20"/>
          <w:szCs w:val="20"/>
          <w:color w:val="auto"/>
        </w:rPr>
        <w:t>Manager</w:t>
      </w:r>
    </w:p>
    <w:p>
      <w:pPr>
        <w:spacing w:after="0" w:line="200" w:lineRule="exact"/>
        <w:rPr>
          <w:sz w:val="20"/>
          <w:szCs w:val="20"/>
          <w:color w:val="auto"/>
        </w:rPr>
      </w:pPr>
    </w:p>
    <w:p>
      <w:pPr>
        <w:spacing w:after="0" w:line="237" w:lineRule="exact"/>
        <w:rPr>
          <w:sz w:val="20"/>
          <w:szCs w:val="20"/>
          <w:color w:val="auto"/>
        </w:rPr>
      </w:pPr>
    </w:p>
    <w:p>
      <w:pPr>
        <w:ind w:left="4420"/>
        <w:spacing w:after="0"/>
        <w:tabs>
          <w:tab w:leader="none" w:pos="6360" w:val="left"/>
          <w:tab w:leader="none" w:pos="7000" w:val="left"/>
          <w:tab w:leader="none" w:pos="7640" w:val="left"/>
        </w:tabs>
        <w:rPr>
          <w:sz w:val="20"/>
          <w:szCs w:val="20"/>
          <w:color w:val="auto"/>
        </w:rPr>
      </w:pPr>
      <w:r>
        <w:rPr>
          <w:rFonts w:ascii="Times New Roman" w:cs="Times New Roman" w:eastAsia="Times New Roman" w:hAnsi="Times New Roman"/>
          <w:sz w:val="20"/>
          <w:szCs w:val="20"/>
          <w:color w:val="auto"/>
        </w:rPr>
        <w:t>By: /s/ Daniel Zevnik</w:t>
        <w:tab/>
        <w:t>​</w:t>
      </w:r>
      <w:r>
        <w:rPr>
          <w:sz w:val="20"/>
          <w:szCs w:val="20"/>
          <w:color w:val="auto"/>
        </w:rPr>
        <w:tab/>
      </w:r>
      <w:r>
        <w:rPr>
          <w:rFonts w:ascii="Times New Roman" w:cs="Times New Roman" w:eastAsia="Times New Roman" w:hAnsi="Times New Roman"/>
          <w:sz w:val="20"/>
          <w:szCs w:val="20"/>
          <w:color w:val="auto"/>
        </w:rPr>
        <w:t>​</w:t>
      </w:r>
      <w:r>
        <w:rPr>
          <w:sz w:val="20"/>
          <w:szCs w:val="20"/>
          <w:color w:val="auto"/>
        </w:rPr>
        <w:tab/>
      </w:r>
      <w:r>
        <w:rPr>
          <w:rFonts w:ascii="Times New Roman" w:cs="Times New Roman" w:eastAsia="Times New Roman" w:hAnsi="Times New Roman"/>
          <w:sz w:val="20"/>
          <w:szCs w:val="20"/>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2993390</wp:posOffset>
            </wp:positionH>
            <wp:positionV relativeFrom="paragraph">
              <wp:posOffset>-10795</wp:posOffset>
            </wp:positionV>
            <wp:extent cx="2283460" cy="889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11">
                      <a:extLst>
                        <a:ext uri="{28A0092B-C50C-407E-A947-70E740481C1C}"/>
                      </a:extLst>
                    </a:blip>
                    <a:srcRect/>
                    <a:stretch>
                      <a:fillRect/>
                    </a:stretch>
                  </pic:blipFill>
                  <pic:spPr bwMode="auto">
                    <a:xfrm>
                      <a:off x="0" y="0"/>
                      <a:ext cx="2283460" cy="8890"/>
                    </a:xfrm>
                    <a:prstGeom prst="rect">
                      <a:avLst/>
                    </a:prstGeom>
                    <a:noFill/>
                  </pic:spPr>
                </pic:pic>
              </a:graphicData>
            </a:graphic>
          </wp:anchor>
        </w:drawing>
      </w:r>
    </w:p>
    <w:p>
      <w:pPr>
        <w:spacing w:after="0" w:line="1" w:lineRule="exact"/>
        <w:rPr>
          <w:sz w:val="20"/>
          <w:szCs w:val="20"/>
          <w:color w:val="auto"/>
        </w:rPr>
      </w:pPr>
    </w:p>
    <w:p>
      <w:pPr>
        <w:ind w:left="4760"/>
        <w:spacing w:after="0"/>
        <w:rPr>
          <w:sz w:val="20"/>
          <w:szCs w:val="20"/>
          <w:color w:val="auto"/>
        </w:rPr>
      </w:pPr>
      <w:r>
        <w:rPr>
          <w:rFonts w:ascii="Times New Roman" w:cs="Times New Roman" w:eastAsia="Times New Roman" w:hAnsi="Times New Roman"/>
          <w:sz w:val="20"/>
          <w:szCs w:val="20"/>
          <w:color w:val="auto"/>
        </w:rPr>
        <w:t>Name: Daniel Zevnik</w:t>
      </w:r>
    </w:p>
    <w:p>
      <w:pPr>
        <w:ind w:left="5080"/>
        <w:spacing w:after="0"/>
        <w:rPr>
          <w:sz w:val="20"/>
          <w:szCs w:val="20"/>
          <w:color w:val="auto"/>
        </w:rPr>
      </w:pPr>
      <w:r>
        <w:rPr>
          <w:rFonts w:ascii="Times New Roman" w:cs="Times New Roman" w:eastAsia="Times New Roman" w:hAnsi="Times New Roman"/>
          <w:sz w:val="20"/>
          <w:szCs w:val="20"/>
          <w:color w:val="auto"/>
        </w:rPr>
        <w:t>Title: Managing Director</w:t>
      </w:r>
    </w:p>
    <w:p>
      <w:pPr>
        <w:spacing w:after="0" w:line="207"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20"/>
          <w:szCs w:val="20"/>
          <w:color w:val="auto"/>
        </w:rPr>
        <w:t>SLF VI-L HOLDINGS D, SCSP,</w:t>
      </w:r>
    </w:p>
    <w:p>
      <w:pPr>
        <w:spacing w:after="0" w:line="21"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20"/>
          <w:szCs w:val="20"/>
          <w:color w:val="auto"/>
        </w:rPr>
        <w:t>as a Lender</w:t>
      </w:r>
    </w:p>
    <w:p>
      <w:pPr>
        <w:ind w:left="4420"/>
        <w:spacing w:after="0"/>
        <w:rPr>
          <w:sz w:val="20"/>
          <w:szCs w:val="20"/>
          <w:color w:val="auto"/>
        </w:rPr>
      </w:pPr>
      <w:r>
        <w:rPr>
          <w:rFonts w:ascii="Times New Roman" w:cs="Times New Roman" w:eastAsia="Times New Roman" w:hAnsi="Times New Roman"/>
          <w:sz w:val="20"/>
          <w:szCs w:val="20"/>
          <w:color w:val="auto"/>
        </w:rPr>
        <w:t>By: HPS Investment Partners, LLC, its Portfolio</w:t>
      </w:r>
    </w:p>
    <w:p>
      <w:pPr>
        <w:ind w:left="4420"/>
        <w:spacing w:after="0"/>
        <w:rPr>
          <w:sz w:val="20"/>
          <w:szCs w:val="20"/>
          <w:color w:val="auto"/>
        </w:rPr>
      </w:pPr>
      <w:r>
        <w:rPr>
          <w:rFonts w:ascii="Times New Roman" w:cs="Times New Roman" w:eastAsia="Times New Roman" w:hAnsi="Times New Roman"/>
          <w:sz w:val="20"/>
          <w:szCs w:val="20"/>
          <w:color w:val="auto"/>
        </w:rPr>
        <w:t>Manager</w:t>
      </w:r>
    </w:p>
    <w:p>
      <w:pPr>
        <w:spacing w:after="0" w:line="200" w:lineRule="exact"/>
        <w:rPr>
          <w:sz w:val="20"/>
          <w:szCs w:val="20"/>
          <w:color w:val="auto"/>
        </w:rPr>
      </w:pPr>
    </w:p>
    <w:p>
      <w:pPr>
        <w:spacing w:after="0" w:line="237" w:lineRule="exact"/>
        <w:rPr>
          <w:sz w:val="20"/>
          <w:szCs w:val="20"/>
          <w:color w:val="auto"/>
        </w:rPr>
      </w:pPr>
    </w:p>
    <w:p>
      <w:pPr>
        <w:ind w:left="4420"/>
        <w:spacing w:after="0"/>
        <w:tabs>
          <w:tab w:leader="none" w:pos="6360" w:val="left"/>
          <w:tab w:leader="none" w:pos="7000" w:val="left"/>
          <w:tab w:leader="none" w:pos="7640" w:val="left"/>
        </w:tabs>
        <w:rPr>
          <w:sz w:val="20"/>
          <w:szCs w:val="20"/>
          <w:color w:val="auto"/>
        </w:rPr>
      </w:pPr>
      <w:r>
        <w:rPr>
          <w:rFonts w:ascii="Times New Roman" w:cs="Times New Roman" w:eastAsia="Times New Roman" w:hAnsi="Times New Roman"/>
          <w:sz w:val="20"/>
          <w:szCs w:val="20"/>
          <w:color w:val="auto"/>
        </w:rPr>
        <w:t>By: /s/ Daniel Zevnik</w:t>
        <w:tab/>
        <w:t>​</w:t>
      </w:r>
      <w:r>
        <w:rPr>
          <w:sz w:val="20"/>
          <w:szCs w:val="20"/>
          <w:color w:val="auto"/>
        </w:rPr>
        <w:tab/>
      </w:r>
      <w:r>
        <w:rPr>
          <w:rFonts w:ascii="Times New Roman" w:cs="Times New Roman" w:eastAsia="Times New Roman" w:hAnsi="Times New Roman"/>
          <w:sz w:val="20"/>
          <w:szCs w:val="20"/>
          <w:color w:val="auto"/>
        </w:rPr>
        <w:t>​</w:t>
      </w:r>
      <w:r>
        <w:rPr>
          <w:sz w:val="20"/>
          <w:szCs w:val="20"/>
          <w:color w:val="auto"/>
        </w:rPr>
        <w:tab/>
      </w:r>
      <w:r>
        <w:rPr>
          <w:rFonts w:ascii="Times New Roman" w:cs="Times New Roman" w:eastAsia="Times New Roman" w:hAnsi="Times New Roman"/>
          <w:sz w:val="20"/>
          <w:szCs w:val="20"/>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2993390</wp:posOffset>
            </wp:positionH>
            <wp:positionV relativeFrom="paragraph">
              <wp:posOffset>-10795</wp:posOffset>
            </wp:positionV>
            <wp:extent cx="2283460" cy="825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12">
                      <a:extLst>
                        <a:ext uri="{28A0092B-C50C-407E-A947-70E740481C1C}"/>
                      </a:extLst>
                    </a:blip>
                    <a:srcRect/>
                    <a:stretch>
                      <a:fillRect/>
                    </a:stretch>
                  </pic:blipFill>
                  <pic:spPr bwMode="auto">
                    <a:xfrm>
                      <a:off x="0" y="0"/>
                      <a:ext cx="2283460" cy="8255"/>
                    </a:xfrm>
                    <a:prstGeom prst="rect">
                      <a:avLst/>
                    </a:prstGeom>
                    <a:noFill/>
                  </pic:spPr>
                </pic:pic>
              </a:graphicData>
            </a:graphic>
          </wp:anchor>
        </w:drawing>
      </w:r>
    </w:p>
    <w:p>
      <w:pPr>
        <w:spacing w:after="0" w:line="1" w:lineRule="exact"/>
        <w:rPr>
          <w:sz w:val="20"/>
          <w:szCs w:val="20"/>
          <w:color w:val="auto"/>
        </w:rPr>
      </w:pPr>
    </w:p>
    <w:p>
      <w:pPr>
        <w:ind w:left="4760"/>
        <w:spacing w:after="0"/>
        <w:rPr>
          <w:sz w:val="20"/>
          <w:szCs w:val="20"/>
          <w:color w:val="auto"/>
        </w:rPr>
      </w:pPr>
      <w:r>
        <w:rPr>
          <w:rFonts w:ascii="Times New Roman" w:cs="Times New Roman" w:eastAsia="Times New Roman" w:hAnsi="Times New Roman"/>
          <w:sz w:val="20"/>
          <w:szCs w:val="20"/>
          <w:color w:val="auto"/>
        </w:rPr>
        <w:t>Name: Daniel Zevnik</w:t>
      </w:r>
    </w:p>
    <w:p>
      <w:pPr>
        <w:ind w:left="5080"/>
        <w:spacing w:after="0"/>
        <w:rPr>
          <w:sz w:val="20"/>
          <w:szCs w:val="20"/>
          <w:color w:val="auto"/>
        </w:rPr>
      </w:pPr>
      <w:r>
        <w:rPr>
          <w:rFonts w:ascii="Times New Roman" w:cs="Times New Roman" w:eastAsia="Times New Roman" w:hAnsi="Times New Roman"/>
          <w:sz w:val="20"/>
          <w:szCs w:val="20"/>
          <w:color w:val="auto"/>
        </w:rPr>
        <w:t>Title: Managing Director</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4"/>
          <w:szCs w:val="14"/>
          <w:color w:val="auto"/>
        </w:rPr>
        <w:t>US-DOCS\171161013.8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339725</wp:posOffset>
            </wp:positionH>
            <wp:positionV relativeFrom="paragraph">
              <wp:posOffset>349250</wp:posOffset>
            </wp:positionV>
            <wp:extent cx="5040630" cy="2540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13">
                      <a:extLst>
                        <a:ext uri="{28A0092B-C50C-407E-A947-70E740481C1C}"/>
                      </a:extLst>
                    </a:blip>
                    <a:srcRect/>
                    <a:stretch>
                      <a:fillRect/>
                    </a:stretch>
                  </pic:blipFill>
                  <pic:spPr bwMode="auto">
                    <a:xfrm>
                      <a:off x="0" y="0"/>
                      <a:ext cx="5040630" cy="25400"/>
                    </a:xfrm>
                    <a:prstGeom prst="rect">
                      <a:avLst/>
                    </a:prstGeom>
                    <a:noFill/>
                  </pic:spPr>
                </pic:pic>
              </a:graphicData>
            </a:graphic>
          </wp:anchor>
        </w:drawing>
      </w:r>
    </w:p>
    <w:p>
      <w:pPr>
        <w:sectPr>
          <w:pgSz w:w="11900" w:h="16838" w:orient="portrait"/>
          <w:cols w:equalWidth="0" w:num="1">
            <w:col w:w="9019"/>
          </w:cols>
          <w:pgMar w:left="1440" w:top="900" w:right="1440" w:bottom="1440" w:gutter="0" w:footer="0" w:header="0"/>
        </w:sectPr>
      </w:pPr>
    </w:p>
    <w:bookmarkStart w:id="74" w:name="page75"/>
    <w:bookmarkEnd w:id="74"/>
    <w:p>
      <w:pPr>
        <w:ind w:left="4420"/>
        <w:spacing w:after="0"/>
        <w:rPr>
          <w:sz w:val="20"/>
          <w:szCs w:val="20"/>
          <w:color w:val="auto"/>
        </w:rPr>
      </w:pPr>
      <w:r>
        <w:rPr>
          <w:rFonts w:ascii="Times New Roman" w:cs="Times New Roman" w:eastAsia="Times New Roman" w:hAnsi="Times New Roman"/>
          <w:sz w:val="20"/>
          <w:szCs w:val="20"/>
          <w:color w:val="auto"/>
        </w:rPr>
        <w:t>SLF VI-L US HOLDINGS C, SCSP,</w:t>
      </w:r>
    </w:p>
    <w:p>
      <w:pPr>
        <w:spacing w:after="0" w:line="21"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20"/>
          <w:szCs w:val="20"/>
          <w:color w:val="auto"/>
        </w:rPr>
        <w:t>as a Lender</w:t>
      </w:r>
    </w:p>
    <w:p>
      <w:pPr>
        <w:ind w:left="4420"/>
        <w:spacing w:after="0"/>
        <w:rPr>
          <w:sz w:val="20"/>
          <w:szCs w:val="20"/>
          <w:color w:val="auto"/>
        </w:rPr>
      </w:pPr>
      <w:r>
        <w:rPr>
          <w:rFonts w:ascii="Times New Roman" w:cs="Times New Roman" w:eastAsia="Times New Roman" w:hAnsi="Times New Roman"/>
          <w:sz w:val="20"/>
          <w:szCs w:val="20"/>
          <w:color w:val="auto"/>
        </w:rPr>
        <w:t>By: HPS Investment Partners, LLC, its Portfolio</w:t>
      </w:r>
    </w:p>
    <w:p>
      <w:pPr>
        <w:ind w:left="4420"/>
        <w:spacing w:after="0"/>
        <w:rPr>
          <w:sz w:val="20"/>
          <w:szCs w:val="20"/>
          <w:color w:val="auto"/>
        </w:rPr>
      </w:pPr>
      <w:r>
        <w:rPr>
          <w:rFonts w:ascii="Times New Roman" w:cs="Times New Roman" w:eastAsia="Times New Roman" w:hAnsi="Times New Roman"/>
          <w:sz w:val="20"/>
          <w:szCs w:val="20"/>
          <w:color w:val="auto"/>
        </w:rPr>
        <w:t>Manager</w:t>
      </w:r>
    </w:p>
    <w:p>
      <w:pPr>
        <w:spacing w:after="0" w:line="200" w:lineRule="exact"/>
        <w:rPr>
          <w:sz w:val="20"/>
          <w:szCs w:val="20"/>
          <w:color w:val="auto"/>
        </w:rPr>
      </w:pPr>
    </w:p>
    <w:p>
      <w:pPr>
        <w:spacing w:after="0" w:line="237" w:lineRule="exact"/>
        <w:rPr>
          <w:sz w:val="20"/>
          <w:szCs w:val="20"/>
          <w:color w:val="auto"/>
        </w:rPr>
      </w:pPr>
    </w:p>
    <w:p>
      <w:pPr>
        <w:ind w:left="4420"/>
        <w:spacing w:after="0"/>
        <w:tabs>
          <w:tab w:leader="none" w:pos="6360" w:val="left"/>
          <w:tab w:leader="none" w:pos="7000" w:val="left"/>
          <w:tab w:leader="none" w:pos="7640" w:val="left"/>
        </w:tabs>
        <w:rPr>
          <w:sz w:val="20"/>
          <w:szCs w:val="20"/>
          <w:color w:val="auto"/>
        </w:rPr>
      </w:pPr>
      <w:r>
        <w:rPr>
          <w:rFonts w:ascii="Times New Roman" w:cs="Times New Roman" w:eastAsia="Times New Roman" w:hAnsi="Times New Roman"/>
          <w:sz w:val="20"/>
          <w:szCs w:val="20"/>
          <w:color w:val="auto"/>
        </w:rPr>
        <w:t>By: /s/ Daniel Zevnik</w:t>
        <w:tab/>
        <w:t>​</w:t>
      </w:r>
      <w:r>
        <w:rPr>
          <w:sz w:val="20"/>
          <w:szCs w:val="20"/>
          <w:color w:val="auto"/>
        </w:rPr>
        <w:tab/>
      </w:r>
      <w:r>
        <w:rPr>
          <w:rFonts w:ascii="Times New Roman" w:cs="Times New Roman" w:eastAsia="Times New Roman" w:hAnsi="Times New Roman"/>
          <w:sz w:val="20"/>
          <w:szCs w:val="20"/>
          <w:color w:val="auto"/>
        </w:rPr>
        <w:t>​</w:t>
      </w:r>
      <w:r>
        <w:rPr>
          <w:sz w:val="20"/>
          <w:szCs w:val="20"/>
          <w:color w:val="auto"/>
        </w:rPr>
        <w:tab/>
      </w:r>
      <w:r>
        <w:rPr>
          <w:rFonts w:ascii="Times New Roman" w:cs="Times New Roman" w:eastAsia="Times New Roman" w:hAnsi="Times New Roman"/>
          <w:sz w:val="20"/>
          <w:szCs w:val="20"/>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2993390</wp:posOffset>
            </wp:positionH>
            <wp:positionV relativeFrom="paragraph">
              <wp:posOffset>-10795</wp:posOffset>
            </wp:positionV>
            <wp:extent cx="2283460" cy="825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14">
                      <a:extLst>
                        <a:ext uri="{28A0092B-C50C-407E-A947-70E740481C1C}"/>
                      </a:extLst>
                    </a:blip>
                    <a:srcRect/>
                    <a:stretch>
                      <a:fillRect/>
                    </a:stretch>
                  </pic:blipFill>
                  <pic:spPr bwMode="auto">
                    <a:xfrm>
                      <a:off x="0" y="0"/>
                      <a:ext cx="2283460" cy="8255"/>
                    </a:xfrm>
                    <a:prstGeom prst="rect">
                      <a:avLst/>
                    </a:prstGeom>
                    <a:noFill/>
                  </pic:spPr>
                </pic:pic>
              </a:graphicData>
            </a:graphic>
          </wp:anchor>
        </w:drawing>
      </w:r>
    </w:p>
    <w:p>
      <w:pPr>
        <w:spacing w:after="0" w:line="1" w:lineRule="exact"/>
        <w:rPr>
          <w:sz w:val="20"/>
          <w:szCs w:val="20"/>
          <w:color w:val="auto"/>
        </w:rPr>
      </w:pPr>
    </w:p>
    <w:p>
      <w:pPr>
        <w:ind w:left="4760"/>
        <w:spacing w:after="0"/>
        <w:rPr>
          <w:sz w:val="20"/>
          <w:szCs w:val="20"/>
          <w:color w:val="auto"/>
        </w:rPr>
      </w:pPr>
      <w:r>
        <w:rPr>
          <w:rFonts w:ascii="Times New Roman" w:cs="Times New Roman" w:eastAsia="Times New Roman" w:hAnsi="Times New Roman"/>
          <w:sz w:val="20"/>
          <w:szCs w:val="20"/>
          <w:color w:val="auto"/>
        </w:rPr>
        <w:t>Name: Daniel Zevnik</w:t>
      </w:r>
    </w:p>
    <w:p>
      <w:pPr>
        <w:ind w:left="5080"/>
        <w:spacing w:after="0"/>
        <w:rPr>
          <w:sz w:val="20"/>
          <w:szCs w:val="20"/>
          <w:color w:val="auto"/>
        </w:rPr>
      </w:pPr>
      <w:r>
        <w:rPr>
          <w:rFonts w:ascii="Times New Roman" w:cs="Times New Roman" w:eastAsia="Times New Roman" w:hAnsi="Times New Roman"/>
          <w:sz w:val="20"/>
          <w:szCs w:val="20"/>
          <w:color w:val="auto"/>
        </w:rPr>
        <w:t>Title: Managing Director</w:t>
      </w:r>
    </w:p>
    <w:p>
      <w:pPr>
        <w:spacing w:after="0" w:line="207"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20"/>
          <w:szCs w:val="20"/>
          <w:color w:val="auto"/>
        </w:rPr>
        <w:t>SLF V-L HOLDINGS, L.P.,</w:t>
      </w:r>
    </w:p>
    <w:p>
      <w:pPr>
        <w:spacing w:after="0" w:line="21"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20"/>
          <w:szCs w:val="20"/>
          <w:color w:val="auto"/>
        </w:rPr>
        <w:t>as a Lender</w:t>
      </w:r>
    </w:p>
    <w:p>
      <w:pPr>
        <w:ind w:left="4420"/>
        <w:spacing w:after="0"/>
        <w:rPr>
          <w:sz w:val="20"/>
          <w:szCs w:val="20"/>
          <w:color w:val="auto"/>
        </w:rPr>
      </w:pPr>
      <w:r>
        <w:rPr>
          <w:rFonts w:ascii="Times New Roman" w:cs="Times New Roman" w:eastAsia="Times New Roman" w:hAnsi="Times New Roman"/>
          <w:sz w:val="19"/>
          <w:szCs w:val="19"/>
          <w:color w:val="auto"/>
        </w:rPr>
        <w:t>By: HPS Investment Partners, LLC, its Investment</w:t>
      </w:r>
    </w:p>
    <w:p>
      <w:pPr>
        <w:spacing w:after="0" w:line="11"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20"/>
          <w:szCs w:val="20"/>
          <w:color w:val="auto"/>
        </w:rPr>
        <w:t>Manager</w:t>
      </w:r>
    </w:p>
    <w:p>
      <w:pPr>
        <w:spacing w:after="0" w:line="200" w:lineRule="exact"/>
        <w:rPr>
          <w:sz w:val="20"/>
          <w:szCs w:val="20"/>
          <w:color w:val="auto"/>
        </w:rPr>
      </w:pPr>
    </w:p>
    <w:p>
      <w:pPr>
        <w:spacing w:after="0" w:line="237" w:lineRule="exact"/>
        <w:rPr>
          <w:sz w:val="20"/>
          <w:szCs w:val="20"/>
          <w:color w:val="auto"/>
        </w:rPr>
      </w:pPr>
    </w:p>
    <w:p>
      <w:pPr>
        <w:ind w:left="4420"/>
        <w:spacing w:after="0"/>
        <w:tabs>
          <w:tab w:leader="none" w:pos="6360" w:val="left"/>
          <w:tab w:leader="none" w:pos="7000" w:val="left"/>
          <w:tab w:leader="none" w:pos="7640" w:val="left"/>
        </w:tabs>
        <w:rPr>
          <w:sz w:val="20"/>
          <w:szCs w:val="20"/>
          <w:color w:val="auto"/>
        </w:rPr>
      </w:pPr>
      <w:r>
        <w:rPr>
          <w:rFonts w:ascii="Times New Roman" w:cs="Times New Roman" w:eastAsia="Times New Roman" w:hAnsi="Times New Roman"/>
          <w:sz w:val="20"/>
          <w:szCs w:val="20"/>
          <w:color w:val="auto"/>
        </w:rPr>
        <w:t>By: /s/ Daniel Zevnik</w:t>
        <w:tab/>
        <w:t>​</w:t>
      </w:r>
      <w:r>
        <w:rPr>
          <w:sz w:val="20"/>
          <w:szCs w:val="20"/>
          <w:color w:val="auto"/>
        </w:rPr>
        <w:tab/>
      </w:r>
      <w:r>
        <w:rPr>
          <w:rFonts w:ascii="Times New Roman" w:cs="Times New Roman" w:eastAsia="Times New Roman" w:hAnsi="Times New Roman"/>
          <w:sz w:val="20"/>
          <w:szCs w:val="20"/>
          <w:color w:val="auto"/>
        </w:rPr>
        <w:t>​</w:t>
      </w:r>
      <w:r>
        <w:rPr>
          <w:sz w:val="20"/>
          <w:szCs w:val="20"/>
          <w:color w:val="auto"/>
        </w:rPr>
        <w:tab/>
      </w:r>
      <w:r>
        <w:rPr>
          <w:rFonts w:ascii="Times New Roman" w:cs="Times New Roman" w:eastAsia="Times New Roman" w:hAnsi="Times New Roman"/>
          <w:sz w:val="20"/>
          <w:szCs w:val="20"/>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2993390</wp:posOffset>
            </wp:positionH>
            <wp:positionV relativeFrom="paragraph">
              <wp:posOffset>-10795</wp:posOffset>
            </wp:positionV>
            <wp:extent cx="2283460" cy="825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15">
                      <a:extLst>
                        <a:ext uri="{28A0092B-C50C-407E-A947-70E740481C1C}"/>
                      </a:extLst>
                    </a:blip>
                    <a:srcRect/>
                    <a:stretch>
                      <a:fillRect/>
                    </a:stretch>
                  </pic:blipFill>
                  <pic:spPr bwMode="auto">
                    <a:xfrm>
                      <a:off x="0" y="0"/>
                      <a:ext cx="2283460" cy="8255"/>
                    </a:xfrm>
                    <a:prstGeom prst="rect">
                      <a:avLst/>
                    </a:prstGeom>
                    <a:noFill/>
                  </pic:spPr>
                </pic:pic>
              </a:graphicData>
            </a:graphic>
          </wp:anchor>
        </w:drawing>
      </w:r>
    </w:p>
    <w:p>
      <w:pPr>
        <w:spacing w:after="0" w:line="1" w:lineRule="exact"/>
        <w:rPr>
          <w:sz w:val="20"/>
          <w:szCs w:val="20"/>
          <w:color w:val="auto"/>
        </w:rPr>
      </w:pPr>
    </w:p>
    <w:p>
      <w:pPr>
        <w:ind w:left="4760"/>
        <w:spacing w:after="0"/>
        <w:rPr>
          <w:sz w:val="20"/>
          <w:szCs w:val="20"/>
          <w:color w:val="auto"/>
        </w:rPr>
      </w:pPr>
      <w:r>
        <w:rPr>
          <w:rFonts w:ascii="Times New Roman" w:cs="Times New Roman" w:eastAsia="Times New Roman" w:hAnsi="Times New Roman"/>
          <w:sz w:val="20"/>
          <w:szCs w:val="20"/>
          <w:color w:val="auto"/>
        </w:rPr>
        <w:t>Name: Daniel Zevnik</w:t>
      </w:r>
    </w:p>
    <w:p>
      <w:pPr>
        <w:ind w:left="5080"/>
        <w:spacing w:after="0"/>
        <w:rPr>
          <w:sz w:val="20"/>
          <w:szCs w:val="20"/>
          <w:color w:val="auto"/>
        </w:rPr>
      </w:pPr>
      <w:r>
        <w:rPr>
          <w:rFonts w:ascii="Times New Roman" w:cs="Times New Roman" w:eastAsia="Times New Roman" w:hAnsi="Times New Roman"/>
          <w:sz w:val="20"/>
          <w:szCs w:val="20"/>
          <w:color w:val="auto"/>
        </w:rPr>
        <w:t>Title: Managing Director</w:t>
      </w:r>
    </w:p>
    <w:p>
      <w:pPr>
        <w:spacing w:after="0" w:line="207"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20"/>
          <w:szCs w:val="20"/>
          <w:color w:val="auto"/>
        </w:rPr>
        <w:t>SLF VI-L HOLDINGS D, L.P,</w:t>
      </w:r>
    </w:p>
    <w:p>
      <w:pPr>
        <w:spacing w:after="0" w:line="21"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20"/>
          <w:szCs w:val="20"/>
          <w:color w:val="auto"/>
        </w:rPr>
        <w:t>as a Lender</w:t>
      </w:r>
    </w:p>
    <w:p>
      <w:pPr>
        <w:ind w:left="4420"/>
        <w:spacing w:after="0"/>
        <w:rPr>
          <w:sz w:val="20"/>
          <w:szCs w:val="20"/>
          <w:color w:val="auto"/>
        </w:rPr>
      </w:pPr>
      <w:r>
        <w:rPr>
          <w:rFonts w:ascii="Times New Roman" w:cs="Times New Roman" w:eastAsia="Times New Roman" w:hAnsi="Times New Roman"/>
          <w:sz w:val="19"/>
          <w:szCs w:val="19"/>
          <w:color w:val="auto"/>
        </w:rPr>
        <w:t>By: HPS Investment Partners, LLC, its Investment</w:t>
      </w:r>
    </w:p>
    <w:p>
      <w:pPr>
        <w:spacing w:after="0" w:line="11"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20"/>
          <w:szCs w:val="20"/>
          <w:color w:val="auto"/>
        </w:rPr>
        <w:t>Manager</w:t>
      </w:r>
    </w:p>
    <w:p>
      <w:pPr>
        <w:spacing w:after="0" w:line="200" w:lineRule="exact"/>
        <w:rPr>
          <w:sz w:val="20"/>
          <w:szCs w:val="20"/>
          <w:color w:val="auto"/>
        </w:rPr>
      </w:pPr>
    </w:p>
    <w:p>
      <w:pPr>
        <w:spacing w:after="0" w:line="237" w:lineRule="exact"/>
        <w:rPr>
          <w:sz w:val="20"/>
          <w:szCs w:val="20"/>
          <w:color w:val="auto"/>
        </w:rPr>
      </w:pPr>
    </w:p>
    <w:p>
      <w:pPr>
        <w:ind w:left="4420"/>
        <w:spacing w:after="0"/>
        <w:tabs>
          <w:tab w:leader="none" w:pos="6360" w:val="left"/>
          <w:tab w:leader="none" w:pos="7000" w:val="left"/>
          <w:tab w:leader="none" w:pos="7640" w:val="left"/>
        </w:tabs>
        <w:rPr>
          <w:sz w:val="20"/>
          <w:szCs w:val="20"/>
          <w:color w:val="auto"/>
        </w:rPr>
      </w:pPr>
      <w:r>
        <w:rPr>
          <w:rFonts w:ascii="Times New Roman" w:cs="Times New Roman" w:eastAsia="Times New Roman" w:hAnsi="Times New Roman"/>
          <w:sz w:val="20"/>
          <w:szCs w:val="20"/>
          <w:color w:val="auto"/>
        </w:rPr>
        <w:t>By: /s/ Daniel Zevnik</w:t>
        <w:tab/>
        <w:t>​</w:t>
      </w:r>
      <w:r>
        <w:rPr>
          <w:sz w:val="20"/>
          <w:szCs w:val="20"/>
          <w:color w:val="auto"/>
        </w:rPr>
        <w:tab/>
      </w:r>
      <w:r>
        <w:rPr>
          <w:rFonts w:ascii="Times New Roman" w:cs="Times New Roman" w:eastAsia="Times New Roman" w:hAnsi="Times New Roman"/>
          <w:sz w:val="20"/>
          <w:szCs w:val="20"/>
          <w:color w:val="auto"/>
        </w:rPr>
        <w:t>​</w:t>
      </w:r>
      <w:r>
        <w:rPr>
          <w:sz w:val="20"/>
          <w:szCs w:val="20"/>
          <w:color w:val="auto"/>
        </w:rPr>
        <w:tab/>
      </w:r>
      <w:r>
        <w:rPr>
          <w:rFonts w:ascii="Times New Roman" w:cs="Times New Roman" w:eastAsia="Times New Roman" w:hAnsi="Times New Roman"/>
          <w:sz w:val="20"/>
          <w:szCs w:val="20"/>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2993390</wp:posOffset>
            </wp:positionH>
            <wp:positionV relativeFrom="paragraph">
              <wp:posOffset>-10795</wp:posOffset>
            </wp:positionV>
            <wp:extent cx="2283460" cy="825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16">
                      <a:extLst>
                        <a:ext uri="{28A0092B-C50C-407E-A947-70E740481C1C}"/>
                      </a:extLst>
                    </a:blip>
                    <a:srcRect/>
                    <a:stretch>
                      <a:fillRect/>
                    </a:stretch>
                  </pic:blipFill>
                  <pic:spPr bwMode="auto">
                    <a:xfrm>
                      <a:off x="0" y="0"/>
                      <a:ext cx="2283460" cy="8255"/>
                    </a:xfrm>
                    <a:prstGeom prst="rect">
                      <a:avLst/>
                    </a:prstGeom>
                    <a:noFill/>
                  </pic:spPr>
                </pic:pic>
              </a:graphicData>
            </a:graphic>
          </wp:anchor>
        </w:drawing>
      </w:r>
    </w:p>
    <w:p>
      <w:pPr>
        <w:spacing w:after="0" w:line="1" w:lineRule="exact"/>
        <w:rPr>
          <w:sz w:val="20"/>
          <w:szCs w:val="20"/>
          <w:color w:val="auto"/>
        </w:rPr>
      </w:pPr>
    </w:p>
    <w:p>
      <w:pPr>
        <w:ind w:left="4760"/>
        <w:spacing w:after="0"/>
        <w:rPr>
          <w:sz w:val="20"/>
          <w:szCs w:val="20"/>
          <w:color w:val="auto"/>
        </w:rPr>
      </w:pPr>
      <w:r>
        <w:rPr>
          <w:rFonts w:ascii="Times New Roman" w:cs="Times New Roman" w:eastAsia="Times New Roman" w:hAnsi="Times New Roman"/>
          <w:sz w:val="20"/>
          <w:szCs w:val="20"/>
          <w:color w:val="auto"/>
        </w:rPr>
        <w:t>Name: Daniel Zevnik</w:t>
      </w:r>
    </w:p>
    <w:p>
      <w:pPr>
        <w:ind w:left="5080"/>
        <w:spacing w:after="0"/>
        <w:rPr>
          <w:sz w:val="20"/>
          <w:szCs w:val="20"/>
          <w:color w:val="auto"/>
        </w:rPr>
      </w:pPr>
      <w:r>
        <w:rPr>
          <w:rFonts w:ascii="Times New Roman" w:cs="Times New Roman" w:eastAsia="Times New Roman" w:hAnsi="Times New Roman"/>
          <w:sz w:val="20"/>
          <w:szCs w:val="20"/>
          <w:color w:val="auto"/>
        </w:rPr>
        <w:t>Title: Managing Director</w:t>
      </w:r>
    </w:p>
    <w:p>
      <w:pPr>
        <w:spacing w:after="0" w:line="200" w:lineRule="exact"/>
        <w:rPr>
          <w:sz w:val="20"/>
          <w:szCs w:val="20"/>
          <w:color w:val="auto"/>
        </w:rPr>
      </w:pPr>
    </w:p>
    <w:p>
      <w:pPr>
        <w:spacing w:after="0" w:line="237"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20"/>
          <w:szCs w:val="20"/>
          <w:color w:val="auto"/>
        </w:rPr>
        <w:t>SLF VI-L US HOLDINGS C, SCSP,</w:t>
      </w:r>
    </w:p>
    <w:p>
      <w:pPr>
        <w:spacing w:after="0" w:line="21"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20"/>
          <w:szCs w:val="20"/>
          <w:color w:val="auto"/>
        </w:rPr>
        <w:t>as a Lender</w:t>
      </w:r>
    </w:p>
    <w:p>
      <w:pPr>
        <w:ind w:left="4420"/>
        <w:spacing w:after="0"/>
        <w:rPr>
          <w:sz w:val="20"/>
          <w:szCs w:val="20"/>
          <w:color w:val="auto"/>
        </w:rPr>
      </w:pPr>
      <w:r>
        <w:rPr>
          <w:rFonts w:ascii="Times New Roman" w:cs="Times New Roman" w:eastAsia="Times New Roman" w:hAnsi="Times New Roman"/>
          <w:sz w:val="20"/>
          <w:szCs w:val="20"/>
          <w:color w:val="auto"/>
        </w:rPr>
        <w:t>By: HPS Investment Partners, LLC, its Portfolio</w:t>
      </w:r>
    </w:p>
    <w:p>
      <w:pPr>
        <w:ind w:left="4420"/>
        <w:spacing w:after="0"/>
        <w:rPr>
          <w:sz w:val="20"/>
          <w:szCs w:val="20"/>
          <w:color w:val="auto"/>
        </w:rPr>
      </w:pPr>
      <w:r>
        <w:rPr>
          <w:rFonts w:ascii="Times New Roman" w:cs="Times New Roman" w:eastAsia="Times New Roman" w:hAnsi="Times New Roman"/>
          <w:sz w:val="20"/>
          <w:szCs w:val="20"/>
          <w:color w:val="auto"/>
        </w:rPr>
        <w:t>Manager</w:t>
      </w:r>
    </w:p>
    <w:p>
      <w:pPr>
        <w:spacing w:after="0" w:line="200" w:lineRule="exact"/>
        <w:rPr>
          <w:sz w:val="20"/>
          <w:szCs w:val="20"/>
          <w:color w:val="auto"/>
        </w:rPr>
      </w:pPr>
    </w:p>
    <w:p>
      <w:pPr>
        <w:spacing w:after="0" w:line="237" w:lineRule="exact"/>
        <w:rPr>
          <w:sz w:val="20"/>
          <w:szCs w:val="20"/>
          <w:color w:val="auto"/>
        </w:rPr>
      </w:pPr>
    </w:p>
    <w:p>
      <w:pPr>
        <w:ind w:left="4420"/>
        <w:spacing w:after="0"/>
        <w:tabs>
          <w:tab w:leader="none" w:pos="6360" w:val="left"/>
          <w:tab w:leader="none" w:pos="7000" w:val="left"/>
          <w:tab w:leader="none" w:pos="7640" w:val="left"/>
        </w:tabs>
        <w:rPr>
          <w:sz w:val="20"/>
          <w:szCs w:val="20"/>
          <w:color w:val="auto"/>
        </w:rPr>
      </w:pPr>
      <w:r>
        <w:rPr>
          <w:rFonts w:ascii="Times New Roman" w:cs="Times New Roman" w:eastAsia="Times New Roman" w:hAnsi="Times New Roman"/>
          <w:sz w:val="20"/>
          <w:szCs w:val="20"/>
          <w:color w:val="auto"/>
        </w:rPr>
        <w:t>By: /s/ Daniel Zevnik</w:t>
        <w:tab/>
        <w:t>​</w:t>
      </w:r>
      <w:r>
        <w:rPr>
          <w:sz w:val="20"/>
          <w:szCs w:val="20"/>
          <w:color w:val="auto"/>
        </w:rPr>
        <w:tab/>
      </w:r>
      <w:r>
        <w:rPr>
          <w:rFonts w:ascii="Times New Roman" w:cs="Times New Roman" w:eastAsia="Times New Roman" w:hAnsi="Times New Roman"/>
          <w:sz w:val="20"/>
          <w:szCs w:val="20"/>
          <w:color w:val="auto"/>
        </w:rPr>
        <w:t>​</w:t>
      </w:r>
      <w:r>
        <w:rPr>
          <w:sz w:val="20"/>
          <w:szCs w:val="20"/>
          <w:color w:val="auto"/>
        </w:rPr>
        <w:tab/>
      </w:r>
      <w:r>
        <w:rPr>
          <w:rFonts w:ascii="Times New Roman" w:cs="Times New Roman" w:eastAsia="Times New Roman" w:hAnsi="Times New Roman"/>
          <w:sz w:val="20"/>
          <w:szCs w:val="20"/>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2993390</wp:posOffset>
            </wp:positionH>
            <wp:positionV relativeFrom="paragraph">
              <wp:posOffset>-10795</wp:posOffset>
            </wp:positionV>
            <wp:extent cx="2283460" cy="889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17">
                      <a:extLst>
                        <a:ext uri="{28A0092B-C50C-407E-A947-70E740481C1C}"/>
                      </a:extLst>
                    </a:blip>
                    <a:srcRect/>
                    <a:stretch>
                      <a:fillRect/>
                    </a:stretch>
                  </pic:blipFill>
                  <pic:spPr bwMode="auto">
                    <a:xfrm>
                      <a:off x="0" y="0"/>
                      <a:ext cx="2283460" cy="8890"/>
                    </a:xfrm>
                    <a:prstGeom prst="rect">
                      <a:avLst/>
                    </a:prstGeom>
                    <a:noFill/>
                  </pic:spPr>
                </pic:pic>
              </a:graphicData>
            </a:graphic>
          </wp:anchor>
        </w:drawing>
      </w:r>
    </w:p>
    <w:p>
      <w:pPr>
        <w:spacing w:after="0" w:line="1" w:lineRule="exact"/>
        <w:rPr>
          <w:sz w:val="20"/>
          <w:szCs w:val="20"/>
          <w:color w:val="auto"/>
        </w:rPr>
      </w:pPr>
    </w:p>
    <w:p>
      <w:pPr>
        <w:ind w:left="4760"/>
        <w:spacing w:after="0"/>
        <w:rPr>
          <w:sz w:val="20"/>
          <w:szCs w:val="20"/>
          <w:color w:val="auto"/>
        </w:rPr>
      </w:pPr>
      <w:r>
        <w:rPr>
          <w:rFonts w:ascii="Times New Roman" w:cs="Times New Roman" w:eastAsia="Times New Roman" w:hAnsi="Times New Roman"/>
          <w:sz w:val="20"/>
          <w:szCs w:val="20"/>
          <w:color w:val="auto"/>
        </w:rPr>
        <w:t>Name: Daniel Zevnik</w:t>
      </w:r>
    </w:p>
    <w:p>
      <w:pPr>
        <w:ind w:left="5080"/>
        <w:spacing w:after="0"/>
        <w:rPr>
          <w:sz w:val="20"/>
          <w:szCs w:val="20"/>
          <w:color w:val="auto"/>
        </w:rPr>
      </w:pPr>
      <w:r>
        <w:rPr>
          <w:rFonts w:ascii="Times New Roman" w:cs="Times New Roman" w:eastAsia="Times New Roman" w:hAnsi="Times New Roman"/>
          <w:sz w:val="20"/>
          <w:szCs w:val="20"/>
          <w:color w:val="auto"/>
        </w:rPr>
        <w:t>Title: Managing Director</w:t>
      </w:r>
    </w:p>
    <w:p>
      <w:pPr>
        <w:spacing w:after="0" w:line="200" w:lineRule="exact"/>
        <w:rPr>
          <w:sz w:val="20"/>
          <w:szCs w:val="20"/>
          <w:color w:val="auto"/>
        </w:rPr>
      </w:pPr>
    </w:p>
    <w:p>
      <w:pPr>
        <w:spacing w:after="0" w:line="237"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20"/>
          <w:szCs w:val="20"/>
          <w:color w:val="auto"/>
        </w:rPr>
        <w:t>STAR HOLDINGS A, L.P.,</w:t>
      </w:r>
    </w:p>
    <w:p>
      <w:pPr>
        <w:spacing w:after="0" w:line="21"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20"/>
          <w:szCs w:val="20"/>
          <w:color w:val="auto"/>
        </w:rPr>
        <w:t>as a Lender</w:t>
      </w:r>
    </w:p>
    <w:p>
      <w:pPr>
        <w:ind w:left="4420"/>
        <w:spacing w:after="0"/>
        <w:rPr>
          <w:sz w:val="20"/>
          <w:szCs w:val="20"/>
          <w:color w:val="auto"/>
        </w:rPr>
      </w:pPr>
      <w:r>
        <w:rPr>
          <w:rFonts w:ascii="Times New Roman" w:cs="Times New Roman" w:eastAsia="Times New Roman" w:hAnsi="Times New Roman"/>
          <w:sz w:val="19"/>
          <w:szCs w:val="19"/>
          <w:color w:val="auto"/>
        </w:rPr>
        <w:t>By: HPS Investment Partners, LLC, its Investment</w:t>
      </w:r>
    </w:p>
    <w:p>
      <w:pPr>
        <w:spacing w:after="0" w:line="11"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20"/>
          <w:szCs w:val="20"/>
          <w:color w:val="auto"/>
        </w:rPr>
        <w:t>Manager</w:t>
      </w:r>
    </w:p>
    <w:p>
      <w:pPr>
        <w:spacing w:after="0" w:line="200" w:lineRule="exact"/>
        <w:rPr>
          <w:sz w:val="20"/>
          <w:szCs w:val="20"/>
          <w:color w:val="auto"/>
        </w:rPr>
      </w:pPr>
    </w:p>
    <w:p>
      <w:pPr>
        <w:spacing w:after="0" w:line="237" w:lineRule="exact"/>
        <w:rPr>
          <w:sz w:val="20"/>
          <w:szCs w:val="20"/>
          <w:color w:val="auto"/>
        </w:rPr>
      </w:pPr>
    </w:p>
    <w:p>
      <w:pPr>
        <w:ind w:left="4420"/>
        <w:spacing w:after="0"/>
        <w:tabs>
          <w:tab w:leader="none" w:pos="6360" w:val="left"/>
          <w:tab w:leader="none" w:pos="7000" w:val="left"/>
          <w:tab w:leader="none" w:pos="7640" w:val="left"/>
        </w:tabs>
        <w:rPr>
          <w:sz w:val="20"/>
          <w:szCs w:val="20"/>
          <w:color w:val="auto"/>
        </w:rPr>
      </w:pPr>
      <w:r>
        <w:rPr>
          <w:rFonts w:ascii="Times New Roman" w:cs="Times New Roman" w:eastAsia="Times New Roman" w:hAnsi="Times New Roman"/>
          <w:sz w:val="20"/>
          <w:szCs w:val="20"/>
          <w:color w:val="auto"/>
        </w:rPr>
        <w:t>By: /s/ Daniel Zevnik</w:t>
        <w:tab/>
        <w:t>​</w:t>
      </w:r>
      <w:r>
        <w:rPr>
          <w:sz w:val="20"/>
          <w:szCs w:val="20"/>
          <w:color w:val="auto"/>
        </w:rPr>
        <w:tab/>
      </w:r>
      <w:r>
        <w:rPr>
          <w:rFonts w:ascii="Times New Roman" w:cs="Times New Roman" w:eastAsia="Times New Roman" w:hAnsi="Times New Roman"/>
          <w:sz w:val="20"/>
          <w:szCs w:val="20"/>
          <w:color w:val="auto"/>
        </w:rPr>
        <w:t>​</w:t>
      </w:r>
      <w:r>
        <w:rPr>
          <w:sz w:val="20"/>
          <w:szCs w:val="20"/>
          <w:color w:val="auto"/>
        </w:rPr>
        <w:tab/>
      </w:r>
      <w:r>
        <w:rPr>
          <w:rFonts w:ascii="Times New Roman" w:cs="Times New Roman" w:eastAsia="Times New Roman" w:hAnsi="Times New Roman"/>
          <w:sz w:val="20"/>
          <w:szCs w:val="20"/>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2993390</wp:posOffset>
            </wp:positionH>
            <wp:positionV relativeFrom="paragraph">
              <wp:posOffset>-10795</wp:posOffset>
            </wp:positionV>
            <wp:extent cx="2283460" cy="889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8">
                      <a:extLst>
                        <a:ext uri="{28A0092B-C50C-407E-A947-70E740481C1C}"/>
                      </a:extLst>
                    </a:blip>
                    <a:srcRect/>
                    <a:stretch>
                      <a:fillRect/>
                    </a:stretch>
                  </pic:blipFill>
                  <pic:spPr bwMode="auto">
                    <a:xfrm>
                      <a:off x="0" y="0"/>
                      <a:ext cx="2283460" cy="8890"/>
                    </a:xfrm>
                    <a:prstGeom prst="rect">
                      <a:avLst/>
                    </a:prstGeom>
                    <a:noFill/>
                  </pic:spPr>
                </pic:pic>
              </a:graphicData>
            </a:graphic>
          </wp:anchor>
        </w:drawing>
      </w:r>
    </w:p>
    <w:p>
      <w:pPr>
        <w:spacing w:after="0" w:line="1" w:lineRule="exact"/>
        <w:rPr>
          <w:sz w:val="20"/>
          <w:szCs w:val="20"/>
          <w:color w:val="auto"/>
        </w:rPr>
      </w:pPr>
    </w:p>
    <w:p>
      <w:pPr>
        <w:ind w:left="4760"/>
        <w:spacing w:after="0"/>
        <w:rPr>
          <w:sz w:val="20"/>
          <w:szCs w:val="20"/>
          <w:color w:val="auto"/>
        </w:rPr>
      </w:pPr>
      <w:r>
        <w:rPr>
          <w:rFonts w:ascii="Times New Roman" w:cs="Times New Roman" w:eastAsia="Times New Roman" w:hAnsi="Times New Roman"/>
          <w:sz w:val="20"/>
          <w:szCs w:val="20"/>
          <w:color w:val="auto"/>
        </w:rPr>
        <w:t>Name: Daniel Zevnik</w:t>
      </w:r>
    </w:p>
    <w:p>
      <w:pPr>
        <w:ind w:left="5080"/>
        <w:spacing w:after="0"/>
        <w:rPr>
          <w:sz w:val="20"/>
          <w:szCs w:val="20"/>
          <w:color w:val="auto"/>
        </w:rPr>
      </w:pPr>
      <w:r>
        <w:rPr>
          <w:rFonts w:ascii="Times New Roman" w:cs="Times New Roman" w:eastAsia="Times New Roman" w:hAnsi="Times New Roman"/>
          <w:sz w:val="20"/>
          <w:szCs w:val="20"/>
          <w:color w:val="auto"/>
        </w:rPr>
        <w:t>Title: Managing Director</w:t>
      </w:r>
    </w:p>
    <w:p>
      <w:pPr>
        <w:spacing w:after="0" w:line="200" w:lineRule="exact"/>
        <w:rPr>
          <w:sz w:val="20"/>
          <w:szCs w:val="20"/>
          <w:color w:val="auto"/>
        </w:rPr>
      </w:pPr>
    </w:p>
    <w:p>
      <w:pPr>
        <w:spacing w:after="0" w:line="277"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4"/>
          <w:szCs w:val="14"/>
          <w:color w:val="auto"/>
        </w:rPr>
        <w:t>US-DOCS\171161013.8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339725</wp:posOffset>
            </wp:positionH>
            <wp:positionV relativeFrom="paragraph">
              <wp:posOffset>349250</wp:posOffset>
            </wp:positionV>
            <wp:extent cx="5040630" cy="2540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9">
                      <a:extLst>
                        <a:ext uri="{28A0092B-C50C-407E-A947-70E740481C1C}"/>
                      </a:extLst>
                    </a:blip>
                    <a:srcRect/>
                    <a:stretch>
                      <a:fillRect/>
                    </a:stretch>
                  </pic:blipFill>
                  <pic:spPr bwMode="auto">
                    <a:xfrm>
                      <a:off x="0" y="0"/>
                      <a:ext cx="5040630" cy="25400"/>
                    </a:xfrm>
                    <a:prstGeom prst="rect">
                      <a:avLst/>
                    </a:prstGeom>
                    <a:noFill/>
                  </pic:spPr>
                </pic:pic>
              </a:graphicData>
            </a:graphic>
          </wp:anchor>
        </w:drawing>
      </w:r>
    </w:p>
    <w:p>
      <w:pPr>
        <w:sectPr>
          <w:pgSz w:w="11900" w:h="16838" w:orient="portrait"/>
          <w:cols w:equalWidth="0" w:num="1">
            <w:col w:w="9019"/>
          </w:cols>
          <w:pgMar w:left="1440" w:top="900" w:right="1440" w:bottom="1440" w:gutter="0" w:footer="0" w:header="0"/>
        </w:sectPr>
      </w:pPr>
    </w:p>
    <w:bookmarkStart w:id="75" w:name="page76"/>
    <w:bookmarkEnd w:id="75"/>
    <w:p>
      <w:pPr>
        <w:ind w:left="4420"/>
        <w:spacing w:after="0"/>
        <w:rPr>
          <w:sz w:val="20"/>
          <w:szCs w:val="20"/>
          <w:color w:val="auto"/>
        </w:rPr>
      </w:pPr>
      <w:r>
        <w:rPr>
          <w:rFonts w:ascii="Times New Roman" w:cs="Times New Roman" w:eastAsia="Times New Roman" w:hAnsi="Times New Roman"/>
          <w:sz w:val="20"/>
          <w:szCs w:val="20"/>
          <w:color w:val="auto"/>
        </w:rPr>
        <w:t>T DIRECT LENDING HOLDINGS B, L.P,</w:t>
      </w:r>
    </w:p>
    <w:p>
      <w:pPr>
        <w:spacing w:after="0" w:line="21"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20"/>
          <w:szCs w:val="20"/>
          <w:color w:val="auto"/>
        </w:rPr>
        <w:t>as a Lender</w:t>
      </w:r>
    </w:p>
    <w:p>
      <w:pPr>
        <w:ind w:left="4420"/>
        <w:spacing w:after="0"/>
        <w:rPr>
          <w:sz w:val="20"/>
          <w:szCs w:val="20"/>
          <w:color w:val="auto"/>
        </w:rPr>
      </w:pPr>
      <w:r>
        <w:rPr>
          <w:rFonts w:ascii="Times New Roman" w:cs="Times New Roman" w:eastAsia="Times New Roman" w:hAnsi="Times New Roman"/>
          <w:sz w:val="19"/>
          <w:szCs w:val="19"/>
          <w:color w:val="auto"/>
        </w:rPr>
        <w:t>By: HPS Investment Partners, LLC, its Investment</w:t>
      </w:r>
    </w:p>
    <w:p>
      <w:pPr>
        <w:spacing w:after="0" w:line="11"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20"/>
          <w:szCs w:val="20"/>
          <w:color w:val="auto"/>
        </w:rPr>
        <w:t>Manager</w:t>
      </w:r>
    </w:p>
    <w:p>
      <w:pPr>
        <w:sectPr>
          <w:pgSz w:w="11900" w:h="16838" w:orient="portrait"/>
          <w:cols w:equalWidth="0" w:num="1">
            <w:col w:w="9019"/>
          </w:cols>
          <w:pgMar w:left="1440" w:top="900" w:right="1440" w:bottom="1440" w:gutter="0" w:footer="0" w:header="0"/>
        </w:sectPr>
      </w:pPr>
    </w:p>
    <w:p>
      <w:pPr>
        <w:spacing w:after="0" w:line="200" w:lineRule="exact"/>
        <w:rPr>
          <w:sz w:val="20"/>
          <w:szCs w:val="20"/>
          <w:color w:val="auto"/>
        </w:rPr>
      </w:pPr>
    </w:p>
    <w:p>
      <w:pPr>
        <w:spacing w:after="0" w:line="237" w:lineRule="exact"/>
        <w:rPr>
          <w:sz w:val="20"/>
          <w:szCs w:val="20"/>
          <w:color w:val="auto"/>
        </w:rPr>
      </w:pPr>
    </w:p>
    <w:p>
      <w:pPr>
        <w:ind w:left="4420"/>
        <w:spacing w:after="0"/>
        <w:tabs>
          <w:tab w:leader="none" w:pos="6360" w:val="left"/>
          <w:tab w:leader="none" w:pos="7000" w:val="left"/>
        </w:tabs>
        <w:rPr>
          <w:sz w:val="20"/>
          <w:szCs w:val="20"/>
          <w:color w:val="auto"/>
        </w:rPr>
      </w:pPr>
      <w:r>
        <w:rPr>
          <w:rFonts w:ascii="Times New Roman" w:cs="Times New Roman" w:eastAsia="Times New Roman" w:hAnsi="Times New Roman"/>
          <w:sz w:val="20"/>
          <w:szCs w:val="20"/>
          <w:color w:val="auto"/>
        </w:rPr>
        <w:t>By: /s/ Daniel Zevnik</w:t>
        <w:tab/>
        <w:t>​</w:t>
      </w:r>
      <w:r>
        <w:rPr>
          <w:sz w:val="20"/>
          <w:szCs w:val="20"/>
          <w:color w:val="auto"/>
        </w:rPr>
        <w:tab/>
      </w:r>
      <w:r>
        <w:rPr>
          <w:rFonts w:ascii="Times New Roman" w:cs="Times New Roman" w:eastAsia="Times New Roman" w:hAnsi="Times New Roman"/>
          <w:sz w:val="20"/>
          <w:szCs w:val="20"/>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2993390</wp:posOffset>
            </wp:positionH>
            <wp:positionV relativeFrom="paragraph">
              <wp:posOffset>-10795</wp:posOffset>
            </wp:positionV>
            <wp:extent cx="1871980" cy="825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20">
                      <a:extLst>
                        <a:ext uri="{28A0092B-C50C-407E-A947-70E740481C1C}"/>
                      </a:extLst>
                    </a:blip>
                    <a:srcRect/>
                    <a:stretch>
                      <a:fillRect/>
                    </a:stretch>
                  </pic:blipFill>
                  <pic:spPr bwMode="auto">
                    <a:xfrm>
                      <a:off x="0" y="0"/>
                      <a:ext cx="1871980" cy="8255"/>
                    </a:xfrm>
                    <a:prstGeom prst="rect">
                      <a:avLst/>
                    </a:prstGeom>
                    <a:noFill/>
                  </pic:spPr>
                </pic:pic>
              </a:graphicData>
            </a:graphic>
          </wp:anchor>
        </w:drawing>
      </w:r>
    </w:p>
    <w:p>
      <w:pPr>
        <w:spacing w:after="0" w:line="1" w:lineRule="exact"/>
        <w:rPr>
          <w:sz w:val="20"/>
          <w:szCs w:val="20"/>
          <w:color w:val="auto"/>
        </w:rPr>
      </w:pPr>
    </w:p>
    <w:p>
      <w:pPr>
        <w:ind w:left="4760"/>
        <w:spacing w:after="0"/>
        <w:rPr>
          <w:sz w:val="20"/>
          <w:szCs w:val="20"/>
          <w:color w:val="auto"/>
        </w:rPr>
      </w:pPr>
      <w:r>
        <w:rPr>
          <w:rFonts w:ascii="Times New Roman" w:cs="Times New Roman" w:eastAsia="Times New Roman" w:hAnsi="Times New Roman"/>
          <w:sz w:val="20"/>
          <w:szCs w:val="20"/>
          <w:color w:val="auto"/>
        </w:rPr>
        <w:t>Name: Daniel Zevnik</w:t>
      </w:r>
    </w:p>
    <w:p>
      <w:pPr>
        <w:ind w:left="5080"/>
        <w:spacing w:after="0"/>
        <w:rPr>
          <w:sz w:val="20"/>
          <w:szCs w:val="20"/>
          <w:color w:val="auto"/>
        </w:rPr>
      </w:pPr>
      <w:r>
        <w:rPr>
          <w:rFonts w:ascii="Times New Roman" w:cs="Times New Roman" w:eastAsia="Times New Roman" w:hAnsi="Times New Roman"/>
          <w:sz w:val="20"/>
          <w:szCs w:val="20"/>
          <w:color w:val="auto"/>
        </w:rPr>
        <w:t>Title: Managing Director</w:t>
      </w:r>
    </w:p>
    <w:p>
      <w:pPr>
        <w:spacing w:after="0" w:line="200" w:lineRule="exact"/>
        <w:rPr>
          <w:sz w:val="20"/>
          <w:szCs w:val="20"/>
          <w:color w:val="auto"/>
        </w:rPr>
      </w:pPr>
    </w:p>
    <w:p>
      <w:pPr>
        <w:spacing w:after="0" w:line="237" w:lineRule="exact"/>
        <w:rPr>
          <w:sz w:val="20"/>
          <w:szCs w:val="20"/>
          <w:color w:val="auto"/>
        </w:rPr>
      </w:pPr>
    </w:p>
    <w:tbl>
      <w:tblPr>
        <w:tblLayout w:type="fixed"/>
        <w:tblInd w:w="4420" w:type="dxa"/>
        <w:tblCellMar>
          <w:top w:w="0" w:type="dxa"/>
          <w:left w:w="0" w:type="dxa"/>
          <w:bottom w:w="0" w:type="dxa"/>
          <w:right w:w="0" w:type="dxa"/>
        </w:tblCellMar>
      </w:tblPr>
      <w:tr>
        <w:trPr>
          <w:trHeight w:val="258"/>
        </w:trPr>
        <w:tc>
          <w:tcPr>
            <w:tcW w:w="2600" w:type="dxa"/>
            <w:vAlign w:val="bottom"/>
            <w:gridSpan w:val="4"/>
          </w:tcPr>
          <w:p>
            <w:pPr>
              <w:spacing w:after="0"/>
              <w:rPr>
                <w:sz w:val="20"/>
                <w:szCs w:val="20"/>
                <w:color w:val="auto"/>
              </w:rPr>
            </w:pPr>
            <w:r>
              <w:rPr>
                <w:rFonts w:ascii="Times New Roman" w:cs="Times New Roman" w:eastAsia="Times New Roman" w:hAnsi="Times New Roman"/>
                <w:sz w:val="20"/>
                <w:szCs w:val="20"/>
                <w:color w:val="auto"/>
              </w:rPr>
              <w:t>DL2020 Holdings, LLC</w:t>
            </w:r>
          </w:p>
        </w:tc>
        <w:tc>
          <w:tcPr>
            <w:tcW w:w="640" w:type="dxa"/>
            <w:vAlign w:val="bottom"/>
          </w:tcPr>
          <w:p>
            <w:pPr>
              <w:spacing w:after="0"/>
              <w:rPr>
                <w:sz w:val="22"/>
                <w:szCs w:val="22"/>
                <w:color w:val="auto"/>
              </w:rPr>
            </w:pPr>
          </w:p>
        </w:tc>
      </w:tr>
      <w:tr>
        <w:trPr>
          <w:trHeight w:val="642"/>
        </w:trPr>
        <w:tc>
          <w:tcPr>
            <w:tcW w:w="2600" w:type="dxa"/>
            <w:vAlign w:val="bottom"/>
            <w:gridSpan w:val="4"/>
          </w:tcPr>
          <w:p>
            <w:pPr>
              <w:spacing w:after="0"/>
              <w:rPr>
                <w:sz w:val="20"/>
                <w:szCs w:val="20"/>
                <w:color w:val="auto"/>
              </w:rPr>
            </w:pPr>
            <w:r>
              <w:rPr>
                <w:rFonts w:ascii="Times New Roman" w:cs="Times New Roman" w:eastAsia="Times New Roman" w:hAnsi="Times New Roman"/>
                <w:sz w:val="20"/>
                <w:szCs w:val="20"/>
                <w:color w:val="auto"/>
              </w:rPr>
              <w:t>By: /s/ Mark Bernier​   ​</w:t>
            </w:r>
          </w:p>
        </w:tc>
        <w:tc>
          <w:tcPr>
            <w:tcW w:w="640" w:type="dxa"/>
            <w:vAlign w:val="bottom"/>
          </w:tcPr>
          <w:p>
            <w:pPr>
              <w:spacing w:after="0"/>
              <w:rPr>
                <w:sz w:val="20"/>
                <w:szCs w:val="20"/>
                <w:color w:val="auto"/>
              </w:rPr>
            </w:pPr>
            <w:r>
              <w:rPr>
                <w:rFonts w:ascii="Times New Roman" w:cs="Times New Roman" w:eastAsia="Times New Roman" w:hAnsi="Times New Roman"/>
                <w:sz w:val="20"/>
                <w:szCs w:val="20"/>
                <w:color w:val="auto"/>
              </w:rPr>
              <w:t>​</w:t>
            </w:r>
          </w:p>
        </w:tc>
      </w:tr>
      <w:tr>
        <w:trPr>
          <w:trHeight w:val="20"/>
        </w:trPr>
        <w:tc>
          <w:tcPr>
            <w:tcW w:w="300" w:type="dxa"/>
            <w:vAlign w:val="bottom"/>
          </w:tcPr>
          <w:p>
            <w:pPr>
              <w:spacing w:after="0" w:line="20" w:lineRule="exact"/>
              <w:rPr>
                <w:sz w:val="1"/>
                <w:szCs w:val="1"/>
                <w:color w:val="auto"/>
              </w:rPr>
            </w:pPr>
          </w:p>
        </w:tc>
        <w:tc>
          <w:tcPr>
            <w:tcW w:w="164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r>
      <w:tr>
        <w:trPr>
          <w:trHeight w:val="227"/>
        </w:trPr>
        <w:tc>
          <w:tcPr>
            <w:tcW w:w="300" w:type="dxa"/>
            <w:vAlign w:val="bottom"/>
          </w:tcPr>
          <w:p>
            <w:pPr>
              <w:spacing w:after="0"/>
              <w:rPr>
                <w:sz w:val="19"/>
                <w:szCs w:val="19"/>
                <w:color w:val="auto"/>
              </w:rPr>
            </w:pPr>
          </w:p>
        </w:tc>
        <w:tc>
          <w:tcPr>
            <w:tcW w:w="2300" w:type="dxa"/>
            <w:vAlign w:val="bottom"/>
            <w:gridSpan w:val="3"/>
          </w:tcPr>
          <w:p>
            <w:pPr>
              <w:ind w:left="40"/>
              <w:spacing w:after="0" w:line="228" w:lineRule="exact"/>
              <w:rPr>
                <w:sz w:val="20"/>
                <w:szCs w:val="20"/>
                <w:color w:val="auto"/>
              </w:rPr>
            </w:pPr>
            <w:r>
              <w:rPr>
                <w:rFonts w:ascii="Times New Roman" w:cs="Times New Roman" w:eastAsia="Times New Roman" w:hAnsi="Times New Roman"/>
                <w:sz w:val="20"/>
                <w:szCs w:val="20"/>
                <w:color w:val="auto"/>
              </w:rPr>
              <w:t>Name: Mark Bernier</w:t>
            </w:r>
          </w:p>
        </w:tc>
        <w:tc>
          <w:tcPr>
            <w:tcW w:w="640" w:type="dxa"/>
            <w:vAlign w:val="bottom"/>
          </w:tcPr>
          <w:p>
            <w:pPr>
              <w:spacing w:after="0"/>
              <w:rPr>
                <w:sz w:val="19"/>
                <w:szCs w:val="19"/>
                <w:color w:val="auto"/>
              </w:rPr>
            </w:pPr>
          </w:p>
        </w:tc>
      </w:tr>
      <w:tr>
        <w:trPr>
          <w:trHeight w:val="258"/>
        </w:trPr>
        <w:tc>
          <w:tcPr>
            <w:tcW w:w="300" w:type="dxa"/>
            <w:vAlign w:val="bottom"/>
          </w:tcPr>
          <w:p>
            <w:pPr>
              <w:spacing w:after="0"/>
              <w:rPr>
                <w:sz w:val="22"/>
                <w:szCs w:val="22"/>
                <w:color w:val="auto"/>
              </w:rPr>
            </w:pPr>
          </w:p>
        </w:tc>
        <w:tc>
          <w:tcPr>
            <w:tcW w:w="2300" w:type="dxa"/>
            <w:vAlign w:val="bottom"/>
            <w:gridSpan w:val="3"/>
          </w:tcPr>
          <w:p>
            <w:pPr>
              <w:ind w:left="40"/>
              <w:spacing w:after="0"/>
              <w:rPr>
                <w:sz w:val="20"/>
                <w:szCs w:val="20"/>
                <w:color w:val="auto"/>
              </w:rPr>
            </w:pPr>
            <w:r>
              <w:rPr>
                <w:rFonts w:ascii="Times New Roman" w:cs="Times New Roman" w:eastAsia="Times New Roman" w:hAnsi="Times New Roman"/>
                <w:sz w:val="20"/>
                <w:szCs w:val="20"/>
                <w:color w:val="auto"/>
              </w:rPr>
              <w:t>Title: Authorized Signatory</w:t>
            </w:r>
          </w:p>
        </w:tc>
        <w:tc>
          <w:tcPr>
            <w:tcW w:w="640" w:type="dxa"/>
            <w:vAlign w:val="bottom"/>
          </w:tcPr>
          <w:p>
            <w:pPr>
              <w:spacing w:after="0"/>
              <w:rPr>
                <w:sz w:val="22"/>
                <w:szCs w:val="22"/>
                <w:color w:val="auto"/>
              </w:rPr>
            </w:pPr>
          </w:p>
        </w:tc>
      </w:tr>
    </w:tbl>
    <w:p>
      <w:pPr>
        <w:spacing w:after="0" w:line="200" w:lineRule="exact"/>
        <w:rPr>
          <w:sz w:val="20"/>
          <w:szCs w:val="20"/>
          <w:color w:val="auto"/>
        </w:rPr>
      </w:pPr>
    </w:p>
    <w:p>
      <w:pPr>
        <w:spacing w:after="0" w:line="230"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20"/>
          <w:szCs w:val="20"/>
          <w:color w:val="auto"/>
        </w:rPr>
        <w:t>H.I.G. Whitehorse SMA ABF, LLC</w:t>
      </w:r>
    </w:p>
    <w:p>
      <w:pPr>
        <w:spacing w:after="0" w:line="200" w:lineRule="exact"/>
        <w:rPr>
          <w:sz w:val="20"/>
          <w:szCs w:val="20"/>
          <w:color w:val="auto"/>
        </w:rPr>
      </w:pPr>
    </w:p>
    <w:p>
      <w:pPr>
        <w:spacing w:after="0" w:line="240" w:lineRule="exact"/>
        <w:rPr>
          <w:sz w:val="20"/>
          <w:szCs w:val="20"/>
          <w:color w:val="auto"/>
        </w:rPr>
      </w:pPr>
    </w:p>
    <w:tbl>
      <w:tblPr>
        <w:tblLayout w:type="fixed"/>
        <w:tblInd w:w="4420" w:type="dxa"/>
        <w:tblCellMar>
          <w:top w:w="0" w:type="dxa"/>
          <w:left w:w="0" w:type="dxa"/>
          <w:bottom w:w="0" w:type="dxa"/>
          <w:right w:w="0" w:type="dxa"/>
        </w:tblCellMar>
      </w:tblPr>
      <w:tr>
        <w:trPr>
          <w:trHeight w:val="230"/>
        </w:trPr>
        <w:tc>
          <w:tcPr>
            <w:tcW w:w="2600" w:type="dxa"/>
            <w:vAlign w:val="bottom"/>
            <w:gridSpan w:val="4"/>
          </w:tcPr>
          <w:p>
            <w:pPr>
              <w:spacing w:after="0"/>
              <w:rPr>
                <w:sz w:val="20"/>
                <w:szCs w:val="20"/>
                <w:color w:val="auto"/>
              </w:rPr>
            </w:pPr>
            <w:r>
              <w:rPr>
                <w:rFonts w:ascii="Times New Roman" w:cs="Times New Roman" w:eastAsia="Times New Roman" w:hAnsi="Times New Roman"/>
                <w:sz w:val="20"/>
                <w:szCs w:val="20"/>
                <w:color w:val="auto"/>
              </w:rPr>
              <w:t>By: /s/ Mark Bernier​   ​</w:t>
            </w:r>
          </w:p>
        </w:tc>
        <w:tc>
          <w:tcPr>
            <w:tcW w:w="640" w:type="dxa"/>
            <w:vAlign w:val="bottom"/>
          </w:tcPr>
          <w:p>
            <w:pPr>
              <w:spacing w:after="0"/>
              <w:rPr>
                <w:sz w:val="20"/>
                <w:szCs w:val="20"/>
                <w:color w:val="auto"/>
              </w:rPr>
            </w:pPr>
            <w:r>
              <w:rPr>
                <w:rFonts w:ascii="Times New Roman" w:cs="Times New Roman" w:eastAsia="Times New Roman" w:hAnsi="Times New Roman"/>
                <w:sz w:val="20"/>
                <w:szCs w:val="20"/>
                <w:color w:val="auto"/>
              </w:rPr>
              <w:t>​</w:t>
            </w:r>
          </w:p>
        </w:tc>
      </w:tr>
      <w:tr>
        <w:trPr>
          <w:trHeight w:val="20"/>
        </w:trPr>
        <w:tc>
          <w:tcPr>
            <w:tcW w:w="300" w:type="dxa"/>
            <w:vAlign w:val="bottom"/>
          </w:tcPr>
          <w:p>
            <w:pPr>
              <w:spacing w:after="0" w:line="20" w:lineRule="exact"/>
              <w:rPr>
                <w:sz w:val="1"/>
                <w:szCs w:val="1"/>
                <w:color w:val="auto"/>
              </w:rPr>
            </w:pPr>
          </w:p>
        </w:tc>
        <w:tc>
          <w:tcPr>
            <w:tcW w:w="164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r>
      <w:tr>
        <w:trPr>
          <w:trHeight w:val="227"/>
        </w:trPr>
        <w:tc>
          <w:tcPr>
            <w:tcW w:w="300" w:type="dxa"/>
            <w:vAlign w:val="bottom"/>
          </w:tcPr>
          <w:p>
            <w:pPr>
              <w:spacing w:after="0"/>
              <w:rPr>
                <w:sz w:val="19"/>
                <w:szCs w:val="19"/>
                <w:color w:val="auto"/>
              </w:rPr>
            </w:pPr>
          </w:p>
        </w:tc>
        <w:tc>
          <w:tcPr>
            <w:tcW w:w="2300" w:type="dxa"/>
            <w:vAlign w:val="bottom"/>
            <w:gridSpan w:val="3"/>
          </w:tcPr>
          <w:p>
            <w:pPr>
              <w:ind w:left="40"/>
              <w:spacing w:after="0" w:line="228" w:lineRule="exact"/>
              <w:rPr>
                <w:sz w:val="20"/>
                <w:szCs w:val="20"/>
                <w:color w:val="auto"/>
              </w:rPr>
            </w:pPr>
            <w:r>
              <w:rPr>
                <w:rFonts w:ascii="Times New Roman" w:cs="Times New Roman" w:eastAsia="Times New Roman" w:hAnsi="Times New Roman"/>
                <w:sz w:val="20"/>
                <w:szCs w:val="20"/>
                <w:color w:val="auto"/>
              </w:rPr>
              <w:t>Name: Mark Bernier</w:t>
            </w:r>
          </w:p>
        </w:tc>
        <w:tc>
          <w:tcPr>
            <w:tcW w:w="640" w:type="dxa"/>
            <w:vAlign w:val="bottom"/>
          </w:tcPr>
          <w:p>
            <w:pPr>
              <w:spacing w:after="0"/>
              <w:rPr>
                <w:sz w:val="19"/>
                <w:szCs w:val="19"/>
                <w:color w:val="auto"/>
              </w:rPr>
            </w:pPr>
          </w:p>
        </w:tc>
      </w:tr>
      <w:tr>
        <w:trPr>
          <w:trHeight w:val="258"/>
        </w:trPr>
        <w:tc>
          <w:tcPr>
            <w:tcW w:w="300" w:type="dxa"/>
            <w:vAlign w:val="bottom"/>
          </w:tcPr>
          <w:p>
            <w:pPr>
              <w:spacing w:after="0"/>
              <w:rPr>
                <w:sz w:val="22"/>
                <w:szCs w:val="22"/>
                <w:color w:val="auto"/>
              </w:rPr>
            </w:pPr>
          </w:p>
        </w:tc>
        <w:tc>
          <w:tcPr>
            <w:tcW w:w="2300" w:type="dxa"/>
            <w:vAlign w:val="bottom"/>
            <w:gridSpan w:val="3"/>
          </w:tcPr>
          <w:p>
            <w:pPr>
              <w:ind w:left="40"/>
              <w:spacing w:after="0"/>
              <w:rPr>
                <w:sz w:val="20"/>
                <w:szCs w:val="20"/>
                <w:color w:val="auto"/>
              </w:rPr>
            </w:pPr>
            <w:r>
              <w:rPr>
                <w:rFonts w:ascii="Times New Roman" w:cs="Times New Roman" w:eastAsia="Times New Roman" w:hAnsi="Times New Roman"/>
                <w:sz w:val="20"/>
                <w:szCs w:val="20"/>
                <w:color w:val="auto"/>
              </w:rPr>
              <w:t>Title: Authorized Signatory</w:t>
            </w:r>
          </w:p>
        </w:tc>
        <w:tc>
          <w:tcPr>
            <w:tcW w:w="640" w:type="dxa"/>
            <w:vAlign w:val="bottom"/>
          </w:tcPr>
          <w:p>
            <w:pPr>
              <w:spacing w:after="0"/>
              <w:rPr>
                <w:sz w:val="22"/>
                <w:szCs w:val="22"/>
                <w:color w:val="auto"/>
              </w:rPr>
            </w:pPr>
          </w:p>
        </w:tc>
      </w:tr>
    </w:tbl>
    <w:p>
      <w:pPr>
        <w:spacing w:after="0" w:line="200" w:lineRule="exact"/>
        <w:rPr>
          <w:sz w:val="20"/>
          <w:szCs w:val="20"/>
          <w:color w:val="auto"/>
        </w:rPr>
      </w:pPr>
    </w:p>
    <w:p>
      <w:pPr>
        <w:spacing w:after="0" w:line="230"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20"/>
          <w:szCs w:val="20"/>
          <w:color w:val="auto"/>
        </w:rPr>
        <w:t>H.I.G. Whitehorse SSG CC Credit, LLC</w:t>
      </w:r>
    </w:p>
    <w:p>
      <w:pPr>
        <w:spacing w:after="0" w:line="200" w:lineRule="exact"/>
        <w:rPr>
          <w:sz w:val="20"/>
          <w:szCs w:val="20"/>
          <w:color w:val="auto"/>
        </w:rPr>
      </w:pPr>
    </w:p>
    <w:p>
      <w:pPr>
        <w:spacing w:after="0" w:line="240" w:lineRule="exact"/>
        <w:rPr>
          <w:sz w:val="20"/>
          <w:szCs w:val="20"/>
          <w:color w:val="auto"/>
        </w:rPr>
      </w:pPr>
    </w:p>
    <w:tbl>
      <w:tblPr>
        <w:tblLayout w:type="fixed"/>
        <w:tblInd w:w="4420" w:type="dxa"/>
        <w:tblCellMar>
          <w:top w:w="0" w:type="dxa"/>
          <w:left w:w="0" w:type="dxa"/>
          <w:bottom w:w="0" w:type="dxa"/>
          <w:right w:w="0" w:type="dxa"/>
        </w:tblCellMar>
      </w:tblPr>
      <w:tr>
        <w:trPr>
          <w:trHeight w:val="230"/>
        </w:trPr>
        <w:tc>
          <w:tcPr>
            <w:tcW w:w="2600" w:type="dxa"/>
            <w:vAlign w:val="bottom"/>
            <w:gridSpan w:val="4"/>
          </w:tcPr>
          <w:p>
            <w:pPr>
              <w:spacing w:after="0"/>
              <w:rPr>
                <w:sz w:val="20"/>
                <w:szCs w:val="20"/>
                <w:color w:val="auto"/>
              </w:rPr>
            </w:pPr>
            <w:r>
              <w:rPr>
                <w:rFonts w:ascii="Times New Roman" w:cs="Times New Roman" w:eastAsia="Times New Roman" w:hAnsi="Times New Roman"/>
                <w:sz w:val="20"/>
                <w:szCs w:val="20"/>
                <w:color w:val="auto"/>
              </w:rPr>
              <w:t>By: /s/ Mark Bernier​   ​</w:t>
            </w:r>
          </w:p>
        </w:tc>
        <w:tc>
          <w:tcPr>
            <w:tcW w:w="640" w:type="dxa"/>
            <w:vAlign w:val="bottom"/>
          </w:tcPr>
          <w:p>
            <w:pPr>
              <w:spacing w:after="0"/>
              <w:rPr>
                <w:sz w:val="20"/>
                <w:szCs w:val="20"/>
                <w:color w:val="auto"/>
              </w:rPr>
            </w:pPr>
            <w:r>
              <w:rPr>
                <w:rFonts w:ascii="Times New Roman" w:cs="Times New Roman" w:eastAsia="Times New Roman" w:hAnsi="Times New Roman"/>
                <w:sz w:val="20"/>
                <w:szCs w:val="20"/>
                <w:color w:val="auto"/>
              </w:rPr>
              <w:t>​</w:t>
            </w:r>
          </w:p>
        </w:tc>
      </w:tr>
      <w:tr>
        <w:trPr>
          <w:trHeight w:val="20"/>
        </w:trPr>
        <w:tc>
          <w:tcPr>
            <w:tcW w:w="300" w:type="dxa"/>
            <w:vAlign w:val="bottom"/>
          </w:tcPr>
          <w:p>
            <w:pPr>
              <w:spacing w:after="0" w:line="20" w:lineRule="exact"/>
              <w:rPr>
                <w:sz w:val="1"/>
                <w:szCs w:val="1"/>
                <w:color w:val="auto"/>
              </w:rPr>
            </w:pPr>
          </w:p>
        </w:tc>
        <w:tc>
          <w:tcPr>
            <w:tcW w:w="164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r>
      <w:tr>
        <w:trPr>
          <w:trHeight w:val="227"/>
        </w:trPr>
        <w:tc>
          <w:tcPr>
            <w:tcW w:w="300" w:type="dxa"/>
            <w:vAlign w:val="bottom"/>
          </w:tcPr>
          <w:p>
            <w:pPr>
              <w:spacing w:after="0"/>
              <w:rPr>
                <w:sz w:val="19"/>
                <w:szCs w:val="19"/>
                <w:color w:val="auto"/>
              </w:rPr>
            </w:pPr>
          </w:p>
        </w:tc>
        <w:tc>
          <w:tcPr>
            <w:tcW w:w="2300" w:type="dxa"/>
            <w:vAlign w:val="bottom"/>
            <w:gridSpan w:val="3"/>
          </w:tcPr>
          <w:p>
            <w:pPr>
              <w:ind w:left="40"/>
              <w:spacing w:after="0" w:line="228" w:lineRule="exact"/>
              <w:rPr>
                <w:sz w:val="20"/>
                <w:szCs w:val="20"/>
                <w:color w:val="auto"/>
              </w:rPr>
            </w:pPr>
            <w:r>
              <w:rPr>
                <w:rFonts w:ascii="Times New Roman" w:cs="Times New Roman" w:eastAsia="Times New Roman" w:hAnsi="Times New Roman"/>
                <w:sz w:val="20"/>
                <w:szCs w:val="20"/>
                <w:color w:val="auto"/>
              </w:rPr>
              <w:t>Name: Mark Bernier</w:t>
            </w:r>
          </w:p>
        </w:tc>
        <w:tc>
          <w:tcPr>
            <w:tcW w:w="640" w:type="dxa"/>
            <w:vAlign w:val="bottom"/>
          </w:tcPr>
          <w:p>
            <w:pPr>
              <w:spacing w:after="0"/>
              <w:rPr>
                <w:sz w:val="19"/>
                <w:szCs w:val="19"/>
                <w:color w:val="auto"/>
              </w:rPr>
            </w:pPr>
          </w:p>
        </w:tc>
      </w:tr>
      <w:tr>
        <w:trPr>
          <w:trHeight w:val="258"/>
        </w:trPr>
        <w:tc>
          <w:tcPr>
            <w:tcW w:w="300" w:type="dxa"/>
            <w:vAlign w:val="bottom"/>
          </w:tcPr>
          <w:p>
            <w:pPr>
              <w:spacing w:after="0"/>
              <w:rPr>
                <w:sz w:val="22"/>
                <w:szCs w:val="22"/>
                <w:color w:val="auto"/>
              </w:rPr>
            </w:pPr>
          </w:p>
        </w:tc>
        <w:tc>
          <w:tcPr>
            <w:tcW w:w="2300" w:type="dxa"/>
            <w:vAlign w:val="bottom"/>
            <w:gridSpan w:val="3"/>
          </w:tcPr>
          <w:p>
            <w:pPr>
              <w:ind w:left="40"/>
              <w:spacing w:after="0"/>
              <w:rPr>
                <w:sz w:val="20"/>
                <w:szCs w:val="20"/>
                <w:color w:val="auto"/>
              </w:rPr>
            </w:pPr>
            <w:r>
              <w:rPr>
                <w:rFonts w:ascii="Times New Roman" w:cs="Times New Roman" w:eastAsia="Times New Roman" w:hAnsi="Times New Roman"/>
                <w:sz w:val="20"/>
                <w:szCs w:val="20"/>
                <w:color w:val="auto"/>
              </w:rPr>
              <w:t>Title: Authorized Signatory</w:t>
            </w:r>
          </w:p>
        </w:tc>
        <w:tc>
          <w:tcPr>
            <w:tcW w:w="640" w:type="dxa"/>
            <w:vAlign w:val="bottom"/>
          </w:tcPr>
          <w:p>
            <w:pPr>
              <w:spacing w:after="0"/>
              <w:rPr>
                <w:sz w:val="22"/>
                <w:szCs w:val="22"/>
                <w:color w:val="auto"/>
              </w:rPr>
            </w:pP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-11430</wp:posOffset>
            </wp:positionV>
            <wp:extent cx="408305" cy="825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21">
                      <a:extLst>
                        <a:ext uri="{28A0092B-C50C-407E-A947-70E740481C1C}"/>
                      </a:extLst>
                    </a:blip>
                    <a:srcRect/>
                    <a:stretch>
                      <a:fillRect/>
                    </a:stretch>
                  </pic:blipFill>
                  <pic:spPr bwMode="auto">
                    <a:xfrm>
                      <a:off x="0" y="0"/>
                      <a:ext cx="40830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-11430</wp:posOffset>
            </wp:positionV>
            <wp:extent cx="408305" cy="825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22">
                      <a:extLst>
                        <a:ext uri="{28A0092B-C50C-407E-A947-70E740481C1C}"/>
                      </a:extLst>
                    </a:blip>
                    <a:srcRect/>
                    <a:stretch>
                      <a:fillRect/>
                    </a:stretch>
                  </pic:blipFill>
                  <pic:spPr bwMode="auto">
                    <a:xfrm>
                      <a:off x="0" y="0"/>
                      <a:ext cx="40830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-11430</wp:posOffset>
            </wp:positionV>
            <wp:extent cx="408305" cy="825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23">
                      <a:extLst>
                        <a:ext uri="{28A0092B-C50C-407E-A947-70E740481C1C}"/>
                      </a:extLst>
                    </a:blip>
                    <a:srcRect/>
                    <a:stretch>
                      <a:fillRect/>
                    </a:stretch>
                  </pic:blipFill>
                  <pic:spPr bwMode="auto">
                    <a:xfrm>
                      <a:off x="0" y="0"/>
                      <a:ext cx="40830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-11430</wp:posOffset>
            </wp:positionV>
            <wp:extent cx="408305" cy="825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24">
                      <a:extLst>
                        <a:ext uri="{28A0092B-C50C-407E-A947-70E740481C1C}"/>
                      </a:extLst>
                    </a:blip>
                    <a:srcRect/>
                    <a:stretch>
                      <a:fillRect/>
                    </a:stretch>
                  </pic:blipFill>
                  <pic:spPr bwMode="auto">
                    <a:xfrm>
                      <a:off x="0" y="0"/>
                      <a:ext cx="408305" cy="8255"/>
                    </a:xfrm>
                    <a:prstGeom prst="rect">
                      <a:avLst/>
                    </a:prstGeom>
                    <a:noFill/>
                  </pic:spPr>
                </pic:pic>
              </a:graphicData>
            </a:graphic>
          </wp:anchor>
        </w:drawing>
      </w:r>
    </w:p>
    <w:p>
      <w:pPr>
        <w:spacing w:after="0" w:line="686" w:lineRule="exact"/>
        <w:rPr>
          <w:sz w:val="20"/>
          <w:szCs w:val="20"/>
          <w:color w:val="auto"/>
        </w:rPr>
      </w:pPr>
    </w:p>
    <w:p>
      <w:pPr>
        <w:sectPr>
          <w:pgSz w:w="11900" w:h="16838" w:orient="portrait"/>
          <w:cols w:equalWidth="0" w:num="2">
            <w:col w:w="7660" w:space="0"/>
            <w:col w:w="1359"/>
          </w:cols>
          <w:pgMar w:left="1440" w:top="900" w:right="1440" w:bottom="1440" w:gutter="0" w:footer="0" w:header="0"/>
          <w:type w:val="continuous"/>
        </w:sectPr>
      </w:pPr>
    </w:p>
    <w:p>
      <w:pPr>
        <w:spacing w:after="0" w:line="230"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20"/>
          <w:szCs w:val="20"/>
          <w:color w:val="auto"/>
        </w:rPr>
        <w:t>H.I.G. WHITEHORSE TRINITY CLO, Ltd.</w:t>
      </w:r>
    </w:p>
    <w:p>
      <w:pPr>
        <w:spacing w:after="0" w:line="200" w:lineRule="exact"/>
        <w:rPr>
          <w:sz w:val="20"/>
          <w:szCs w:val="20"/>
          <w:color w:val="auto"/>
        </w:rPr>
      </w:pPr>
    </w:p>
    <w:p>
      <w:pPr>
        <w:spacing w:after="0" w:line="240" w:lineRule="exact"/>
        <w:rPr>
          <w:sz w:val="20"/>
          <w:szCs w:val="20"/>
          <w:color w:val="auto"/>
        </w:rPr>
      </w:pPr>
    </w:p>
    <w:tbl>
      <w:tblPr>
        <w:tblLayout w:type="fixed"/>
        <w:tblInd w:w="4420" w:type="dxa"/>
        <w:tblCellMar>
          <w:top w:w="0" w:type="dxa"/>
          <w:left w:w="0" w:type="dxa"/>
          <w:bottom w:w="0" w:type="dxa"/>
          <w:right w:w="0" w:type="dxa"/>
        </w:tblCellMar>
      </w:tblPr>
      <w:tr>
        <w:trPr>
          <w:trHeight w:val="230"/>
        </w:trPr>
        <w:tc>
          <w:tcPr>
            <w:tcW w:w="2600" w:type="dxa"/>
            <w:vAlign w:val="bottom"/>
            <w:gridSpan w:val="4"/>
          </w:tcPr>
          <w:p>
            <w:pPr>
              <w:spacing w:after="0"/>
              <w:rPr>
                <w:sz w:val="20"/>
                <w:szCs w:val="20"/>
                <w:color w:val="auto"/>
              </w:rPr>
            </w:pPr>
            <w:r>
              <w:rPr>
                <w:rFonts w:ascii="Times New Roman" w:cs="Times New Roman" w:eastAsia="Times New Roman" w:hAnsi="Times New Roman"/>
                <w:sz w:val="20"/>
                <w:szCs w:val="20"/>
                <w:color w:val="auto"/>
              </w:rPr>
              <w:t>By: /s/ Mark Bernier​   ​</w:t>
            </w:r>
          </w:p>
        </w:tc>
        <w:tc>
          <w:tcPr>
            <w:tcW w:w="640" w:type="dxa"/>
            <w:vAlign w:val="bottom"/>
          </w:tcPr>
          <w:p>
            <w:pPr>
              <w:spacing w:after="0"/>
              <w:rPr>
                <w:sz w:val="20"/>
                <w:szCs w:val="20"/>
                <w:color w:val="auto"/>
              </w:rPr>
            </w:pPr>
            <w:r>
              <w:rPr>
                <w:rFonts w:ascii="Times New Roman" w:cs="Times New Roman" w:eastAsia="Times New Roman" w:hAnsi="Times New Roman"/>
                <w:sz w:val="20"/>
                <w:szCs w:val="20"/>
                <w:color w:val="auto"/>
              </w:rPr>
              <w:t>​</w:t>
            </w:r>
          </w:p>
        </w:tc>
        <w:tc>
          <w:tcPr>
            <w:tcW w:w="640" w:type="dxa"/>
            <w:vAlign w:val="bottom"/>
          </w:tcPr>
          <w:p>
            <w:pPr>
              <w:spacing w:after="0"/>
              <w:rPr>
                <w:sz w:val="20"/>
                <w:szCs w:val="20"/>
                <w:color w:val="auto"/>
              </w:rPr>
            </w:pPr>
            <w:r>
              <w:rPr>
                <w:rFonts w:ascii="Times New Roman" w:cs="Times New Roman" w:eastAsia="Times New Roman" w:hAnsi="Times New Roman"/>
                <w:sz w:val="20"/>
                <w:szCs w:val="20"/>
                <w:color w:val="auto"/>
              </w:rPr>
              <w:t>​</w:t>
            </w:r>
          </w:p>
        </w:tc>
      </w:tr>
      <w:tr>
        <w:trPr>
          <w:trHeight w:val="20"/>
        </w:trPr>
        <w:tc>
          <w:tcPr>
            <w:tcW w:w="300" w:type="dxa"/>
            <w:vAlign w:val="bottom"/>
          </w:tcPr>
          <w:p>
            <w:pPr>
              <w:spacing w:after="0" w:line="20" w:lineRule="exact"/>
              <w:rPr>
                <w:sz w:val="1"/>
                <w:szCs w:val="1"/>
                <w:color w:val="auto"/>
              </w:rPr>
            </w:pPr>
          </w:p>
        </w:tc>
        <w:tc>
          <w:tcPr>
            <w:tcW w:w="164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r>
      <w:tr>
        <w:trPr>
          <w:trHeight w:val="227"/>
        </w:trPr>
        <w:tc>
          <w:tcPr>
            <w:tcW w:w="300" w:type="dxa"/>
            <w:vAlign w:val="bottom"/>
          </w:tcPr>
          <w:p>
            <w:pPr>
              <w:spacing w:after="0"/>
              <w:rPr>
                <w:sz w:val="19"/>
                <w:szCs w:val="19"/>
                <w:color w:val="auto"/>
              </w:rPr>
            </w:pPr>
          </w:p>
        </w:tc>
        <w:tc>
          <w:tcPr>
            <w:tcW w:w="2300" w:type="dxa"/>
            <w:vAlign w:val="bottom"/>
            <w:gridSpan w:val="3"/>
          </w:tcPr>
          <w:p>
            <w:pPr>
              <w:ind w:left="40"/>
              <w:spacing w:after="0" w:line="228" w:lineRule="exact"/>
              <w:rPr>
                <w:sz w:val="20"/>
                <w:szCs w:val="20"/>
                <w:color w:val="auto"/>
              </w:rPr>
            </w:pPr>
            <w:r>
              <w:rPr>
                <w:rFonts w:ascii="Times New Roman" w:cs="Times New Roman" w:eastAsia="Times New Roman" w:hAnsi="Times New Roman"/>
                <w:sz w:val="20"/>
                <w:szCs w:val="20"/>
                <w:color w:val="auto"/>
              </w:rPr>
              <w:t>Name: Mark Bernier</w:t>
            </w:r>
          </w:p>
        </w:tc>
        <w:tc>
          <w:tcPr>
            <w:tcW w:w="640" w:type="dxa"/>
            <w:vAlign w:val="bottom"/>
          </w:tcPr>
          <w:p>
            <w:pPr>
              <w:spacing w:after="0"/>
              <w:rPr>
                <w:sz w:val="19"/>
                <w:szCs w:val="19"/>
                <w:color w:val="auto"/>
              </w:rPr>
            </w:pPr>
          </w:p>
        </w:tc>
        <w:tc>
          <w:tcPr>
            <w:tcW w:w="640" w:type="dxa"/>
            <w:vAlign w:val="bottom"/>
          </w:tcPr>
          <w:p>
            <w:pPr>
              <w:spacing w:after="0"/>
              <w:rPr>
                <w:sz w:val="19"/>
                <w:szCs w:val="19"/>
                <w:color w:val="auto"/>
              </w:rPr>
            </w:pPr>
          </w:p>
        </w:tc>
      </w:tr>
      <w:tr>
        <w:trPr>
          <w:trHeight w:val="258"/>
        </w:trPr>
        <w:tc>
          <w:tcPr>
            <w:tcW w:w="300" w:type="dxa"/>
            <w:vAlign w:val="bottom"/>
          </w:tcPr>
          <w:p>
            <w:pPr>
              <w:spacing w:after="0"/>
              <w:rPr>
                <w:sz w:val="22"/>
                <w:szCs w:val="22"/>
                <w:color w:val="auto"/>
              </w:rPr>
            </w:pPr>
          </w:p>
        </w:tc>
        <w:tc>
          <w:tcPr>
            <w:tcW w:w="2300" w:type="dxa"/>
            <w:vAlign w:val="bottom"/>
            <w:gridSpan w:val="3"/>
          </w:tcPr>
          <w:p>
            <w:pPr>
              <w:ind w:left="40"/>
              <w:spacing w:after="0"/>
              <w:rPr>
                <w:sz w:val="20"/>
                <w:szCs w:val="20"/>
                <w:color w:val="auto"/>
              </w:rPr>
            </w:pPr>
            <w:r>
              <w:rPr>
                <w:rFonts w:ascii="Times New Roman" w:cs="Times New Roman" w:eastAsia="Times New Roman" w:hAnsi="Times New Roman"/>
                <w:sz w:val="20"/>
                <w:szCs w:val="20"/>
                <w:color w:val="auto"/>
              </w:rPr>
              <w:t>Title: Authorized Signatory</w:t>
            </w:r>
          </w:p>
        </w:tc>
        <w:tc>
          <w:tcPr>
            <w:tcW w:w="640" w:type="dxa"/>
            <w:vAlign w:val="bottom"/>
          </w:tcPr>
          <w:p>
            <w:pPr>
              <w:spacing w:after="0"/>
              <w:rPr>
                <w:sz w:val="22"/>
                <w:szCs w:val="22"/>
                <w:color w:val="auto"/>
              </w:rPr>
            </w:pPr>
          </w:p>
        </w:tc>
        <w:tc>
          <w:tcPr>
            <w:tcW w:w="640" w:type="dxa"/>
            <w:vAlign w:val="bottom"/>
          </w:tcPr>
          <w:p>
            <w:pPr>
              <w:spacing w:after="0"/>
              <w:rPr>
                <w:sz w:val="22"/>
                <w:szCs w:val="22"/>
                <w:color w:val="auto"/>
              </w:rPr>
            </w:pPr>
          </w:p>
        </w:tc>
      </w:tr>
    </w:tbl>
    <w:p>
      <w:pPr>
        <w:spacing w:after="0" w:line="200" w:lineRule="exact"/>
        <w:rPr>
          <w:sz w:val="20"/>
          <w:szCs w:val="20"/>
          <w:color w:val="auto"/>
        </w:rPr>
      </w:pPr>
    </w:p>
    <w:p>
      <w:pPr>
        <w:spacing w:after="0" w:line="230"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20"/>
          <w:szCs w:val="20"/>
          <w:color w:val="auto"/>
        </w:rPr>
        <w:t>H.I.G. Whitehorse Trinity Credit, LLC</w:t>
      </w:r>
    </w:p>
    <w:p>
      <w:pPr>
        <w:spacing w:after="0" w:line="200" w:lineRule="exact"/>
        <w:rPr>
          <w:sz w:val="20"/>
          <w:szCs w:val="20"/>
          <w:color w:val="auto"/>
        </w:rPr>
      </w:pPr>
    </w:p>
    <w:p>
      <w:pPr>
        <w:spacing w:after="0" w:line="240" w:lineRule="exact"/>
        <w:rPr>
          <w:sz w:val="20"/>
          <w:szCs w:val="20"/>
          <w:color w:val="auto"/>
        </w:rPr>
      </w:pPr>
    </w:p>
    <w:tbl>
      <w:tblPr>
        <w:tblLayout w:type="fixed"/>
        <w:tblInd w:w="4420" w:type="dxa"/>
        <w:tblCellMar>
          <w:top w:w="0" w:type="dxa"/>
          <w:left w:w="0" w:type="dxa"/>
          <w:bottom w:w="0" w:type="dxa"/>
          <w:right w:w="0" w:type="dxa"/>
        </w:tblCellMar>
      </w:tblPr>
      <w:tr>
        <w:trPr>
          <w:trHeight w:val="230"/>
        </w:trPr>
        <w:tc>
          <w:tcPr>
            <w:tcW w:w="2600" w:type="dxa"/>
            <w:vAlign w:val="bottom"/>
            <w:gridSpan w:val="4"/>
          </w:tcPr>
          <w:p>
            <w:pPr>
              <w:spacing w:after="0"/>
              <w:rPr>
                <w:sz w:val="20"/>
                <w:szCs w:val="20"/>
                <w:color w:val="auto"/>
              </w:rPr>
            </w:pPr>
            <w:r>
              <w:rPr>
                <w:rFonts w:ascii="Times New Roman" w:cs="Times New Roman" w:eastAsia="Times New Roman" w:hAnsi="Times New Roman"/>
                <w:sz w:val="20"/>
                <w:szCs w:val="20"/>
                <w:color w:val="auto"/>
              </w:rPr>
              <w:t>By: /s/ Mark Bernier​   ​</w:t>
            </w:r>
          </w:p>
        </w:tc>
        <w:tc>
          <w:tcPr>
            <w:tcW w:w="640" w:type="dxa"/>
            <w:vAlign w:val="bottom"/>
          </w:tcPr>
          <w:p>
            <w:pPr>
              <w:spacing w:after="0"/>
              <w:rPr>
                <w:sz w:val="20"/>
                <w:szCs w:val="20"/>
                <w:color w:val="auto"/>
              </w:rPr>
            </w:pPr>
            <w:r>
              <w:rPr>
                <w:rFonts w:ascii="Times New Roman" w:cs="Times New Roman" w:eastAsia="Times New Roman" w:hAnsi="Times New Roman"/>
                <w:sz w:val="20"/>
                <w:szCs w:val="20"/>
                <w:color w:val="auto"/>
              </w:rPr>
              <w:t>​</w:t>
            </w:r>
          </w:p>
        </w:tc>
        <w:tc>
          <w:tcPr>
            <w:tcW w:w="640" w:type="dxa"/>
            <w:vAlign w:val="bottom"/>
          </w:tcPr>
          <w:p>
            <w:pPr>
              <w:spacing w:after="0"/>
              <w:rPr>
                <w:sz w:val="20"/>
                <w:szCs w:val="20"/>
                <w:color w:val="auto"/>
              </w:rPr>
            </w:pPr>
            <w:r>
              <w:rPr>
                <w:rFonts w:ascii="Times New Roman" w:cs="Times New Roman" w:eastAsia="Times New Roman" w:hAnsi="Times New Roman"/>
                <w:sz w:val="20"/>
                <w:szCs w:val="20"/>
                <w:color w:val="auto"/>
              </w:rPr>
              <w:t>​</w:t>
            </w:r>
          </w:p>
        </w:tc>
      </w:tr>
      <w:tr>
        <w:trPr>
          <w:trHeight w:val="20"/>
        </w:trPr>
        <w:tc>
          <w:tcPr>
            <w:tcW w:w="300" w:type="dxa"/>
            <w:vAlign w:val="bottom"/>
          </w:tcPr>
          <w:p>
            <w:pPr>
              <w:spacing w:after="0" w:line="20" w:lineRule="exact"/>
              <w:rPr>
                <w:sz w:val="1"/>
                <w:szCs w:val="1"/>
                <w:color w:val="auto"/>
              </w:rPr>
            </w:pPr>
          </w:p>
        </w:tc>
        <w:tc>
          <w:tcPr>
            <w:tcW w:w="164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r>
      <w:tr>
        <w:trPr>
          <w:trHeight w:val="227"/>
        </w:trPr>
        <w:tc>
          <w:tcPr>
            <w:tcW w:w="300" w:type="dxa"/>
            <w:vAlign w:val="bottom"/>
          </w:tcPr>
          <w:p>
            <w:pPr>
              <w:spacing w:after="0"/>
              <w:rPr>
                <w:sz w:val="19"/>
                <w:szCs w:val="19"/>
                <w:color w:val="auto"/>
              </w:rPr>
            </w:pPr>
          </w:p>
        </w:tc>
        <w:tc>
          <w:tcPr>
            <w:tcW w:w="2300" w:type="dxa"/>
            <w:vAlign w:val="bottom"/>
            <w:gridSpan w:val="3"/>
          </w:tcPr>
          <w:p>
            <w:pPr>
              <w:ind w:left="40"/>
              <w:spacing w:after="0" w:line="228" w:lineRule="exact"/>
              <w:rPr>
                <w:sz w:val="20"/>
                <w:szCs w:val="20"/>
                <w:color w:val="auto"/>
              </w:rPr>
            </w:pPr>
            <w:r>
              <w:rPr>
                <w:rFonts w:ascii="Times New Roman" w:cs="Times New Roman" w:eastAsia="Times New Roman" w:hAnsi="Times New Roman"/>
                <w:sz w:val="20"/>
                <w:szCs w:val="20"/>
                <w:color w:val="auto"/>
              </w:rPr>
              <w:t>Name: Mark Bernier</w:t>
            </w:r>
          </w:p>
        </w:tc>
        <w:tc>
          <w:tcPr>
            <w:tcW w:w="640" w:type="dxa"/>
            <w:vAlign w:val="bottom"/>
          </w:tcPr>
          <w:p>
            <w:pPr>
              <w:spacing w:after="0"/>
              <w:rPr>
                <w:sz w:val="19"/>
                <w:szCs w:val="19"/>
                <w:color w:val="auto"/>
              </w:rPr>
            </w:pPr>
          </w:p>
        </w:tc>
        <w:tc>
          <w:tcPr>
            <w:tcW w:w="640" w:type="dxa"/>
            <w:vAlign w:val="bottom"/>
          </w:tcPr>
          <w:p>
            <w:pPr>
              <w:spacing w:after="0"/>
              <w:rPr>
                <w:sz w:val="19"/>
                <w:szCs w:val="19"/>
                <w:color w:val="auto"/>
              </w:rPr>
            </w:pPr>
          </w:p>
        </w:tc>
      </w:tr>
      <w:tr>
        <w:trPr>
          <w:trHeight w:val="258"/>
        </w:trPr>
        <w:tc>
          <w:tcPr>
            <w:tcW w:w="300" w:type="dxa"/>
            <w:vAlign w:val="bottom"/>
          </w:tcPr>
          <w:p>
            <w:pPr>
              <w:spacing w:after="0"/>
              <w:rPr>
                <w:sz w:val="22"/>
                <w:szCs w:val="22"/>
                <w:color w:val="auto"/>
              </w:rPr>
            </w:pPr>
          </w:p>
        </w:tc>
        <w:tc>
          <w:tcPr>
            <w:tcW w:w="2300" w:type="dxa"/>
            <w:vAlign w:val="bottom"/>
            <w:gridSpan w:val="3"/>
          </w:tcPr>
          <w:p>
            <w:pPr>
              <w:ind w:left="40"/>
              <w:spacing w:after="0"/>
              <w:rPr>
                <w:sz w:val="20"/>
                <w:szCs w:val="20"/>
                <w:color w:val="auto"/>
              </w:rPr>
            </w:pPr>
            <w:r>
              <w:rPr>
                <w:rFonts w:ascii="Times New Roman" w:cs="Times New Roman" w:eastAsia="Times New Roman" w:hAnsi="Times New Roman"/>
                <w:sz w:val="20"/>
                <w:szCs w:val="20"/>
                <w:color w:val="auto"/>
              </w:rPr>
              <w:t>Title: Authorized Signatory</w:t>
            </w:r>
          </w:p>
        </w:tc>
        <w:tc>
          <w:tcPr>
            <w:tcW w:w="640" w:type="dxa"/>
            <w:vAlign w:val="bottom"/>
          </w:tcPr>
          <w:p>
            <w:pPr>
              <w:spacing w:after="0"/>
              <w:rPr>
                <w:sz w:val="22"/>
                <w:szCs w:val="22"/>
                <w:color w:val="auto"/>
              </w:rPr>
            </w:pPr>
          </w:p>
        </w:tc>
        <w:tc>
          <w:tcPr>
            <w:tcW w:w="640" w:type="dxa"/>
            <w:vAlign w:val="bottom"/>
          </w:tcPr>
          <w:p>
            <w:pPr>
              <w:spacing w:after="0"/>
              <w:rPr>
                <w:sz w:val="22"/>
                <w:szCs w:val="22"/>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4"/>
          <w:szCs w:val="14"/>
          <w:color w:val="auto"/>
        </w:rPr>
        <w:t>US-DOCS\171161013.8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339725</wp:posOffset>
            </wp:positionH>
            <wp:positionV relativeFrom="paragraph">
              <wp:posOffset>349250</wp:posOffset>
            </wp:positionV>
            <wp:extent cx="5040630" cy="2540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25">
                      <a:extLst>
                        <a:ext uri="{28A0092B-C50C-407E-A947-70E740481C1C}"/>
                      </a:extLst>
                    </a:blip>
                    <a:srcRect/>
                    <a:stretch>
                      <a:fillRect/>
                    </a:stretch>
                  </pic:blipFill>
                  <pic:spPr bwMode="auto">
                    <a:xfrm>
                      <a:off x="0" y="0"/>
                      <a:ext cx="5040630" cy="25400"/>
                    </a:xfrm>
                    <a:prstGeom prst="rect">
                      <a:avLst/>
                    </a:prstGeom>
                    <a:noFill/>
                  </pic:spPr>
                </pic:pic>
              </a:graphicData>
            </a:graphic>
          </wp:anchor>
        </w:drawing>
      </w:r>
    </w:p>
    <w:p>
      <w:pPr>
        <w:sectPr>
          <w:pgSz w:w="11900" w:h="16838" w:orient="portrait"/>
          <w:cols w:equalWidth="0" w:num="1">
            <w:col w:w="9019"/>
          </w:cols>
          <w:pgMar w:left="1440" w:top="900" w:right="1440" w:bottom="1440" w:gutter="0" w:footer="0" w:header="0"/>
          <w:type w:val="continuous"/>
        </w:sectPr>
      </w:pPr>
    </w:p>
    <w:bookmarkStart w:id="76" w:name="page77"/>
    <w:bookmarkEnd w:id="76"/>
    <w:p>
      <w:pPr>
        <w:ind w:left="4420"/>
        <w:spacing w:after="0"/>
        <w:rPr>
          <w:sz w:val="20"/>
          <w:szCs w:val="20"/>
          <w:color w:val="auto"/>
        </w:rPr>
      </w:pPr>
      <w:r>
        <w:rPr>
          <w:rFonts w:ascii="Times New Roman" w:cs="Times New Roman" w:eastAsia="Times New Roman" w:hAnsi="Times New Roman"/>
          <w:sz w:val="20"/>
          <w:szCs w:val="20"/>
          <w:color w:val="auto"/>
        </w:rPr>
        <w:t>H.I.G. Whitehorse TriStar Credit, LLC</w:t>
      </w:r>
    </w:p>
    <w:p>
      <w:pPr>
        <w:spacing w:after="0" w:line="200" w:lineRule="exact"/>
        <w:rPr>
          <w:sz w:val="20"/>
          <w:szCs w:val="20"/>
          <w:color w:val="auto"/>
        </w:rPr>
      </w:pPr>
    </w:p>
    <w:p>
      <w:pPr>
        <w:spacing w:after="0" w:line="240" w:lineRule="exact"/>
        <w:rPr>
          <w:sz w:val="20"/>
          <w:szCs w:val="20"/>
          <w:color w:val="auto"/>
        </w:rPr>
      </w:pPr>
    </w:p>
    <w:tbl>
      <w:tblPr>
        <w:tblLayout w:type="fixed"/>
        <w:tblInd w:w="4420" w:type="dxa"/>
        <w:tblCellMar>
          <w:top w:w="0" w:type="dxa"/>
          <w:left w:w="0" w:type="dxa"/>
          <w:bottom w:w="0" w:type="dxa"/>
          <w:right w:w="0" w:type="dxa"/>
        </w:tblCellMar>
      </w:tblPr>
      <w:tr>
        <w:trPr>
          <w:trHeight w:val="230"/>
        </w:trPr>
        <w:tc>
          <w:tcPr>
            <w:tcW w:w="2600" w:type="dxa"/>
            <w:vAlign w:val="bottom"/>
            <w:gridSpan w:val="4"/>
          </w:tcPr>
          <w:p>
            <w:pPr>
              <w:spacing w:after="0"/>
              <w:rPr>
                <w:sz w:val="20"/>
                <w:szCs w:val="20"/>
                <w:color w:val="auto"/>
              </w:rPr>
            </w:pPr>
            <w:r>
              <w:rPr>
                <w:rFonts w:ascii="Times New Roman" w:cs="Times New Roman" w:eastAsia="Times New Roman" w:hAnsi="Times New Roman"/>
                <w:sz w:val="20"/>
                <w:szCs w:val="20"/>
                <w:color w:val="auto"/>
              </w:rPr>
              <w:t>By: /s/ Mark Bernier​   ​</w:t>
            </w:r>
          </w:p>
        </w:tc>
        <w:tc>
          <w:tcPr>
            <w:tcW w:w="640" w:type="dxa"/>
            <w:vAlign w:val="bottom"/>
          </w:tcPr>
          <w:p>
            <w:pPr>
              <w:spacing w:after="0"/>
              <w:rPr>
                <w:sz w:val="20"/>
                <w:szCs w:val="20"/>
                <w:color w:val="auto"/>
              </w:rPr>
            </w:pPr>
            <w:r>
              <w:rPr>
                <w:rFonts w:ascii="Times New Roman" w:cs="Times New Roman" w:eastAsia="Times New Roman" w:hAnsi="Times New Roman"/>
                <w:sz w:val="20"/>
                <w:szCs w:val="20"/>
                <w:color w:val="auto"/>
              </w:rPr>
              <w:t>​</w:t>
            </w:r>
          </w:p>
        </w:tc>
        <w:tc>
          <w:tcPr>
            <w:tcW w:w="640" w:type="dxa"/>
            <w:vAlign w:val="bottom"/>
          </w:tcPr>
          <w:p>
            <w:pPr>
              <w:spacing w:after="0"/>
              <w:rPr>
                <w:sz w:val="20"/>
                <w:szCs w:val="20"/>
                <w:color w:val="auto"/>
              </w:rPr>
            </w:pPr>
            <w:r>
              <w:rPr>
                <w:rFonts w:ascii="Times New Roman" w:cs="Times New Roman" w:eastAsia="Times New Roman" w:hAnsi="Times New Roman"/>
                <w:sz w:val="20"/>
                <w:szCs w:val="20"/>
                <w:color w:val="auto"/>
              </w:rPr>
              <w:t>​</w:t>
            </w:r>
          </w:p>
        </w:tc>
      </w:tr>
      <w:tr>
        <w:trPr>
          <w:trHeight w:val="20"/>
        </w:trPr>
        <w:tc>
          <w:tcPr>
            <w:tcW w:w="300" w:type="dxa"/>
            <w:vAlign w:val="bottom"/>
          </w:tcPr>
          <w:p>
            <w:pPr>
              <w:spacing w:after="0" w:line="20" w:lineRule="exact"/>
              <w:rPr>
                <w:sz w:val="1"/>
                <w:szCs w:val="1"/>
                <w:color w:val="auto"/>
              </w:rPr>
            </w:pPr>
          </w:p>
        </w:tc>
        <w:tc>
          <w:tcPr>
            <w:tcW w:w="164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r>
      <w:tr>
        <w:trPr>
          <w:trHeight w:val="227"/>
        </w:trPr>
        <w:tc>
          <w:tcPr>
            <w:tcW w:w="300" w:type="dxa"/>
            <w:vAlign w:val="bottom"/>
          </w:tcPr>
          <w:p>
            <w:pPr>
              <w:spacing w:after="0"/>
              <w:rPr>
                <w:sz w:val="19"/>
                <w:szCs w:val="19"/>
                <w:color w:val="auto"/>
              </w:rPr>
            </w:pPr>
          </w:p>
        </w:tc>
        <w:tc>
          <w:tcPr>
            <w:tcW w:w="2300" w:type="dxa"/>
            <w:vAlign w:val="bottom"/>
            <w:gridSpan w:val="3"/>
          </w:tcPr>
          <w:p>
            <w:pPr>
              <w:ind w:left="40"/>
              <w:spacing w:after="0" w:line="228" w:lineRule="exact"/>
              <w:rPr>
                <w:sz w:val="20"/>
                <w:szCs w:val="20"/>
                <w:color w:val="auto"/>
              </w:rPr>
            </w:pPr>
            <w:r>
              <w:rPr>
                <w:rFonts w:ascii="Times New Roman" w:cs="Times New Roman" w:eastAsia="Times New Roman" w:hAnsi="Times New Roman"/>
                <w:sz w:val="20"/>
                <w:szCs w:val="20"/>
                <w:color w:val="auto"/>
              </w:rPr>
              <w:t>Name: Mark Bernier</w:t>
            </w:r>
          </w:p>
        </w:tc>
        <w:tc>
          <w:tcPr>
            <w:tcW w:w="640" w:type="dxa"/>
            <w:vAlign w:val="bottom"/>
          </w:tcPr>
          <w:p>
            <w:pPr>
              <w:spacing w:after="0"/>
              <w:rPr>
                <w:sz w:val="19"/>
                <w:szCs w:val="19"/>
                <w:color w:val="auto"/>
              </w:rPr>
            </w:pPr>
          </w:p>
        </w:tc>
        <w:tc>
          <w:tcPr>
            <w:tcW w:w="640" w:type="dxa"/>
            <w:vAlign w:val="bottom"/>
          </w:tcPr>
          <w:p>
            <w:pPr>
              <w:spacing w:after="0"/>
              <w:rPr>
                <w:sz w:val="19"/>
                <w:szCs w:val="19"/>
                <w:color w:val="auto"/>
              </w:rPr>
            </w:pPr>
          </w:p>
        </w:tc>
      </w:tr>
      <w:tr>
        <w:trPr>
          <w:trHeight w:val="258"/>
        </w:trPr>
        <w:tc>
          <w:tcPr>
            <w:tcW w:w="300" w:type="dxa"/>
            <w:vAlign w:val="bottom"/>
          </w:tcPr>
          <w:p>
            <w:pPr>
              <w:spacing w:after="0"/>
              <w:rPr>
                <w:sz w:val="22"/>
                <w:szCs w:val="22"/>
                <w:color w:val="auto"/>
              </w:rPr>
            </w:pPr>
          </w:p>
        </w:tc>
        <w:tc>
          <w:tcPr>
            <w:tcW w:w="2300" w:type="dxa"/>
            <w:vAlign w:val="bottom"/>
            <w:gridSpan w:val="3"/>
          </w:tcPr>
          <w:p>
            <w:pPr>
              <w:ind w:left="40"/>
              <w:spacing w:after="0"/>
              <w:rPr>
                <w:sz w:val="20"/>
                <w:szCs w:val="20"/>
                <w:color w:val="auto"/>
              </w:rPr>
            </w:pPr>
            <w:r>
              <w:rPr>
                <w:rFonts w:ascii="Times New Roman" w:cs="Times New Roman" w:eastAsia="Times New Roman" w:hAnsi="Times New Roman"/>
                <w:sz w:val="20"/>
                <w:szCs w:val="20"/>
                <w:color w:val="auto"/>
              </w:rPr>
              <w:t>Title: Authorized Signatory</w:t>
            </w:r>
          </w:p>
        </w:tc>
        <w:tc>
          <w:tcPr>
            <w:tcW w:w="640" w:type="dxa"/>
            <w:vAlign w:val="bottom"/>
          </w:tcPr>
          <w:p>
            <w:pPr>
              <w:spacing w:after="0"/>
              <w:rPr>
                <w:sz w:val="22"/>
                <w:szCs w:val="22"/>
                <w:color w:val="auto"/>
              </w:rPr>
            </w:pPr>
          </w:p>
        </w:tc>
        <w:tc>
          <w:tcPr>
            <w:tcW w:w="640" w:type="dxa"/>
            <w:vAlign w:val="bottom"/>
          </w:tcPr>
          <w:p>
            <w:pPr>
              <w:spacing w:after="0"/>
              <w:rPr>
                <w:sz w:val="22"/>
                <w:szCs w:val="22"/>
                <w:color w:val="auto"/>
              </w:rPr>
            </w:pPr>
          </w:p>
        </w:tc>
      </w:tr>
    </w:tbl>
    <w:p>
      <w:pPr>
        <w:spacing w:after="0" w:line="200" w:lineRule="exact"/>
        <w:rPr>
          <w:sz w:val="20"/>
          <w:szCs w:val="20"/>
          <w:color w:val="auto"/>
        </w:rPr>
      </w:pPr>
    </w:p>
    <w:p>
      <w:pPr>
        <w:spacing w:after="0" w:line="230"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20"/>
          <w:szCs w:val="20"/>
          <w:color w:val="auto"/>
        </w:rPr>
        <w:t>H.I.G. Whitehorse Virtus Credit, LLC</w:t>
      </w:r>
    </w:p>
    <w:p>
      <w:pPr>
        <w:spacing w:after="0" w:line="200" w:lineRule="exact"/>
        <w:rPr>
          <w:sz w:val="20"/>
          <w:szCs w:val="20"/>
          <w:color w:val="auto"/>
        </w:rPr>
      </w:pPr>
    </w:p>
    <w:p>
      <w:pPr>
        <w:spacing w:after="0" w:line="240" w:lineRule="exact"/>
        <w:rPr>
          <w:sz w:val="20"/>
          <w:szCs w:val="20"/>
          <w:color w:val="auto"/>
        </w:rPr>
      </w:pPr>
    </w:p>
    <w:tbl>
      <w:tblPr>
        <w:tblLayout w:type="fixed"/>
        <w:tblInd w:w="4420" w:type="dxa"/>
        <w:tblCellMar>
          <w:top w:w="0" w:type="dxa"/>
          <w:left w:w="0" w:type="dxa"/>
          <w:bottom w:w="0" w:type="dxa"/>
          <w:right w:w="0" w:type="dxa"/>
        </w:tblCellMar>
      </w:tblPr>
      <w:tr>
        <w:trPr>
          <w:trHeight w:val="230"/>
        </w:trPr>
        <w:tc>
          <w:tcPr>
            <w:tcW w:w="2600" w:type="dxa"/>
            <w:vAlign w:val="bottom"/>
            <w:gridSpan w:val="4"/>
          </w:tcPr>
          <w:p>
            <w:pPr>
              <w:spacing w:after="0"/>
              <w:rPr>
                <w:sz w:val="20"/>
                <w:szCs w:val="20"/>
                <w:color w:val="auto"/>
              </w:rPr>
            </w:pPr>
            <w:r>
              <w:rPr>
                <w:rFonts w:ascii="Times New Roman" w:cs="Times New Roman" w:eastAsia="Times New Roman" w:hAnsi="Times New Roman"/>
                <w:sz w:val="20"/>
                <w:szCs w:val="20"/>
                <w:color w:val="auto"/>
              </w:rPr>
              <w:t>By: /s/ Mark Bernier​   ​</w:t>
            </w:r>
          </w:p>
        </w:tc>
        <w:tc>
          <w:tcPr>
            <w:tcW w:w="640" w:type="dxa"/>
            <w:vAlign w:val="bottom"/>
          </w:tcPr>
          <w:p>
            <w:pPr>
              <w:spacing w:after="0"/>
              <w:rPr>
                <w:sz w:val="20"/>
                <w:szCs w:val="20"/>
                <w:color w:val="auto"/>
              </w:rPr>
            </w:pPr>
            <w:r>
              <w:rPr>
                <w:rFonts w:ascii="Times New Roman" w:cs="Times New Roman" w:eastAsia="Times New Roman" w:hAnsi="Times New Roman"/>
                <w:sz w:val="20"/>
                <w:szCs w:val="20"/>
                <w:color w:val="auto"/>
              </w:rPr>
              <w:t>​</w:t>
            </w:r>
          </w:p>
        </w:tc>
        <w:tc>
          <w:tcPr>
            <w:tcW w:w="640" w:type="dxa"/>
            <w:vAlign w:val="bottom"/>
          </w:tcPr>
          <w:p>
            <w:pPr>
              <w:spacing w:after="0"/>
              <w:rPr>
                <w:sz w:val="20"/>
                <w:szCs w:val="20"/>
                <w:color w:val="auto"/>
              </w:rPr>
            </w:pPr>
            <w:r>
              <w:rPr>
                <w:rFonts w:ascii="Times New Roman" w:cs="Times New Roman" w:eastAsia="Times New Roman" w:hAnsi="Times New Roman"/>
                <w:sz w:val="20"/>
                <w:szCs w:val="20"/>
                <w:color w:val="auto"/>
              </w:rPr>
              <w:t>​</w:t>
            </w:r>
          </w:p>
        </w:tc>
      </w:tr>
      <w:tr>
        <w:trPr>
          <w:trHeight w:val="20"/>
        </w:trPr>
        <w:tc>
          <w:tcPr>
            <w:tcW w:w="300" w:type="dxa"/>
            <w:vAlign w:val="bottom"/>
          </w:tcPr>
          <w:p>
            <w:pPr>
              <w:spacing w:after="0" w:line="20" w:lineRule="exact"/>
              <w:rPr>
                <w:sz w:val="1"/>
                <w:szCs w:val="1"/>
                <w:color w:val="auto"/>
              </w:rPr>
            </w:pPr>
          </w:p>
        </w:tc>
        <w:tc>
          <w:tcPr>
            <w:tcW w:w="164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r>
      <w:tr>
        <w:trPr>
          <w:trHeight w:val="227"/>
        </w:trPr>
        <w:tc>
          <w:tcPr>
            <w:tcW w:w="300" w:type="dxa"/>
            <w:vAlign w:val="bottom"/>
          </w:tcPr>
          <w:p>
            <w:pPr>
              <w:spacing w:after="0"/>
              <w:rPr>
                <w:sz w:val="19"/>
                <w:szCs w:val="19"/>
                <w:color w:val="auto"/>
              </w:rPr>
            </w:pPr>
          </w:p>
        </w:tc>
        <w:tc>
          <w:tcPr>
            <w:tcW w:w="2300" w:type="dxa"/>
            <w:vAlign w:val="bottom"/>
            <w:gridSpan w:val="3"/>
          </w:tcPr>
          <w:p>
            <w:pPr>
              <w:ind w:left="40"/>
              <w:spacing w:after="0" w:line="228" w:lineRule="exact"/>
              <w:rPr>
                <w:sz w:val="20"/>
                <w:szCs w:val="20"/>
                <w:color w:val="auto"/>
              </w:rPr>
            </w:pPr>
            <w:r>
              <w:rPr>
                <w:rFonts w:ascii="Times New Roman" w:cs="Times New Roman" w:eastAsia="Times New Roman" w:hAnsi="Times New Roman"/>
                <w:sz w:val="20"/>
                <w:szCs w:val="20"/>
                <w:color w:val="auto"/>
              </w:rPr>
              <w:t>Name: Mark Bernier</w:t>
            </w:r>
          </w:p>
        </w:tc>
        <w:tc>
          <w:tcPr>
            <w:tcW w:w="640" w:type="dxa"/>
            <w:vAlign w:val="bottom"/>
          </w:tcPr>
          <w:p>
            <w:pPr>
              <w:spacing w:after="0"/>
              <w:rPr>
                <w:sz w:val="19"/>
                <w:szCs w:val="19"/>
                <w:color w:val="auto"/>
              </w:rPr>
            </w:pPr>
          </w:p>
        </w:tc>
        <w:tc>
          <w:tcPr>
            <w:tcW w:w="640" w:type="dxa"/>
            <w:vAlign w:val="bottom"/>
          </w:tcPr>
          <w:p>
            <w:pPr>
              <w:spacing w:after="0"/>
              <w:rPr>
                <w:sz w:val="19"/>
                <w:szCs w:val="19"/>
                <w:color w:val="auto"/>
              </w:rPr>
            </w:pPr>
          </w:p>
        </w:tc>
      </w:tr>
      <w:tr>
        <w:trPr>
          <w:trHeight w:val="258"/>
        </w:trPr>
        <w:tc>
          <w:tcPr>
            <w:tcW w:w="300" w:type="dxa"/>
            <w:vAlign w:val="bottom"/>
          </w:tcPr>
          <w:p>
            <w:pPr>
              <w:spacing w:after="0"/>
              <w:rPr>
                <w:sz w:val="22"/>
                <w:szCs w:val="22"/>
                <w:color w:val="auto"/>
              </w:rPr>
            </w:pPr>
          </w:p>
        </w:tc>
        <w:tc>
          <w:tcPr>
            <w:tcW w:w="2300" w:type="dxa"/>
            <w:vAlign w:val="bottom"/>
            <w:gridSpan w:val="3"/>
          </w:tcPr>
          <w:p>
            <w:pPr>
              <w:ind w:left="40"/>
              <w:spacing w:after="0"/>
              <w:rPr>
                <w:sz w:val="20"/>
                <w:szCs w:val="20"/>
                <w:color w:val="auto"/>
              </w:rPr>
            </w:pPr>
            <w:r>
              <w:rPr>
                <w:rFonts w:ascii="Times New Roman" w:cs="Times New Roman" w:eastAsia="Times New Roman" w:hAnsi="Times New Roman"/>
                <w:sz w:val="20"/>
                <w:szCs w:val="20"/>
                <w:color w:val="auto"/>
              </w:rPr>
              <w:t>Title: Authorized Signatory</w:t>
            </w:r>
          </w:p>
        </w:tc>
        <w:tc>
          <w:tcPr>
            <w:tcW w:w="640" w:type="dxa"/>
            <w:vAlign w:val="bottom"/>
          </w:tcPr>
          <w:p>
            <w:pPr>
              <w:spacing w:after="0"/>
              <w:rPr>
                <w:sz w:val="22"/>
                <w:szCs w:val="22"/>
                <w:color w:val="auto"/>
              </w:rPr>
            </w:pPr>
          </w:p>
        </w:tc>
        <w:tc>
          <w:tcPr>
            <w:tcW w:w="640" w:type="dxa"/>
            <w:vAlign w:val="bottom"/>
          </w:tcPr>
          <w:p>
            <w:pPr>
              <w:spacing w:after="0"/>
              <w:rPr>
                <w:sz w:val="22"/>
                <w:szCs w:val="22"/>
                <w:color w:val="auto"/>
              </w:rPr>
            </w:pPr>
          </w:p>
        </w:tc>
      </w:tr>
    </w:tbl>
    <w:p>
      <w:pPr>
        <w:spacing w:after="0" w:line="201" w:lineRule="exact"/>
        <w:rPr>
          <w:sz w:val="20"/>
          <w:szCs w:val="20"/>
          <w:color w:val="auto"/>
        </w:rPr>
      </w:pPr>
    </w:p>
    <w:p>
      <w:pPr>
        <w:jc w:val="right"/>
        <w:ind w:right="839"/>
        <w:spacing w:after="0"/>
        <w:rPr>
          <w:sz w:val="20"/>
          <w:szCs w:val="20"/>
          <w:color w:val="auto"/>
        </w:rPr>
      </w:pPr>
      <w:r>
        <w:rPr>
          <w:rFonts w:ascii="Times New Roman" w:cs="Times New Roman" w:eastAsia="Times New Roman" w:hAnsi="Times New Roman"/>
          <w:sz w:val="20"/>
          <w:szCs w:val="20"/>
          <w:color w:val="auto"/>
        </w:rPr>
        <w:t>LF2020 OFFSHORE HOLDINGS – H24, LLC</w:t>
      </w:r>
    </w:p>
    <w:p>
      <w:pPr>
        <w:spacing w:after="0" w:line="200" w:lineRule="exact"/>
        <w:rPr>
          <w:sz w:val="20"/>
          <w:szCs w:val="20"/>
          <w:color w:val="auto"/>
        </w:rPr>
      </w:pPr>
    </w:p>
    <w:p>
      <w:pPr>
        <w:spacing w:after="0" w:line="240" w:lineRule="exact"/>
        <w:rPr>
          <w:sz w:val="20"/>
          <w:szCs w:val="20"/>
          <w:color w:val="auto"/>
        </w:rPr>
      </w:pPr>
    </w:p>
    <w:tbl>
      <w:tblPr>
        <w:tblLayout w:type="fixed"/>
        <w:tblInd w:w="4420" w:type="dxa"/>
        <w:tblCellMar>
          <w:top w:w="0" w:type="dxa"/>
          <w:left w:w="0" w:type="dxa"/>
          <w:bottom w:w="0" w:type="dxa"/>
          <w:right w:w="0" w:type="dxa"/>
        </w:tblCellMar>
      </w:tblPr>
      <w:tr>
        <w:trPr>
          <w:trHeight w:val="230"/>
        </w:trPr>
        <w:tc>
          <w:tcPr>
            <w:tcW w:w="194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By: /s/ Mark Bernier​</w:t>
            </w:r>
          </w:p>
        </w:tc>
        <w:tc>
          <w:tcPr>
            <w:tcW w:w="20" w:type="dxa"/>
            <w:vAlign w:val="bottom"/>
          </w:tcPr>
          <w:p>
            <w:pPr>
              <w:spacing w:after="0"/>
              <w:rPr>
                <w:sz w:val="19"/>
                <w:szCs w:val="19"/>
                <w:color w:val="auto"/>
              </w:rPr>
            </w:pPr>
          </w:p>
        </w:tc>
        <w:tc>
          <w:tcPr>
            <w:tcW w:w="640" w:type="dxa"/>
            <w:vAlign w:val="bottom"/>
          </w:tcPr>
          <w:p>
            <w:pPr>
              <w:spacing w:after="0"/>
              <w:rPr>
                <w:sz w:val="20"/>
                <w:szCs w:val="20"/>
                <w:color w:val="auto"/>
              </w:rPr>
            </w:pPr>
            <w:r>
              <w:rPr>
                <w:rFonts w:ascii="Times New Roman" w:cs="Times New Roman" w:eastAsia="Times New Roman" w:hAnsi="Times New Roman"/>
                <w:sz w:val="20"/>
                <w:szCs w:val="20"/>
                <w:color w:val="auto"/>
              </w:rPr>
              <w:t>​</w:t>
            </w:r>
          </w:p>
        </w:tc>
        <w:tc>
          <w:tcPr>
            <w:tcW w:w="640" w:type="dxa"/>
            <w:vAlign w:val="bottom"/>
          </w:tcPr>
          <w:p>
            <w:pPr>
              <w:spacing w:after="0"/>
              <w:rPr>
                <w:sz w:val="20"/>
                <w:szCs w:val="20"/>
                <w:color w:val="auto"/>
              </w:rPr>
            </w:pPr>
            <w:r>
              <w:rPr>
                <w:rFonts w:ascii="Times New Roman" w:cs="Times New Roman" w:eastAsia="Times New Roman" w:hAnsi="Times New Roman"/>
                <w:sz w:val="20"/>
                <w:szCs w:val="20"/>
                <w:color w:val="auto"/>
              </w:rPr>
              <w:t>​</w:t>
            </w:r>
          </w:p>
        </w:tc>
        <w:tc>
          <w:tcPr>
            <w:tcW w:w="640" w:type="dxa"/>
            <w:vAlign w:val="bottom"/>
          </w:tcPr>
          <w:p>
            <w:pPr>
              <w:spacing w:after="0"/>
              <w:rPr>
                <w:sz w:val="20"/>
                <w:szCs w:val="20"/>
                <w:color w:val="auto"/>
              </w:rPr>
            </w:pPr>
            <w:r>
              <w:rPr>
                <w:rFonts w:ascii="Times New Roman" w:cs="Times New Roman" w:eastAsia="Times New Roman" w:hAnsi="Times New Roman"/>
                <w:sz w:val="20"/>
                <w:szCs w:val="20"/>
                <w:color w:val="auto"/>
              </w:rPr>
              <w:t>​</w:t>
            </w:r>
          </w:p>
        </w:tc>
      </w:tr>
      <w:tr>
        <w:trPr>
          <w:trHeight w:val="20"/>
        </w:trPr>
        <w:tc>
          <w:tcPr>
            <w:tcW w:w="300" w:type="dxa"/>
            <w:vAlign w:val="bottom"/>
          </w:tcPr>
          <w:p>
            <w:pPr>
              <w:spacing w:after="0" w:line="20" w:lineRule="exact"/>
              <w:rPr>
                <w:sz w:val="1"/>
                <w:szCs w:val="1"/>
                <w:color w:val="auto"/>
              </w:rPr>
            </w:pPr>
          </w:p>
        </w:tc>
        <w:tc>
          <w:tcPr>
            <w:tcW w:w="164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r>
      <w:tr>
        <w:trPr>
          <w:trHeight w:val="227"/>
        </w:trPr>
        <w:tc>
          <w:tcPr>
            <w:tcW w:w="300" w:type="dxa"/>
            <w:vAlign w:val="bottom"/>
          </w:tcPr>
          <w:p>
            <w:pPr>
              <w:spacing w:after="0"/>
              <w:rPr>
                <w:sz w:val="19"/>
                <w:szCs w:val="19"/>
                <w:color w:val="auto"/>
              </w:rPr>
            </w:pPr>
          </w:p>
        </w:tc>
        <w:tc>
          <w:tcPr>
            <w:tcW w:w="2300" w:type="dxa"/>
            <w:vAlign w:val="bottom"/>
            <w:gridSpan w:val="3"/>
          </w:tcPr>
          <w:p>
            <w:pPr>
              <w:ind w:left="40"/>
              <w:spacing w:after="0" w:line="228" w:lineRule="exact"/>
              <w:rPr>
                <w:sz w:val="20"/>
                <w:szCs w:val="20"/>
                <w:color w:val="auto"/>
              </w:rPr>
            </w:pPr>
            <w:r>
              <w:rPr>
                <w:rFonts w:ascii="Times New Roman" w:cs="Times New Roman" w:eastAsia="Times New Roman" w:hAnsi="Times New Roman"/>
                <w:sz w:val="20"/>
                <w:szCs w:val="20"/>
                <w:color w:val="auto"/>
              </w:rPr>
              <w:t>Name: Mark Bernier</w:t>
            </w:r>
          </w:p>
        </w:tc>
        <w:tc>
          <w:tcPr>
            <w:tcW w:w="640" w:type="dxa"/>
            <w:vAlign w:val="bottom"/>
          </w:tcPr>
          <w:p>
            <w:pPr>
              <w:spacing w:after="0"/>
              <w:rPr>
                <w:sz w:val="19"/>
                <w:szCs w:val="19"/>
                <w:color w:val="auto"/>
              </w:rPr>
            </w:pPr>
          </w:p>
        </w:tc>
        <w:tc>
          <w:tcPr>
            <w:tcW w:w="640" w:type="dxa"/>
            <w:vAlign w:val="bottom"/>
          </w:tcPr>
          <w:p>
            <w:pPr>
              <w:spacing w:after="0"/>
              <w:rPr>
                <w:sz w:val="19"/>
                <w:szCs w:val="19"/>
                <w:color w:val="auto"/>
              </w:rPr>
            </w:pPr>
          </w:p>
        </w:tc>
      </w:tr>
      <w:tr>
        <w:trPr>
          <w:trHeight w:val="258"/>
        </w:trPr>
        <w:tc>
          <w:tcPr>
            <w:tcW w:w="300" w:type="dxa"/>
            <w:vAlign w:val="bottom"/>
          </w:tcPr>
          <w:p>
            <w:pPr>
              <w:spacing w:after="0"/>
              <w:rPr>
                <w:sz w:val="22"/>
                <w:szCs w:val="22"/>
                <w:color w:val="auto"/>
              </w:rPr>
            </w:pPr>
          </w:p>
        </w:tc>
        <w:tc>
          <w:tcPr>
            <w:tcW w:w="2300" w:type="dxa"/>
            <w:vAlign w:val="bottom"/>
            <w:gridSpan w:val="3"/>
          </w:tcPr>
          <w:p>
            <w:pPr>
              <w:ind w:left="40"/>
              <w:spacing w:after="0"/>
              <w:rPr>
                <w:sz w:val="20"/>
                <w:szCs w:val="20"/>
                <w:color w:val="auto"/>
              </w:rPr>
            </w:pPr>
            <w:r>
              <w:rPr>
                <w:rFonts w:ascii="Times New Roman" w:cs="Times New Roman" w:eastAsia="Times New Roman" w:hAnsi="Times New Roman"/>
                <w:sz w:val="20"/>
                <w:szCs w:val="20"/>
                <w:color w:val="auto"/>
              </w:rPr>
              <w:t>Title: Authorized Signatory</w:t>
            </w:r>
          </w:p>
        </w:tc>
        <w:tc>
          <w:tcPr>
            <w:tcW w:w="640" w:type="dxa"/>
            <w:vAlign w:val="bottom"/>
          </w:tcPr>
          <w:p>
            <w:pPr>
              <w:spacing w:after="0"/>
              <w:rPr>
                <w:sz w:val="22"/>
                <w:szCs w:val="22"/>
                <w:color w:val="auto"/>
              </w:rPr>
            </w:pPr>
          </w:p>
        </w:tc>
        <w:tc>
          <w:tcPr>
            <w:tcW w:w="640" w:type="dxa"/>
            <w:vAlign w:val="bottom"/>
          </w:tcPr>
          <w:p>
            <w:pPr>
              <w:spacing w:after="0"/>
              <w:rPr>
                <w:sz w:val="22"/>
                <w:szCs w:val="22"/>
                <w:color w:val="auto"/>
              </w:rPr>
            </w:pPr>
          </w:p>
        </w:tc>
      </w:tr>
      <w:tr>
        <w:trPr>
          <w:trHeight w:val="459"/>
        </w:trPr>
        <w:tc>
          <w:tcPr>
            <w:tcW w:w="3240" w:type="dxa"/>
            <w:vAlign w:val="bottom"/>
            <w:gridSpan w:val="5"/>
          </w:tcPr>
          <w:p>
            <w:pPr>
              <w:spacing w:after="0"/>
              <w:rPr>
                <w:sz w:val="20"/>
                <w:szCs w:val="20"/>
                <w:color w:val="auto"/>
              </w:rPr>
            </w:pPr>
            <w:r>
              <w:rPr>
                <w:rFonts w:ascii="Times New Roman" w:cs="Times New Roman" w:eastAsia="Times New Roman" w:hAnsi="Times New Roman"/>
                <w:sz w:val="20"/>
                <w:szCs w:val="20"/>
                <w:color w:val="auto"/>
              </w:rPr>
              <w:t>LF2020 Offshore Holdings, LLC</w:t>
            </w:r>
          </w:p>
        </w:tc>
        <w:tc>
          <w:tcPr>
            <w:tcW w:w="640" w:type="dxa"/>
            <w:vAlign w:val="bottom"/>
          </w:tcPr>
          <w:p>
            <w:pPr>
              <w:spacing w:after="0"/>
              <w:rPr>
                <w:sz w:val="24"/>
                <w:szCs w:val="24"/>
                <w:color w:val="auto"/>
              </w:rPr>
            </w:pPr>
          </w:p>
        </w:tc>
      </w:tr>
      <w:tr>
        <w:trPr>
          <w:trHeight w:val="642"/>
        </w:trPr>
        <w:tc>
          <w:tcPr>
            <w:tcW w:w="194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By: /s/ Mark Bernier​</w:t>
            </w:r>
          </w:p>
        </w:tc>
        <w:tc>
          <w:tcPr>
            <w:tcW w:w="20" w:type="dxa"/>
            <w:vAlign w:val="bottom"/>
          </w:tcPr>
          <w:p>
            <w:pPr>
              <w:spacing w:after="0"/>
              <w:rPr>
                <w:sz w:val="24"/>
                <w:szCs w:val="24"/>
                <w:color w:val="auto"/>
              </w:rPr>
            </w:pPr>
          </w:p>
        </w:tc>
        <w:tc>
          <w:tcPr>
            <w:tcW w:w="640" w:type="dxa"/>
            <w:vAlign w:val="bottom"/>
          </w:tcPr>
          <w:p>
            <w:pPr>
              <w:spacing w:after="0"/>
              <w:rPr>
                <w:sz w:val="20"/>
                <w:szCs w:val="20"/>
                <w:color w:val="auto"/>
              </w:rPr>
            </w:pPr>
            <w:r>
              <w:rPr>
                <w:rFonts w:ascii="Times New Roman" w:cs="Times New Roman" w:eastAsia="Times New Roman" w:hAnsi="Times New Roman"/>
                <w:sz w:val="20"/>
                <w:szCs w:val="20"/>
                <w:color w:val="auto"/>
              </w:rPr>
              <w:t>​</w:t>
            </w:r>
          </w:p>
        </w:tc>
        <w:tc>
          <w:tcPr>
            <w:tcW w:w="640" w:type="dxa"/>
            <w:vAlign w:val="bottom"/>
          </w:tcPr>
          <w:p>
            <w:pPr>
              <w:spacing w:after="0"/>
              <w:rPr>
                <w:sz w:val="20"/>
                <w:szCs w:val="20"/>
                <w:color w:val="auto"/>
              </w:rPr>
            </w:pPr>
            <w:r>
              <w:rPr>
                <w:rFonts w:ascii="Times New Roman" w:cs="Times New Roman" w:eastAsia="Times New Roman" w:hAnsi="Times New Roman"/>
                <w:sz w:val="20"/>
                <w:szCs w:val="20"/>
                <w:color w:val="auto"/>
              </w:rPr>
              <w:t>​</w:t>
            </w:r>
          </w:p>
        </w:tc>
        <w:tc>
          <w:tcPr>
            <w:tcW w:w="640" w:type="dxa"/>
            <w:vAlign w:val="bottom"/>
          </w:tcPr>
          <w:p>
            <w:pPr>
              <w:spacing w:after="0"/>
              <w:rPr>
                <w:sz w:val="20"/>
                <w:szCs w:val="20"/>
                <w:color w:val="auto"/>
              </w:rPr>
            </w:pPr>
            <w:r>
              <w:rPr>
                <w:rFonts w:ascii="Times New Roman" w:cs="Times New Roman" w:eastAsia="Times New Roman" w:hAnsi="Times New Roman"/>
                <w:sz w:val="20"/>
                <w:szCs w:val="20"/>
                <w:color w:val="auto"/>
              </w:rPr>
              <w:t>​</w:t>
            </w:r>
          </w:p>
        </w:tc>
      </w:tr>
      <w:tr>
        <w:trPr>
          <w:trHeight w:val="20"/>
        </w:trPr>
        <w:tc>
          <w:tcPr>
            <w:tcW w:w="300" w:type="dxa"/>
            <w:vAlign w:val="bottom"/>
          </w:tcPr>
          <w:p>
            <w:pPr>
              <w:spacing w:after="0" w:line="20" w:lineRule="exact"/>
              <w:rPr>
                <w:sz w:val="1"/>
                <w:szCs w:val="1"/>
                <w:color w:val="auto"/>
              </w:rPr>
            </w:pPr>
          </w:p>
        </w:tc>
        <w:tc>
          <w:tcPr>
            <w:tcW w:w="164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r>
    </w:tbl>
    <w:p>
      <w:pPr>
        <w:spacing w:after="0" w:line="4" w:lineRule="exact"/>
        <w:rPr>
          <w:sz w:val="20"/>
          <w:szCs w:val="20"/>
          <w:color w:val="auto"/>
        </w:rPr>
      </w:pPr>
    </w:p>
    <w:p>
      <w:pPr>
        <w:ind w:left="4760"/>
        <w:spacing w:after="0"/>
        <w:rPr>
          <w:sz w:val="20"/>
          <w:szCs w:val="20"/>
          <w:color w:val="auto"/>
        </w:rPr>
      </w:pPr>
      <w:r>
        <w:rPr>
          <w:rFonts w:ascii="Times New Roman" w:cs="Times New Roman" w:eastAsia="Times New Roman" w:hAnsi="Times New Roman"/>
          <w:sz w:val="20"/>
          <w:szCs w:val="20"/>
          <w:color w:val="auto"/>
        </w:rPr>
        <w:t>Name: Mark Bernier</w:t>
      </w:r>
    </w:p>
    <w:p>
      <w:pPr>
        <w:spacing w:after="0" w:line="22" w:lineRule="exact"/>
        <w:rPr>
          <w:sz w:val="20"/>
          <w:szCs w:val="20"/>
          <w:color w:val="auto"/>
        </w:rPr>
      </w:pPr>
    </w:p>
    <w:p>
      <w:pPr>
        <w:ind w:left="4760"/>
        <w:spacing w:after="0"/>
        <w:rPr>
          <w:sz w:val="20"/>
          <w:szCs w:val="20"/>
          <w:color w:val="auto"/>
        </w:rPr>
      </w:pPr>
      <w:r>
        <w:rPr>
          <w:rFonts w:ascii="Times New Roman" w:cs="Times New Roman" w:eastAsia="Times New Roman" w:hAnsi="Times New Roman"/>
          <w:sz w:val="20"/>
          <w:szCs w:val="20"/>
          <w:color w:val="auto"/>
        </w:rPr>
        <w:t>Title: Authorized Signatory</w:t>
      </w:r>
    </w:p>
    <w:p>
      <w:pPr>
        <w:spacing w:after="0" w:line="207"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20"/>
          <w:szCs w:val="20"/>
          <w:color w:val="auto"/>
        </w:rPr>
        <w:t>Swiss Capital HYS Private Debt Fund, L.P.</w:t>
      </w:r>
    </w:p>
    <w:p>
      <w:pPr>
        <w:spacing w:after="0" w:line="200" w:lineRule="exact"/>
        <w:rPr>
          <w:sz w:val="20"/>
          <w:szCs w:val="20"/>
          <w:color w:val="auto"/>
        </w:rPr>
      </w:pPr>
    </w:p>
    <w:p>
      <w:pPr>
        <w:spacing w:after="0" w:line="240" w:lineRule="exact"/>
        <w:rPr>
          <w:sz w:val="20"/>
          <w:szCs w:val="20"/>
          <w:color w:val="auto"/>
        </w:rPr>
      </w:pPr>
    </w:p>
    <w:tbl>
      <w:tblPr>
        <w:tblLayout w:type="fixed"/>
        <w:tblInd w:w="4420" w:type="dxa"/>
        <w:tblCellMar>
          <w:top w:w="0" w:type="dxa"/>
          <w:left w:w="0" w:type="dxa"/>
          <w:bottom w:w="0" w:type="dxa"/>
          <w:right w:w="0" w:type="dxa"/>
        </w:tblCellMar>
      </w:tblPr>
      <w:tr>
        <w:trPr>
          <w:trHeight w:val="230"/>
        </w:trPr>
        <w:tc>
          <w:tcPr>
            <w:tcW w:w="2600" w:type="dxa"/>
            <w:vAlign w:val="bottom"/>
            <w:gridSpan w:val="4"/>
          </w:tcPr>
          <w:p>
            <w:pPr>
              <w:spacing w:after="0"/>
              <w:rPr>
                <w:sz w:val="20"/>
                <w:szCs w:val="20"/>
                <w:color w:val="auto"/>
              </w:rPr>
            </w:pPr>
            <w:r>
              <w:rPr>
                <w:rFonts w:ascii="Times New Roman" w:cs="Times New Roman" w:eastAsia="Times New Roman" w:hAnsi="Times New Roman"/>
                <w:sz w:val="20"/>
                <w:szCs w:val="20"/>
                <w:color w:val="auto"/>
              </w:rPr>
              <w:t>By: /s/ Mark Bernier​   ​</w:t>
            </w:r>
          </w:p>
        </w:tc>
        <w:tc>
          <w:tcPr>
            <w:tcW w:w="640" w:type="dxa"/>
            <w:vAlign w:val="bottom"/>
          </w:tcPr>
          <w:p>
            <w:pPr>
              <w:spacing w:after="0"/>
              <w:rPr>
                <w:sz w:val="20"/>
                <w:szCs w:val="20"/>
                <w:color w:val="auto"/>
              </w:rPr>
            </w:pPr>
            <w:r>
              <w:rPr>
                <w:rFonts w:ascii="Times New Roman" w:cs="Times New Roman" w:eastAsia="Times New Roman" w:hAnsi="Times New Roman"/>
                <w:sz w:val="20"/>
                <w:szCs w:val="20"/>
                <w:color w:val="auto"/>
              </w:rPr>
              <w:t>​</w:t>
            </w:r>
          </w:p>
        </w:tc>
        <w:tc>
          <w:tcPr>
            <w:tcW w:w="640" w:type="dxa"/>
            <w:vAlign w:val="bottom"/>
          </w:tcPr>
          <w:p>
            <w:pPr>
              <w:spacing w:after="0"/>
              <w:rPr>
                <w:sz w:val="20"/>
                <w:szCs w:val="20"/>
                <w:color w:val="auto"/>
              </w:rPr>
            </w:pPr>
            <w:r>
              <w:rPr>
                <w:rFonts w:ascii="Times New Roman" w:cs="Times New Roman" w:eastAsia="Times New Roman" w:hAnsi="Times New Roman"/>
                <w:sz w:val="20"/>
                <w:szCs w:val="20"/>
                <w:color w:val="auto"/>
              </w:rPr>
              <w:t>​</w:t>
            </w:r>
          </w:p>
        </w:tc>
      </w:tr>
      <w:tr>
        <w:trPr>
          <w:trHeight w:val="20"/>
        </w:trPr>
        <w:tc>
          <w:tcPr>
            <w:tcW w:w="300" w:type="dxa"/>
            <w:vAlign w:val="bottom"/>
          </w:tcPr>
          <w:p>
            <w:pPr>
              <w:spacing w:after="0" w:line="20" w:lineRule="exact"/>
              <w:rPr>
                <w:sz w:val="1"/>
                <w:szCs w:val="1"/>
                <w:color w:val="auto"/>
              </w:rPr>
            </w:pPr>
          </w:p>
        </w:tc>
        <w:tc>
          <w:tcPr>
            <w:tcW w:w="164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r>
      <w:tr>
        <w:trPr>
          <w:trHeight w:val="227"/>
        </w:trPr>
        <w:tc>
          <w:tcPr>
            <w:tcW w:w="300" w:type="dxa"/>
            <w:vAlign w:val="bottom"/>
          </w:tcPr>
          <w:p>
            <w:pPr>
              <w:spacing w:after="0"/>
              <w:rPr>
                <w:sz w:val="19"/>
                <w:szCs w:val="19"/>
                <w:color w:val="auto"/>
              </w:rPr>
            </w:pPr>
          </w:p>
        </w:tc>
        <w:tc>
          <w:tcPr>
            <w:tcW w:w="2300" w:type="dxa"/>
            <w:vAlign w:val="bottom"/>
            <w:gridSpan w:val="3"/>
          </w:tcPr>
          <w:p>
            <w:pPr>
              <w:ind w:left="40"/>
              <w:spacing w:after="0" w:line="228" w:lineRule="exact"/>
              <w:rPr>
                <w:sz w:val="20"/>
                <w:szCs w:val="20"/>
                <w:color w:val="auto"/>
              </w:rPr>
            </w:pPr>
            <w:r>
              <w:rPr>
                <w:rFonts w:ascii="Times New Roman" w:cs="Times New Roman" w:eastAsia="Times New Roman" w:hAnsi="Times New Roman"/>
                <w:sz w:val="20"/>
                <w:szCs w:val="20"/>
                <w:color w:val="auto"/>
              </w:rPr>
              <w:t>Name: Mark Bernier</w:t>
            </w:r>
          </w:p>
        </w:tc>
        <w:tc>
          <w:tcPr>
            <w:tcW w:w="640" w:type="dxa"/>
            <w:vAlign w:val="bottom"/>
          </w:tcPr>
          <w:p>
            <w:pPr>
              <w:spacing w:after="0"/>
              <w:rPr>
                <w:sz w:val="19"/>
                <w:szCs w:val="19"/>
                <w:color w:val="auto"/>
              </w:rPr>
            </w:pPr>
          </w:p>
        </w:tc>
        <w:tc>
          <w:tcPr>
            <w:tcW w:w="640" w:type="dxa"/>
            <w:vAlign w:val="bottom"/>
          </w:tcPr>
          <w:p>
            <w:pPr>
              <w:spacing w:after="0"/>
              <w:rPr>
                <w:sz w:val="19"/>
                <w:szCs w:val="19"/>
                <w:color w:val="auto"/>
              </w:rPr>
            </w:pPr>
          </w:p>
        </w:tc>
      </w:tr>
      <w:tr>
        <w:trPr>
          <w:trHeight w:val="258"/>
        </w:trPr>
        <w:tc>
          <w:tcPr>
            <w:tcW w:w="300" w:type="dxa"/>
            <w:vAlign w:val="bottom"/>
          </w:tcPr>
          <w:p>
            <w:pPr>
              <w:spacing w:after="0"/>
              <w:rPr>
                <w:sz w:val="22"/>
                <w:szCs w:val="22"/>
                <w:color w:val="auto"/>
              </w:rPr>
            </w:pPr>
          </w:p>
        </w:tc>
        <w:tc>
          <w:tcPr>
            <w:tcW w:w="2300" w:type="dxa"/>
            <w:vAlign w:val="bottom"/>
            <w:gridSpan w:val="3"/>
          </w:tcPr>
          <w:p>
            <w:pPr>
              <w:ind w:left="40"/>
              <w:spacing w:after="0"/>
              <w:rPr>
                <w:sz w:val="20"/>
                <w:szCs w:val="20"/>
                <w:color w:val="auto"/>
              </w:rPr>
            </w:pPr>
            <w:r>
              <w:rPr>
                <w:rFonts w:ascii="Times New Roman" w:cs="Times New Roman" w:eastAsia="Times New Roman" w:hAnsi="Times New Roman"/>
                <w:sz w:val="20"/>
                <w:szCs w:val="20"/>
                <w:color w:val="auto"/>
              </w:rPr>
              <w:t>Title: Authorized Signatory</w:t>
            </w:r>
          </w:p>
        </w:tc>
        <w:tc>
          <w:tcPr>
            <w:tcW w:w="640" w:type="dxa"/>
            <w:vAlign w:val="bottom"/>
          </w:tcPr>
          <w:p>
            <w:pPr>
              <w:spacing w:after="0"/>
              <w:rPr>
                <w:sz w:val="22"/>
                <w:szCs w:val="22"/>
                <w:color w:val="auto"/>
              </w:rPr>
            </w:pPr>
          </w:p>
        </w:tc>
        <w:tc>
          <w:tcPr>
            <w:tcW w:w="640" w:type="dxa"/>
            <w:vAlign w:val="bottom"/>
          </w:tcPr>
          <w:p>
            <w:pPr>
              <w:spacing w:after="0"/>
              <w:rPr>
                <w:sz w:val="22"/>
                <w:szCs w:val="22"/>
                <w:color w:val="auto"/>
              </w:rPr>
            </w:pPr>
          </w:p>
        </w:tc>
      </w:tr>
    </w:tbl>
    <w:p>
      <w:pPr>
        <w:spacing w:after="0" w:line="201"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20"/>
          <w:szCs w:val="20"/>
          <w:color w:val="auto"/>
        </w:rPr>
        <w:t>Swiss Capital Hys Private Debt Offshore SP</w:t>
      </w:r>
    </w:p>
    <w:p>
      <w:pPr>
        <w:spacing w:after="0" w:line="200" w:lineRule="exact"/>
        <w:rPr>
          <w:sz w:val="20"/>
          <w:szCs w:val="20"/>
          <w:color w:val="auto"/>
        </w:rPr>
      </w:pPr>
    </w:p>
    <w:p>
      <w:pPr>
        <w:spacing w:after="0" w:line="240" w:lineRule="exact"/>
        <w:rPr>
          <w:sz w:val="20"/>
          <w:szCs w:val="20"/>
          <w:color w:val="auto"/>
        </w:rPr>
      </w:pPr>
    </w:p>
    <w:tbl>
      <w:tblPr>
        <w:tblLayout w:type="fixed"/>
        <w:tblInd w:w="4420" w:type="dxa"/>
        <w:tblCellMar>
          <w:top w:w="0" w:type="dxa"/>
          <w:left w:w="0" w:type="dxa"/>
          <w:bottom w:w="0" w:type="dxa"/>
          <w:right w:w="0" w:type="dxa"/>
        </w:tblCellMar>
      </w:tblPr>
      <w:tr>
        <w:trPr>
          <w:trHeight w:val="230"/>
        </w:trPr>
        <w:tc>
          <w:tcPr>
            <w:tcW w:w="194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By: /s/ Mark Bernier​</w:t>
            </w:r>
          </w:p>
        </w:tc>
        <w:tc>
          <w:tcPr>
            <w:tcW w:w="20" w:type="dxa"/>
            <w:vAlign w:val="bottom"/>
          </w:tcPr>
          <w:p>
            <w:pPr>
              <w:spacing w:after="0"/>
              <w:rPr>
                <w:sz w:val="19"/>
                <w:szCs w:val="19"/>
                <w:color w:val="auto"/>
              </w:rPr>
            </w:pPr>
          </w:p>
        </w:tc>
        <w:tc>
          <w:tcPr>
            <w:tcW w:w="640" w:type="dxa"/>
            <w:vAlign w:val="bottom"/>
          </w:tcPr>
          <w:p>
            <w:pPr>
              <w:spacing w:after="0"/>
              <w:rPr>
                <w:sz w:val="20"/>
                <w:szCs w:val="20"/>
                <w:color w:val="auto"/>
              </w:rPr>
            </w:pPr>
            <w:r>
              <w:rPr>
                <w:rFonts w:ascii="Times New Roman" w:cs="Times New Roman" w:eastAsia="Times New Roman" w:hAnsi="Times New Roman"/>
                <w:sz w:val="20"/>
                <w:szCs w:val="20"/>
                <w:color w:val="auto"/>
              </w:rPr>
              <w:t>​</w:t>
            </w:r>
          </w:p>
        </w:tc>
        <w:tc>
          <w:tcPr>
            <w:tcW w:w="640" w:type="dxa"/>
            <w:vAlign w:val="bottom"/>
          </w:tcPr>
          <w:p>
            <w:pPr>
              <w:spacing w:after="0"/>
              <w:rPr>
                <w:sz w:val="20"/>
                <w:szCs w:val="20"/>
                <w:color w:val="auto"/>
              </w:rPr>
            </w:pPr>
            <w:r>
              <w:rPr>
                <w:rFonts w:ascii="Times New Roman" w:cs="Times New Roman" w:eastAsia="Times New Roman" w:hAnsi="Times New Roman"/>
                <w:sz w:val="20"/>
                <w:szCs w:val="20"/>
                <w:color w:val="auto"/>
              </w:rPr>
              <w:t>​</w:t>
            </w:r>
          </w:p>
        </w:tc>
        <w:tc>
          <w:tcPr>
            <w:tcW w:w="640" w:type="dxa"/>
            <w:vAlign w:val="bottom"/>
          </w:tcPr>
          <w:p>
            <w:pPr>
              <w:spacing w:after="0"/>
              <w:rPr>
                <w:sz w:val="20"/>
                <w:szCs w:val="20"/>
                <w:color w:val="auto"/>
              </w:rPr>
            </w:pPr>
            <w:r>
              <w:rPr>
                <w:rFonts w:ascii="Times New Roman" w:cs="Times New Roman" w:eastAsia="Times New Roman" w:hAnsi="Times New Roman"/>
                <w:sz w:val="20"/>
                <w:szCs w:val="20"/>
                <w:color w:val="auto"/>
              </w:rPr>
              <w:t>​</w:t>
            </w:r>
          </w:p>
        </w:tc>
      </w:tr>
      <w:tr>
        <w:trPr>
          <w:trHeight w:val="20"/>
        </w:trPr>
        <w:tc>
          <w:tcPr>
            <w:tcW w:w="300" w:type="dxa"/>
            <w:vAlign w:val="bottom"/>
          </w:tcPr>
          <w:p>
            <w:pPr>
              <w:spacing w:after="0" w:line="20" w:lineRule="exact"/>
              <w:rPr>
                <w:sz w:val="1"/>
                <w:szCs w:val="1"/>
                <w:color w:val="auto"/>
              </w:rPr>
            </w:pPr>
          </w:p>
        </w:tc>
        <w:tc>
          <w:tcPr>
            <w:tcW w:w="164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r>
      <w:tr>
        <w:trPr>
          <w:trHeight w:val="227"/>
        </w:trPr>
        <w:tc>
          <w:tcPr>
            <w:tcW w:w="300" w:type="dxa"/>
            <w:vAlign w:val="bottom"/>
          </w:tcPr>
          <w:p>
            <w:pPr>
              <w:spacing w:after="0"/>
              <w:rPr>
                <w:sz w:val="19"/>
                <w:szCs w:val="19"/>
                <w:color w:val="auto"/>
              </w:rPr>
            </w:pPr>
          </w:p>
        </w:tc>
        <w:tc>
          <w:tcPr>
            <w:tcW w:w="2300" w:type="dxa"/>
            <w:vAlign w:val="bottom"/>
            <w:gridSpan w:val="3"/>
          </w:tcPr>
          <w:p>
            <w:pPr>
              <w:ind w:left="40"/>
              <w:spacing w:after="0" w:line="228" w:lineRule="exact"/>
              <w:rPr>
                <w:sz w:val="20"/>
                <w:szCs w:val="20"/>
                <w:color w:val="auto"/>
              </w:rPr>
            </w:pPr>
            <w:r>
              <w:rPr>
                <w:rFonts w:ascii="Times New Roman" w:cs="Times New Roman" w:eastAsia="Times New Roman" w:hAnsi="Times New Roman"/>
                <w:sz w:val="20"/>
                <w:szCs w:val="20"/>
                <w:color w:val="auto"/>
              </w:rPr>
              <w:t>Name: Mark Bernier</w:t>
            </w:r>
          </w:p>
        </w:tc>
        <w:tc>
          <w:tcPr>
            <w:tcW w:w="640" w:type="dxa"/>
            <w:vAlign w:val="bottom"/>
          </w:tcPr>
          <w:p>
            <w:pPr>
              <w:spacing w:after="0"/>
              <w:rPr>
                <w:sz w:val="19"/>
                <w:szCs w:val="19"/>
                <w:color w:val="auto"/>
              </w:rPr>
            </w:pPr>
          </w:p>
        </w:tc>
        <w:tc>
          <w:tcPr>
            <w:tcW w:w="640" w:type="dxa"/>
            <w:vAlign w:val="bottom"/>
          </w:tcPr>
          <w:p>
            <w:pPr>
              <w:spacing w:after="0"/>
              <w:rPr>
                <w:sz w:val="19"/>
                <w:szCs w:val="19"/>
                <w:color w:val="auto"/>
              </w:rPr>
            </w:pPr>
          </w:p>
        </w:tc>
      </w:tr>
      <w:tr>
        <w:trPr>
          <w:trHeight w:val="258"/>
        </w:trPr>
        <w:tc>
          <w:tcPr>
            <w:tcW w:w="300" w:type="dxa"/>
            <w:vAlign w:val="bottom"/>
          </w:tcPr>
          <w:p>
            <w:pPr>
              <w:spacing w:after="0"/>
              <w:rPr>
                <w:sz w:val="22"/>
                <w:szCs w:val="22"/>
                <w:color w:val="auto"/>
              </w:rPr>
            </w:pPr>
          </w:p>
        </w:tc>
        <w:tc>
          <w:tcPr>
            <w:tcW w:w="2300" w:type="dxa"/>
            <w:vAlign w:val="bottom"/>
            <w:gridSpan w:val="3"/>
          </w:tcPr>
          <w:p>
            <w:pPr>
              <w:ind w:left="40"/>
              <w:spacing w:after="0"/>
              <w:rPr>
                <w:sz w:val="20"/>
                <w:szCs w:val="20"/>
                <w:color w:val="auto"/>
              </w:rPr>
            </w:pPr>
            <w:r>
              <w:rPr>
                <w:rFonts w:ascii="Times New Roman" w:cs="Times New Roman" w:eastAsia="Times New Roman" w:hAnsi="Times New Roman"/>
                <w:sz w:val="20"/>
                <w:szCs w:val="20"/>
                <w:color w:val="auto"/>
              </w:rPr>
              <w:t>Title: Authorized Signatory</w:t>
            </w:r>
          </w:p>
        </w:tc>
        <w:tc>
          <w:tcPr>
            <w:tcW w:w="640" w:type="dxa"/>
            <w:vAlign w:val="bottom"/>
          </w:tcPr>
          <w:p>
            <w:pPr>
              <w:spacing w:after="0"/>
              <w:rPr>
                <w:sz w:val="22"/>
                <w:szCs w:val="22"/>
                <w:color w:val="auto"/>
              </w:rPr>
            </w:pPr>
          </w:p>
        </w:tc>
        <w:tc>
          <w:tcPr>
            <w:tcW w:w="640" w:type="dxa"/>
            <w:vAlign w:val="bottom"/>
          </w:tcPr>
          <w:p>
            <w:pPr>
              <w:spacing w:after="0"/>
              <w:rPr>
                <w:sz w:val="22"/>
                <w:szCs w:val="22"/>
                <w:color w:val="auto"/>
              </w:rPr>
            </w:pPr>
          </w:p>
        </w:tc>
      </w:tr>
      <w:tr>
        <w:trPr>
          <w:trHeight w:val="459"/>
        </w:trPr>
        <w:tc>
          <w:tcPr>
            <w:tcW w:w="3240" w:type="dxa"/>
            <w:vAlign w:val="bottom"/>
            <w:gridSpan w:val="5"/>
          </w:tcPr>
          <w:p>
            <w:pPr>
              <w:spacing w:after="0"/>
              <w:rPr>
                <w:sz w:val="20"/>
                <w:szCs w:val="20"/>
                <w:color w:val="auto"/>
              </w:rPr>
            </w:pPr>
            <w:r>
              <w:rPr>
                <w:rFonts w:ascii="Times New Roman" w:cs="Times New Roman" w:eastAsia="Times New Roman" w:hAnsi="Times New Roman"/>
                <w:sz w:val="20"/>
                <w:szCs w:val="20"/>
                <w:color w:val="auto"/>
              </w:rPr>
              <w:t>Thorney Island Limited Partnership</w:t>
            </w:r>
          </w:p>
        </w:tc>
        <w:tc>
          <w:tcPr>
            <w:tcW w:w="640" w:type="dxa"/>
            <w:vAlign w:val="bottom"/>
          </w:tcPr>
          <w:p>
            <w:pPr>
              <w:spacing w:after="0"/>
              <w:rPr>
                <w:sz w:val="24"/>
                <w:szCs w:val="24"/>
                <w:color w:val="auto"/>
              </w:rPr>
            </w:pPr>
          </w:p>
        </w:tc>
      </w:tr>
      <w:tr>
        <w:trPr>
          <w:trHeight w:val="642"/>
        </w:trPr>
        <w:tc>
          <w:tcPr>
            <w:tcW w:w="194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By: /s/ Mark Bernier​</w:t>
            </w:r>
          </w:p>
        </w:tc>
        <w:tc>
          <w:tcPr>
            <w:tcW w:w="20" w:type="dxa"/>
            <w:vAlign w:val="bottom"/>
          </w:tcPr>
          <w:p>
            <w:pPr>
              <w:spacing w:after="0"/>
              <w:rPr>
                <w:sz w:val="24"/>
                <w:szCs w:val="24"/>
                <w:color w:val="auto"/>
              </w:rPr>
            </w:pPr>
          </w:p>
        </w:tc>
        <w:tc>
          <w:tcPr>
            <w:tcW w:w="640" w:type="dxa"/>
            <w:vAlign w:val="bottom"/>
          </w:tcPr>
          <w:p>
            <w:pPr>
              <w:spacing w:after="0"/>
              <w:rPr>
                <w:sz w:val="20"/>
                <w:szCs w:val="20"/>
                <w:color w:val="auto"/>
              </w:rPr>
            </w:pPr>
            <w:r>
              <w:rPr>
                <w:rFonts w:ascii="Times New Roman" w:cs="Times New Roman" w:eastAsia="Times New Roman" w:hAnsi="Times New Roman"/>
                <w:sz w:val="20"/>
                <w:szCs w:val="20"/>
                <w:color w:val="auto"/>
              </w:rPr>
              <w:t>​</w:t>
            </w:r>
          </w:p>
        </w:tc>
        <w:tc>
          <w:tcPr>
            <w:tcW w:w="640" w:type="dxa"/>
            <w:vAlign w:val="bottom"/>
          </w:tcPr>
          <w:p>
            <w:pPr>
              <w:spacing w:after="0"/>
              <w:rPr>
                <w:sz w:val="20"/>
                <w:szCs w:val="20"/>
                <w:color w:val="auto"/>
              </w:rPr>
            </w:pPr>
            <w:r>
              <w:rPr>
                <w:rFonts w:ascii="Times New Roman" w:cs="Times New Roman" w:eastAsia="Times New Roman" w:hAnsi="Times New Roman"/>
                <w:sz w:val="20"/>
                <w:szCs w:val="20"/>
                <w:color w:val="auto"/>
              </w:rPr>
              <w:t>​</w:t>
            </w:r>
          </w:p>
        </w:tc>
        <w:tc>
          <w:tcPr>
            <w:tcW w:w="640" w:type="dxa"/>
            <w:vAlign w:val="bottom"/>
          </w:tcPr>
          <w:p>
            <w:pPr>
              <w:spacing w:after="0"/>
              <w:rPr>
                <w:sz w:val="20"/>
                <w:szCs w:val="20"/>
                <w:color w:val="auto"/>
              </w:rPr>
            </w:pPr>
            <w:r>
              <w:rPr>
                <w:rFonts w:ascii="Times New Roman" w:cs="Times New Roman" w:eastAsia="Times New Roman" w:hAnsi="Times New Roman"/>
                <w:sz w:val="20"/>
                <w:szCs w:val="20"/>
                <w:color w:val="auto"/>
              </w:rPr>
              <w:t>​</w:t>
            </w:r>
          </w:p>
        </w:tc>
      </w:tr>
      <w:tr>
        <w:trPr>
          <w:trHeight w:val="20"/>
        </w:trPr>
        <w:tc>
          <w:tcPr>
            <w:tcW w:w="300" w:type="dxa"/>
            <w:vAlign w:val="bottom"/>
          </w:tcPr>
          <w:p>
            <w:pPr>
              <w:spacing w:after="0" w:line="20" w:lineRule="exact"/>
              <w:rPr>
                <w:sz w:val="1"/>
                <w:szCs w:val="1"/>
                <w:color w:val="auto"/>
              </w:rPr>
            </w:pPr>
          </w:p>
        </w:tc>
        <w:tc>
          <w:tcPr>
            <w:tcW w:w="164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r>
    </w:tbl>
    <w:p>
      <w:pPr>
        <w:spacing w:after="0" w:line="4" w:lineRule="exact"/>
        <w:rPr>
          <w:sz w:val="20"/>
          <w:szCs w:val="20"/>
          <w:color w:val="auto"/>
        </w:rPr>
      </w:pPr>
    </w:p>
    <w:p>
      <w:pPr>
        <w:ind w:left="4760"/>
        <w:spacing w:after="0"/>
        <w:rPr>
          <w:sz w:val="20"/>
          <w:szCs w:val="20"/>
          <w:color w:val="auto"/>
        </w:rPr>
      </w:pPr>
      <w:r>
        <w:rPr>
          <w:rFonts w:ascii="Times New Roman" w:cs="Times New Roman" w:eastAsia="Times New Roman" w:hAnsi="Times New Roman"/>
          <w:sz w:val="20"/>
          <w:szCs w:val="20"/>
          <w:color w:val="auto"/>
        </w:rPr>
        <w:t>Name: Mark Bernier</w:t>
      </w:r>
    </w:p>
    <w:p>
      <w:pPr>
        <w:spacing w:after="0" w:line="22" w:lineRule="exact"/>
        <w:rPr>
          <w:sz w:val="20"/>
          <w:szCs w:val="20"/>
          <w:color w:val="auto"/>
        </w:rPr>
      </w:pPr>
    </w:p>
    <w:p>
      <w:pPr>
        <w:ind w:left="4760"/>
        <w:spacing w:after="0"/>
        <w:rPr>
          <w:sz w:val="20"/>
          <w:szCs w:val="20"/>
          <w:color w:val="auto"/>
        </w:rPr>
      </w:pPr>
      <w:r>
        <w:rPr>
          <w:rFonts w:ascii="Times New Roman" w:cs="Times New Roman" w:eastAsia="Times New Roman" w:hAnsi="Times New Roman"/>
          <w:sz w:val="20"/>
          <w:szCs w:val="20"/>
          <w:color w:val="auto"/>
        </w:rPr>
        <w:t>Title: Authorized Signatory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4"/>
          <w:szCs w:val="14"/>
          <w:color w:val="auto"/>
        </w:rPr>
        <w:t>US-DOCS\171161013.8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339725</wp:posOffset>
            </wp:positionH>
            <wp:positionV relativeFrom="paragraph">
              <wp:posOffset>349250</wp:posOffset>
            </wp:positionV>
            <wp:extent cx="5040630" cy="2540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26">
                      <a:extLst>
                        <a:ext uri="{28A0092B-C50C-407E-A947-70E740481C1C}"/>
                      </a:extLst>
                    </a:blip>
                    <a:srcRect/>
                    <a:stretch>
                      <a:fillRect/>
                    </a:stretch>
                  </pic:blipFill>
                  <pic:spPr bwMode="auto">
                    <a:xfrm>
                      <a:off x="0" y="0"/>
                      <a:ext cx="5040630" cy="25400"/>
                    </a:xfrm>
                    <a:prstGeom prst="rect">
                      <a:avLst/>
                    </a:prstGeom>
                    <a:noFill/>
                  </pic:spPr>
                </pic:pic>
              </a:graphicData>
            </a:graphic>
          </wp:anchor>
        </w:drawing>
      </w:r>
    </w:p>
    <w:p>
      <w:pPr>
        <w:sectPr>
          <w:pgSz w:w="11900" w:h="16838" w:orient="portrait"/>
          <w:cols w:equalWidth="0" w:num="1">
            <w:col w:w="9019"/>
          </w:cols>
          <w:pgMar w:left="1440" w:top="900" w:right="1440" w:bottom="1440" w:gutter="0" w:footer="0" w:header="0"/>
        </w:sectPr>
      </w:pPr>
    </w:p>
    <w:bookmarkStart w:id="77" w:name="page78"/>
    <w:bookmarkEnd w:id="77"/>
    <w:tbl>
      <w:tblPr>
        <w:tblLayout w:type="fixed"/>
        <w:tblInd w:w="4420" w:type="dxa"/>
        <w:tblCellMar>
          <w:top w:w="0" w:type="dxa"/>
          <w:left w:w="0" w:type="dxa"/>
          <w:bottom w:w="0" w:type="dxa"/>
          <w:right w:w="0" w:type="dxa"/>
        </w:tblCellMar>
      </w:tblPr>
      <w:tr>
        <w:trPr>
          <w:trHeight w:val="258"/>
        </w:trPr>
        <w:tc>
          <w:tcPr>
            <w:tcW w:w="194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WF FSBA SPV I, LLC</w:t>
            </w:r>
          </w:p>
        </w:tc>
        <w:tc>
          <w:tcPr>
            <w:tcW w:w="2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640" w:type="dxa"/>
            <w:vAlign w:val="bottom"/>
          </w:tcPr>
          <w:p>
            <w:pPr>
              <w:spacing w:after="0"/>
              <w:rPr>
                <w:sz w:val="22"/>
                <w:szCs w:val="22"/>
                <w:color w:val="auto"/>
              </w:rPr>
            </w:pPr>
          </w:p>
        </w:tc>
      </w:tr>
      <w:tr>
        <w:trPr>
          <w:trHeight w:val="642"/>
        </w:trPr>
        <w:tc>
          <w:tcPr>
            <w:tcW w:w="194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By: /s/ Mark Bernier​</w:t>
            </w:r>
          </w:p>
        </w:tc>
        <w:tc>
          <w:tcPr>
            <w:tcW w:w="20" w:type="dxa"/>
            <w:vAlign w:val="bottom"/>
          </w:tcPr>
          <w:p>
            <w:pPr>
              <w:spacing w:after="0"/>
              <w:rPr>
                <w:sz w:val="24"/>
                <w:szCs w:val="24"/>
                <w:color w:val="auto"/>
              </w:rPr>
            </w:pPr>
          </w:p>
        </w:tc>
        <w:tc>
          <w:tcPr>
            <w:tcW w:w="640" w:type="dxa"/>
            <w:vAlign w:val="bottom"/>
          </w:tcPr>
          <w:p>
            <w:pPr>
              <w:spacing w:after="0"/>
              <w:rPr>
                <w:sz w:val="20"/>
                <w:szCs w:val="20"/>
                <w:color w:val="auto"/>
              </w:rPr>
            </w:pPr>
            <w:r>
              <w:rPr>
                <w:rFonts w:ascii="Times New Roman" w:cs="Times New Roman" w:eastAsia="Times New Roman" w:hAnsi="Times New Roman"/>
                <w:sz w:val="20"/>
                <w:szCs w:val="20"/>
                <w:color w:val="auto"/>
              </w:rPr>
              <w:t>​</w:t>
            </w:r>
          </w:p>
        </w:tc>
        <w:tc>
          <w:tcPr>
            <w:tcW w:w="640" w:type="dxa"/>
            <w:vAlign w:val="bottom"/>
          </w:tcPr>
          <w:p>
            <w:pPr>
              <w:spacing w:after="0"/>
              <w:rPr>
                <w:sz w:val="20"/>
                <w:szCs w:val="20"/>
                <w:color w:val="auto"/>
              </w:rPr>
            </w:pPr>
            <w:r>
              <w:rPr>
                <w:rFonts w:ascii="Times New Roman" w:cs="Times New Roman" w:eastAsia="Times New Roman" w:hAnsi="Times New Roman"/>
                <w:sz w:val="20"/>
                <w:szCs w:val="20"/>
                <w:color w:val="auto"/>
              </w:rPr>
              <w:t>​</w:t>
            </w:r>
          </w:p>
        </w:tc>
      </w:tr>
      <w:tr>
        <w:trPr>
          <w:trHeight w:val="20"/>
        </w:trPr>
        <w:tc>
          <w:tcPr>
            <w:tcW w:w="300" w:type="dxa"/>
            <w:vAlign w:val="bottom"/>
          </w:tcPr>
          <w:p>
            <w:pPr>
              <w:spacing w:after="0" w:line="20" w:lineRule="exact"/>
              <w:rPr>
                <w:sz w:val="1"/>
                <w:szCs w:val="1"/>
                <w:color w:val="auto"/>
              </w:rPr>
            </w:pPr>
          </w:p>
        </w:tc>
        <w:tc>
          <w:tcPr>
            <w:tcW w:w="164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r>
      <w:tr>
        <w:trPr>
          <w:trHeight w:val="227"/>
        </w:trPr>
        <w:tc>
          <w:tcPr>
            <w:tcW w:w="300" w:type="dxa"/>
            <w:vAlign w:val="bottom"/>
          </w:tcPr>
          <w:p>
            <w:pPr>
              <w:spacing w:after="0"/>
              <w:rPr>
                <w:sz w:val="19"/>
                <w:szCs w:val="19"/>
                <w:color w:val="auto"/>
              </w:rPr>
            </w:pPr>
          </w:p>
        </w:tc>
        <w:tc>
          <w:tcPr>
            <w:tcW w:w="2300" w:type="dxa"/>
            <w:vAlign w:val="bottom"/>
            <w:gridSpan w:val="3"/>
          </w:tcPr>
          <w:p>
            <w:pPr>
              <w:ind w:left="40"/>
              <w:spacing w:after="0" w:line="228" w:lineRule="exact"/>
              <w:rPr>
                <w:sz w:val="20"/>
                <w:szCs w:val="20"/>
                <w:color w:val="auto"/>
              </w:rPr>
            </w:pPr>
            <w:r>
              <w:rPr>
                <w:rFonts w:ascii="Times New Roman" w:cs="Times New Roman" w:eastAsia="Times New Roman" w:hAnsi="Times New Roman"/>
                <w:sz w:val="20"/>
                <w:szCs w:val="20"/>
                <w:color w:val="auto"/>
              </w:rPr>
              <w:t>Name: Mark Bernier</w:t>
            </w:r>
          </w:p>
        </w:tc>
        <w:tc>
          <w:tcPr>
            <w:tcW w:w="640" w:type="dxa"/>
            <w:vAlign w:val="bottom"/>
          </w:tcPr>
          <w:p>
            <w:pPr>
              <w:spacing w:after="0"/>
              <w:rPr>
                <w:sz w:val="19"/>
                <w:szCs w:val="19"/>
                <w:color w:val="auto"/>
              </w:rPr>
            </w:pPr>
          </w:p>
        </w:tc>
      </w:tr>
      <w:tr>
        <w:trPr>
          <w:trHeight w:val="258"/>
        </w:trPr>
        <w:tc>
          <w:tcPr>
            <w:tcW w:w="300" w:type="dxa"/>
            <w:vAlign w:val="bottom"/>
          </w:tcPr>
          <w:p>
            <w:pPr>
              <w:spacing w:after="0"/>
              <w:rPr>
                <w:sz w:val="22"/>
                <w:szCs w:val="22"/>
                <w:color w:val="auto"/>
              </w:rPr>
            </w:pPr>
          </w:p>
        </w:tc>
        <w:tc>
          <w:tcPr>
            <w:tcW w:w="2300" w:type="dxa"/>
            <w:vAlign w:val="bottom"/>
            <w:gridSpan w:val="3"/>
          </w:tcPr>
          <w:p>
            <w:pPr>
              <w:ind w:left="40"/>
              <w:spacing w:after="0"/>
              <w:rPr>
                <w:sz w:val="20"/>
                <w:szCs w:val="20"/>
                <w:color w:val="auto"/>
              </w:rPr>
            </w:pPr>
            <w:r>
              <w:rPr>
                <w:rFonts w:ascii="Times New Roman" w:cs="Times New Roman" w:eastAsia="Times New Roman" w:hAnsi="Times New Roman"/>
                <w:sz w:val="20"/>
                <w:szCs w:val="20"/>
                <w:color w:val="auto"/>
              </w:rPr>
              <w:t>Title: Authorized Signatory</w:t>
            </w:r>
          </w:p>
        </w:tc>
        <w:tc>
          <w:tcPr>
            <w:tcW w:w="640" w:type="dxa"/>
            <w:vAlign w:val="bottom"/>
          </w:tcPr>
          <w:p>
            <w:pPr>
              <w:spacing w:after="0"/>
              <w:rPr>
                <w:sz w:val="22"/>
                <w:szCs w:val="22"/>
                <w:color w:val="auto"/>
              </w:rPr>
            </w:pPr>
          </w:p>
        </w:tc>
      </w:tr>
      <w:tr>
        <w:trPr>
          <w:trHeight w:val="689"/>
        </w:trPr>
        <w:tc>
          <w:tcPr>
            <w:tcW w:w="194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WH MML SPV, LLC</w:t>
            </w:r>
          </w:p>
        </w:tc>
        <w:tc>
          <w:tcPr>
            <w:tcW w:w="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40" w:type="dxa"/>
            <w:vAlign w:val="bottom"/>
          </w:tcPr>
          <w:p>
            <w:pPr>
              <w:spacing w:after="0"/>
              <w:rPr>
                <w:sz w:val="24"/>
                <w:szCs w:val="24"/>
                <w:color w:val="auto"/>
              </w:rPr>
            </w:pPr>
          </w:p>
        </w:tc>
      </w:tr>
      <w:tr>
        <w:trPr>
          <w:trHeight w:val="642"/>
        </w:trPr>
        <w:tc>
          <w:tcPr>
            <w:tcW w:w="194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By: /s/ Mark Bernier​</w:t>
            </w:r>
          </w:p>
        </w:tc>
        <w:tc>
          <w:tcPr>
            <w:tcW w:w="20" w:type="dxa"/>
            <w:vAlign w:val="bottom"/>
          </w:tcPr>
          <w:p>
            <w:pPr>
              <w:spacing w:after="0"/>
              <w:rPr>
                <w:sz w:val="24"/>
                <w:szCs w:val="24"/>
                <w:color w:val="auto"/>
              </w:rPr>
            </w:pPr>
          </w:p>
        </w:tc>
        <w:tc>
          <w:tcPr>
            <w:tcW w:w="640" w:type="dxa"/>
            <w:vAlign w:val="bottom"/>
          </w:tcPr>
          <w:p>
            <w:pPr>
              <w:spacing w:after="0"/>
              <w:rPr>
                <w:sz w:val="20"/>
                <w:szCs w:val="20"/>
                <w:color w:val="auto"/>
              </w:rPr>
            </w:pPr>
            <w:r>
              <w:rPr>
                <w:rFonts w:ascii="Times New Roman" w:cs="Times New Roman" w:eastAsia="Times New Roman" w:hAnsi="Times New Roman"/>
                <w:sz w:val="20"/>
                <w:szCs w:val="20"/>
                <w:color w:val="auto"/>
              </w:rPr>
              <w:t>​</w:t>
            </w:r>
          </w:p>
        </w:tc>
        <w:tc>
          <w:tcPr>
            <w:tcW w:w="640" w:type="dxa"/>
            <w:vAlign w:val="bottom"/>
          </w:tcPr>
          <w:p>
            <w:pPr>
              <w:spacing w:after="0"/>
              <w:rPr>
                <w:sz w:val="20"/>
                <w:szCs w:val="20"/>
                <w:color w:val="auto"/>
              </w:rPr>
            </w:pPr>
            <w:r>
              <w:rPr>
                <w:rFonts w:ascii="Times New Roman" w:cs="Times New Roman" w:eastAsia="Times New Roman" w:hAnsi="Times New Roman"/>
                <w:sz w:val="20"/>
                <w:szCs w:val="20"/>
                <w:color w:val="auto"/>
              </w:rPr>
              <w:t>​</w:t>
            </w:r>
          </w:p>
        </w:tc>
      </w:tr>
      <w:tr>
        <w:trPr>
          <w:trHeight w:val="20"/>
        </w:trPr>
        <w:tc>
          <w:tcPr>
            <w:tcW w:w="300" w:type="dxa"/>
            <w:vAlign w:val="bottom"/>
          </w:tcPr>
          <w:p>
            <w:pPr>
              <w:spacing w:after="0" w:line="20" w:lineRule="exact"/>
              <w:rPr>
                <w:sz w:val="1"/>
                <w:szCs w:val="1"/>
                <w:color w:val="auto"/>
              </w:rPr>
            </w:pPr>
          </w:p>
        </w:tc>
        <w:tc>
          <w:tcPr>
            <w:tcW w:w="164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r>
      <w:tr>
        <w:trPr>
          <w:trHeight w:val="227"/>
        </w:trPr>
        <w:tc>
          <w:tcPr>
            <w:tcW w:w="300" w:type="dxa"/>
            <w:vAlign w:val="bottom"/>
          </w:tcPr>
          <w:p>
            <w:pPr>
              <w:spacing w:after="0"/>
              <w:rPr>
                <w:sz w:val="19"/>
                <w:szCs w:val="19"/>
                <w:color w:val="auto"/>
              </w:rPr>
            </w:pPr>
          </w:p>
        </w:tc>
        <w:tc>
          <w:tcPr>
            <w:tcW w:w="2300" w:type="dxa"/>
            <w:vAlign w:val="bottom"/>
            <w:gridSpan w:val="3"/>
          </w:tcPr>
          <w:p>
            <w:pPr>
              <w:ind w:left="40"/>
              <w:spacing w:after="0" w:line="228" w:lineRule="exact"/>
              <w:rPr>
                <w:sz w:val="20"/>
                <w:szCs w:val="20"/>
                <w:color w:val="auto"/>
              </w:rPr>
            </w:pPr>
            <w:r>
              <w:rPr>
                <w:rFonts w:ascii="Times New Roman" w:cs="Times New Roman" w:eastAsia="Times New Roman" w:hAnsi="Times New Roman"/>
                <w:sz w:val="20"/>
                <w:szCs w:val="20"/>
                <w:color w:val="auto"/>
              </w:rPr>
              <w:t>Name: Mark Bernier</w:t>
            </w:r>
          </w:p>
        </w:tc>
        <w:tc>
          <w:tcPr>
            <w:tcW w:w="640" w:type="dxa"/>
            <w:vAlign w:val="bottom"/>
          </w:tcPr>
          <w:p>
            <w:pPr>
              <w:spacing w:after="0"/>
              <w:rPr>
                <w:sz w:val="19"/>
                <w:szCs w:val="19"/>
                <w:color w:val="auto"/>
              </w:rPr>
            </w:pPr>
          </w:p>
        </w:tc>
      </w:tr>
      <w:tr>
        <w:trPr>
          <w:trHeight w:val="258"/>
        </w:trPr>
        <w:tc>
          <w:tcPr>
            <w:tcW w:w="300" w:type="dxa"/>
            <w:vAlign w:val="bottom"/>
          </w:tcPr>
          <w:p>
            <w:pPr>
              <w:spacing w:after="0"/>
              <w:rPr>
                <w:sz w:val="22"/>
                <w:szCs w:val="22"/>
                <w:color w:val="auto"/>
              </w:rPr>
            </w:pPr>
          </w:p>
        </w:tc>
        <w:tc>
          <w:tcPr>
            <w:tcW w:w="2300" w:type="dxa"/>
            <w:vAlign w:val="bottom"/>
            <w:gridSpan w:val="3"/>
          </w:tcPr>
          <w:p>
            <w:pPr>
              <w:ind w:left="40"/>
              <w:spacing w:after="0"/>
              <w:rPr>
                <w:sz w:val="20"/>
                <w:szCs w:val="20"/>
                <w:color w:val="auto"/>
              </w:rPr>
            </w:pPr>
            <w:r>
              <w:rPr>
                <w:rFonts w:ascii="Times New Roman" w:cs="Times New Roman" w:eastAsia="Times New Roman" w:hAnsi="Times New Roman"/>
                <w:sz w:val="20"/>
                <w:szCs w:val="20"/>
                <w:color w:val="auto"/>
              </w:rPr>
              <w:t>Title: Authorized Signatory</w:t>
            </w:r>
          </w:p>
        </w:tc>
        <w:tc>
          <w:tcPr>
            <w:tcW w:w="640" w:type="dxa"/>
            <w:vAlign w:val="bottom"/>
          </w:tcPr>
          <w:p>
            <w:pPr>
              <w:spacing w:after="0"/>
              <w:rPr>
                <w:sz w:val="22"/>
                <w:szCs w:val="22"/>
                <w:color w:val="auto"/>
              </w:rPr>
            </w:pPr>
          </w:p>
        </w:tc>
      </w:tr>
      <w:tr>
        <w:trPr>
          <w:trHeight w:val="430"/>
        </w:trPr>
        <w:tc>
          <w:tcPr>
            <w:tcW w:w="2600" w:type="dxa"/>
            <w:vAlign w:val="bottom"/>
            <w:gridSpan w:val="4"/>
          </w:tcPr>
          <w:p>
            <w:pPr>
              <w:spacing w:after="0"/>
              <w:rPr>
                <w:sz w:val="20"/>
                <w:szCs w:val="20"/>
                <w:color w:val="auto"/>
              </w:rPr>
            </w:pPr>
            <w:r>
              <w:rPr>
                <w:rFonts w:ascii="Times New Roman" w:cs="Times New Roman" w:eastAsia="Times New Roman" w:hAnsi="Times New Roman"/>
                <w:sz w:val="20"/>
                <w:szCs w:val="20"/>
                <w:color w:val="auto"/>
              </w:rPr>
              <w:t>Whitehorse CCSSG, LLC</w:t>
            </w:r>
          </w:p>
        </w:tc>
        <w:tc>
          <w:tcPr>
            <w:tcW w:w="640" w:type="dxa"/>
            <w:vAlign w:val="bottom"/>
          </w:tcPr>
          <w:p>
            <w:pPr>
              <w:spacing w:after="0"/>
              <w:rPr>
                <w:sz w:val="24"/>
                <w:szCs w:val="24"/>
                <w:color w:val="auto"/>
              </w:rPr>
            </w:pPr>
          </w:p>
        </w:tc>
      </w:tr>
      <w:tr>
        <w:trPr>
          <w:trHeight w:val="258"/>
        </w:trPr>
        <w:tc>
          <w:tcPr>
            <w:tcW w:w="194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As a Lender</w:t>
            </w:r>
          </w:p>
        </w:tc>
        <w:tc>
          <w:tcPr>
            <w:tcW w:w="2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640" w:type="dxa"/>
            <w:vAlign w:val="bottom"/>
          </w:tcPr>
          <w:p>
            <w:pPr>
              <w:spacing w:after="0"/>
              <w:rPr>
                <w:sz w:val="22"/>
                <w:szCs w:val="22"/>
                <w:color w:val="auto"/>
              </w:rPr>
            </w:pPr>
          </w:p>
        </w:tc>
      </w:tr>
      <w:tr>
        <w:trPr>
          <w:trHeight w:val="642"/>
        </w:trPr>
        <w:tc>
          <w:tcPr>
            <w:tcW w:w="194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By: /s/ Mark Bernier​</w:t>
            </w:r>
          </w:p>
        </w:tc>
        <w:tc>
          <w:tcPr>
            <w:tcW w:w="20" w:type="dxa"/>
            <w:vAlign w:val="bottom"/>
          </w:tcPr>
          <w:p>
            <w:pPr>
              <w:spacing w:after="0"/>
              <w:rPr>
                <w:sz w:val="24"/>
                <w:szCs w:val="24"/>
                <w:color w:val="auto"/>
              </w:rPr>
            </w:pPr>
          </w:p>
        </w:tc>
        <w:tc>
          <w:tcPr>
            <w:tcW w:w="640" w:type="dxa"/>
            <w:vAlign w:val="bottom"/>
          </w:tcPr>
          <w:p>
            <w:pPr>
              <w:spacing w:after="0"/>
              <w:rPr>
                <w:sz w:val="20"/>
                <w:szCs w:val="20"/>
                <w:color w:val="auto"/>
              </w:rPr>
            </w:pPr>
            <w:r>
              <w:rPr>
                <w:rFonts w:ascii="Times New Roman" w:cs="Times New Roman" w:eastAsia="Times New Roman" w:hAnsi="Times New Roman"/>
                <w:sz w:val="20"/>
                <w:szCs w:val="20"/>
                <w:color w:val="auto"/>
              </w:rPr>
              <w:t>​</w:t>
            </w:r>
          </w:p>
        </w:tc>
        <w:tc>
          <w:tcPr>
            <w:tcW w:w="640" w:type="dxa"/>
            <w:vAlign w:val="bottom"/>
          </w:tcPr>
          <w:p>
            <w:pPr>
              <w:spacing w:after="0"/>
              <w:rPr>
                <w:sz w:val="20"/>
                <w:szCs w:val="20"/>
                <w:color w:val="auto"/>
              </w:rPr>
            </w:pPr>
            <w:r>
              <w:rPr>
                <w:rFonts w:ascii="Times New Roman" w:cs="Times New Roman" w:eastAsia="Times New Roman" w:hAnsi="Times New Roman"/>
                <w:sz w:val="20"/>
                <w:szCs w:val="20"/>
                <w:color w:val="auto"/>
              </w:rPr>
              <w:t>​</w:t>
            </w:r>
          </w:p>
        </w:tc>
      </w:tr>
      <w:tr>
        <w:trPr>
          <w:trHeight w:val="20"/>
        </w:trPr>
        <w:tc>
          <w:tcPr>
            <w:tcW w:w="300" w:type="dxa"/>
            <w:vAlign w:val="bottom"/>
          </w:tcPr>
          <w:p>
            <w:pPr>
              <w:spacing w:after="0" w:line="20" w:lineRule="exact"/>
              <w:rPr>
                <w:sz w:val="1"/>
                <w:szCs w:val="1"/>
                <w:color w:val="auto"/>
              </w:rPr>
            </w:pPr>
          </w:p>
        </w:tc>
        <w:tc>
          <w:tcPr>
            <w:tcW w:w="164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r>
      <w:tr>
        <w:trPr>
          <w:trHeight w:val="227"/>
        </w:trPr>
        <w:tc>
          <w:tcPr>
            <w:tcW w:w="300" w:type="dxa"/>
            <w:vAlign w:val="bottom"/>
          </w:tcPr>
          <w:p>
            <w:pPr>
              <w:spacing w:after="0"/>
              <w:rPr>
                <w:sz w:val="19"/>
                <w:szCs w:val="19"/>
                <w:color w:val="auto"/>
              </w:rPr>
            </w:pPr>
          </w:p>
        </w:tc>
        <w:tc>
          <w:tcPr>
            <w:tcW w:w="2300" w:type="dxa"/>
            <w:vAlign w:val="bottom"/>
            <w:gridSpan w:val="3"/>
          </w:tcPr>
          <w:p>
            <w:pPr>
              <w:ind w:left="40"/>
              <w:spacing w:after="0" w:line="228" w:lineRule="exact"/>
              <w:rPr>
                <w:sz w:val="20"/>
                <w:szCs w:val="20"/>
                <w:color w:val="auto"/>
              </w:rPr>
            </w:pPr>
            <w:r>
              <w:rPr>
                <w:rFonts w:ascii="Times New Roman" w:cs="Times New Roman" w:eastAsia="Times New Roman" w:hAnsi="Times New Roman"/>
                <w:sz w:val="20"/>
                <w:szCs w:val="20"/>
                <w:color w:val="auto"/>
              </w:rPr>
              <w:t>Name: Mark Bernier</w:t>
            </w:r>
          </w:p>
        </w:tc>
        <w:tc>
          <w:tcPr>
            <w:tcW w:w="640" w:type="dxa"/>
            <w:vAlign w:val="bottom"/>
          </w:tcPr>
          <w:p>
            <w:pPr>
              <w:spacing w:after="0"/>
              <w:rPr>
                <w:sz w:val="19"/>
                <w:szCs w:val="19"/>
                <w:color w:val="auto"/>
              </w:rPr>
            </w:pPr>
          </w:p>
        </w:tc>
      </w:tr>
      <w:tr>
        <w:trPr>
          <w:trHeight w:val="258"/>
        </w:trPr>
        <w:tc>
          <w:tcPr>
            <w:tcW w:w="300" w:type="dxa"/>
            <w:vAlign w:val="bottom"/>
          </w:tcPr>
          <w:p>
            <w:pPr>
              <w:spacing w:after="0"/>
              <w:rPr>
                <w:sz w:val="22"/>
                <w:szCs w:val="22"/>
                <w:color w:val="auto"/>
              </w:rPr>
            </w:pPr>
          </w:p>
        </w:tc>
        <w:tc>
          <w:tcPr>
            <w:tcW w:w="2300" w:type="dxa"/>
            <w:vAlign w:val="bottom"/>
            <w:gridSpan w:val="3"/>
          </w:tcPr>
          <w:p>
            <w:pPr>
              <w:ind w:left="40"/>
              <w:spacing w:after="0"/>
              <w:rPr>
                <w:sz w:val="20"/>
                <w:szCs w:val="20"/>
                <w:color w:val="auto"/>
              </w:rPr>
            </w:pPr>
            <w:r>
              <w:rPr>
                <w:rFonts w:ascii="Times New Roman" w:cs="Times New Roman" w:eastAsia="Times New Roman" w:hAnsi="Times New Roman"/>
                <w:sz w:val="20"/>
                <w:szCs w:val="20"/>
                <w:color w:val="auto"/>
              </w:rPr>
              <w:t>Title: Authorized Signatory</w:t>
            </w:r>
          </w:p>
        </w:tc>
        <w:tc>
          <w:tcPr>
            <w:tcW w:w="640" w:type="dxa"/>
            <w:vAlign w:val="bottom"/>
          </w:tcPr>
          <w:p>
            <w:pPr>
              <w:spacing w:after="0"/>
              <w:rPr>
                <w:sz w:val="22"/>
                <w:szCs w:val="22"/>
                <w:color w:val="auto"/>
              </w:rPr>
            </w:pPr>
          </w:p>
        </w:tc>
      </w:tr>
    </w:tbl>
    <w:p>
      <w:pPr>
        <w:spacing w:after="0" w:line="201"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20"/>
          <w:szCs w:val="20"/>
          <w:color w:val="auto"/>
        </w:rPr>
        <w:t>WhiteHorse Finance CLO I, LLC</w:t>
      </w:r>
    </w:p>
    <w:p>
      <w:pPr>
        <w:spacing w:after="0" w:line="200" w:lineRule="exact"/>
        <w:rPr>
          <w:sz w:val="20"/>
          <w:szCs w:val="20"/>
          <w:color w:val="auto"/>
        </w:rPr>
      </w:pPr>
    </w:p>
    <w:p>
      <w:pPr>
        <w:spacing w:after="0" w:line="240" w:lineRule="exact"/>
        <w:rPr>
          <w:sz w:val="20"/>
          <w:szCs w:val="20"/>
          <w:color w:val="auto"/>
        </w:rPr>
      </w:pPr>
    </w:p>
    <w:tbl>
      <w:tblPr>
        <w:tblLayout w:type="fixed"/>
        <w:tblInd w:w="4420" w:type="dxa"/>
        <w:tblCellMar>
          <w:top w:w="0" w:type="dxa"/>
          <w:left w:w="0" w:type="dxa"/>
          <w:bottom w:w="0" w:type="dxa"/>
          <w:right w:w="0" w:type="dxa"/>
        </w:tblCellMar>
      </w:tblPr>
      <w:tr>
        <w:trPr>
          <w:trHeight w:val="230"/>
        </w:trPr>
        <w:tc>
          <w:tcPr>
            <w:tcW w:w="194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By: /s/ Mark Bernier​</w:t>
            </w:r>
          </w:p>
        </w:tc>
        <w:tc>
          <w:tcPr>
            <w:tcW w:w="20" w:type="dxa"/>
            <w:vAlign w:val="bottom"/>
          </w:tcPr>
          <w:p>
            <w:pPr>
              <w:spacing w:after="0"/>
              <w:rPr>
                <w:sz w:val="19"/>
                <w:szCs w:val="19"/>
                <w:color w:val="auto"/>
              </w:rPr>
            </w:pPr>
          </w:p>
        </w:tc>
        <w:tc>
          <w:tcPr>
            <w:tcW w:w="640" w:type="dxa"/>
            <w:vAlign w:val="bottom"/>
          </w:tcPr>
          <w:p>
            <w:pPr>
              <w:spacing w:after="0"/>
              <w:rPr>
                <w:sz w:val="20"/>
                <w:szCs w:val="20"/>
                <w:color w:val="auto"/>
              </w:rPr>
            </w:pPr>
            <w:r>
              <w:rPr>
                <w:rFonts w:ascii="Times New Roman" w:cs="Times New Roman" w:eastAsia="Times New Roman" w:hAnsi="Times New Roman"/>
                <w:sz w:val="20"/>
                <w:szCs w:val="20"/>
                <w:color w:val="auto"/>
              </w:rPr>
              <w:t>​</w:t>
            </w:r>
          </w:p>
        </w:tc>
        <w:tc>
          <w:tcPr>
            <w:tcW w:w="640" w:type="dxa"/>
            <w:vAlign w:val="bottom"/>
          </w:tcPr>
          <w:p>
            <w:pPr>
              <w:spacing w:after="0"/>
              <w:rPr>
                <w:sz w:val="20"/>
                <w:szCs w:val="20"/>
                <w:color w:val="auto"/>
              </w:rPr>
            </w:pPr>
            <w:r>
              <w:rPr>
                <w:rFonts w:ascii="Times New Roman" w:cs="Times New Roman" w:eastAsia="Times New Roman" w:hAnsi="Times New Roman"/>
                <w:sz w:val="20"/>
                <w:szCs w:val="20"/>
                <w:color w:val="auto"/>
              </w:rPr>
              <w:t>​</w:t>
            </w:r>
          </w:p>
        </w:tc>
      </w:tr>
      <w:tr>
        <w:trPr>
          <w:trHeight w:val="20"/>
        </w:trPr>
        <w:tc>
          <w:tcPr>
            <w:tcW w:w="300" w:type="dxa"/>
            <w:vAlign w:val="bottom"/>
          </w:tcPr>
          <w:p>
            <w:pPr>
              <w:spacing w:after="0" w:line="20" w:lineRule="exact"/>
              <w:rPr>
                <w:sz w:val="1"/>
                <w:szCs w:val="1"/>
                <w:color w:val="auto"/>
              </w:rPr>
            </w:pPr>
          </w:p>
        </w:tc>
        <w:tc>
          <w:tcPr>
            <w:tcW w:w="164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r>
      <w:tr>
        <w:trPr>
          <w:trHeight w:val="227"/>
        </w:trPr>
        <w:tc>
          <w:tcPr>
            <w:tcW w:w="300" w:type="dxa"/>
            <w:vAlign w:val="bottom"/>
          </w:tcPr>
          <w:p>
            <w:pPr>
              <w:spacing w:after="0"/>
              <w:rPr>
                <w:sz w:val="19"/>
                <w:szCs w:val="19"/>
                <w:color w:val="auto"/>
              </w:rPr>
            </w:pPr>
          </w:p>
        </w:tc>
        <w:tc>
          <w:tcPr>
            <w:tcW w:w="2300" w:type="dxa"/>
            <w:vAlign w:val="bottom"/>
            <w:gridSpan w:val="3"/>
          </w:tcPr>
          <w:p>
            <w:pPr>
              <w:ind w:left="40"/>
              <w:spacing w:after="0" w:line="228" w:lineRule="exact"/>
              <w:rPr>
                <w:sz w:val="20"/>
                <w:szCs w:val="20"/>
                <w:color w:val="auto"/>
              </w:rPr>
            </w:pPr>
            <w:r>
              <w:rPr>
                <w:rFonts w:ascii="Times New Roman" w:cs="Times New Roman" w:eastAsia="Times New Roman" w:hAnsi="Times New Roman"/>
                <w:sz w:val="20"/>
                <w:szCs w:val="20"/>
                <w:color w:val="auto"/>
              </w:rPr>
              <w:t>Name: Mark Bernier</w:t>
            </w:r>
          </w:p>
        </w:tc>
        <w:tc>
          <w:tcPr>
            <w:tcW w:w="640" w:type="dxa"/>
            <w:vAlign w:val="bottom"/>
          </w:tcPr>
          <w:p>
            <w:pPr>
              <w:spacing w:after="0"/>
              <w:rPr>
                <w:sz w:val="19"/>
                <w:szCs w:val="19"/>
                <w:color w:val="auto"/>
              </w:rPr>
            </w:pPr>
          </w:p>
        </w:tc>
      </w:tr>
      <w:tr>
        <w:trPr>
          <w:trHeight w:val="258"/>
        </w:trPr>
        <w:tc>
          <w:tcPr>
            <w:tcW w:w="300" w:type="dxa"/>
            <w:vAlign w:val="bottom"/>
          </w:tcPr>
          <w:p>
            <w:pPr>
              <w:spacing w:after="0"/>
              <w:rPr>
                <w:sz w:val="22"/>
                <w:szCs w:val="22"/>
                <w:color w:val="auto"/>
              </w:rPr>
            </w:pPr>
          </w:p>
        </w:tc>
        <w:tc>
          <w:tcPr>
            <w:tcW w:w="2300" w:type="dxa"/>
            <w:vAlign w:val="bottom"/>
            <w:gridSpan w:val="3"/>
          </w:tcPr>
          <w:p>
            <w:pPr>
              <w:ind w:left="40"/>
              <w:spacing w:after="0"/>
              <w:rPr>
                <w:sz w:val="20"/>
                <w:szCs w:val="20"/>
                <w:color w:val="auto"/>
              </w:rPr>
            </w:pPr>
            <w:r>
              <w:rPr>
                <w:rFonts w:ascii="Times New Roman" w:cs="Times New Roman" w:eastAsia="Times New Roman" w:hAnsi="Times New Roman"/>
                <w:sz w:val="20"/>
                <w:szCs w:val="20"/>
                <w:color w:val="auto"/>
              </w:rPr>
              <w:t>Title: Authorized Signatory</w:t>
            </w:r>
          </w:p>
        </w:tc>
        <w:tc>
          <w:tcPr>
            <w:tcW w:w="640" w:type="dxa"/>
            <w:vAlign w:val="bottom"/>
          </w:tcPr>
          <w:p>
            <w:pPr>
              <w:spacing w:after="0"/>
              <w:rPr>
                <w:sz w:val="22"/>
                <w:szCs w:val="22"/>
                <w:color w:val="auto"/>
              </w:rPr>
            </w:pPr>
          </w:p>
        </w:tc>
      </w:tr>
      <w:tr>
        <w:trPr>
          <w:trHeight w:val="430"/>
        </w:trPr>
        <w:tc>
          <w:tcPr>
            <w:tcW w:w="2600" w:type="dxa"/>
            <w:vAlign w:val="bottom"/>
            <w:gridSpan w:val="4"/>
          </w:tcPr>
          <w:p>
            <w:pPr>
              <w:spacing w:after="0"/>
              <w:rPr>
                <w:sz w:val="20"/>
                <w:szCs w:val="20"/>
                <w:color w:val="auto"/>
              </w:rPr>
            </w:pPr>
            <w:r>
              <w:rPr>
                <w:rFonts w:ascii="Times New Roman" w:cs="Times New Roman" w:eastAsia="Times New Roman" w:hAnsi="Times New Roman"/>
                <w:sz w:val="20"/>
                <w:szCs w:val="20"/>
                <w:color w:val="auto"/>
              </w:rPr>
              <w:t>WhiteHorse Finance, Inc.</w:t>
            </w:r>
          </w:p>
        </w:tc>
        <w:tc>
          <w:tcPr>
            <w:tcW w:w="640" w:type="dxa"/>
            <w:vAlign w:val="bottom"/>
          </w:tcPr>
          <w:p>
            <w:pPr>
              <w:spacing w:after="0"/>
              <w:rPr>
                <w:sz w:val="24"/>
                <w:szCs w:val="24"/>
                <w:color w:val="auto"/>
              </w:rPr>
            </w:pPr>
          </w:p>
        </w:tc>
      </w:tr>
      <w:tr>
        <w:trPr>
          <w:trHeight w:val="258"/>
        </w:trPr>
        <w:tc>
          <w:tcPr>
            <w:tcW w:w="194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As a Lender</w:t>
            </w:r>
          </w:p>
        </w:tc>
        <w:tc>
          <w:tcPr>
            <w:tcW w:w="2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640" w:type="dxa"/>
            <w:vAlign w:val="bottom"/>
          </w:tcPr>
          <w:p>
            <w:pPr>
              <w:spacing w:after="0"/>
              <w:rPr>
                <w:sz w:val="22"/>
                <w:szCs w:val="22"/>
                <w:color w:val="auto"/>
              </w:rPr>
            </w:pPr>
          </w:p>
        </w:tc>
      </w:tr>
      <w:tr>
        <w:trPr>
          <w:trHeight w:val="642"/>
        </w:trPr>
        <w:tc>
          <w:tcPr>
            <w:tcW w:w="194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By: /s/ Mark Bernier​</w:t>
            </w:r>
          </w:p>
        </w:tc>
        <w:tc>
          <w:tcPr>
            <w:tcW w:w="20" w:type="dxa"/>
            <w:vAlign w:val="bottom"/>
          </w:tcPr>
          <w:p>
            <w:pPr>
              <w:spacing w:after="0"/>
              <w:rPr>
                <w:sz w:val="24"/>
                <w:szCs w:val="24"/>
                <w:color w:val="auto"/>
              </w:rPr>
            </w:pPr>
          </w:p>
        </w:tc>
        <w:tc>
          <w:tcPr>
            <w:tcW w:w="640" w:type="dxa"/>
            <w:vAlign w:val="bottom"/>
          </w:tcPr>
          <w:p>
            <w:pPr>
              <w:spacing w:after="0"/>
              <w:rPr>
                <w:sz w:val="20"/>
                <w:szCs w:val="20"/>
                <w:color w:val="auto"/>
              </w:rPr>
            </w:pPr>
            <w:r>
              <w:rPr>
                <w:rFonts w:ascii="Times New Roman" w:cs="Times New Roman" w:eastAsia="Times New Roman" w:hAnsi="Times New Roman"/>
                <w:sz w:val="20"/>
                <w:szCs w:val="20"/>
                <w:color w:val="auto"/>
              </w:rPr>
              <w:t>​</w:t>
            </w:r>
          </w:p>
        </w:tc>
        <w:tc>
          <w:tcPr>
            <w:tcW w:w="640" w:type="dxa"/>
            <w:vAlign w:val="bottom"/>
          </w:tcPr>
          <w:p>
            <w:pPr>
              <w:spacing w:after="0"/>
              <w:rPr>
                <w:sz w:val="20"/>
                <w:szCs w:val="20"/>
                <w:color w:val="auto"/>
              </w:rPr>
            </w:pPr>
            <w:r>
              <w:rPr>
                <w:rFonts w:ascii="Times New Roman" w:cs="Times New Roman" w:eastAsia="Times New Roman" w:hAnsi="Times New Roman"/>
                <w:sz w:val="20"/>
                <w:szCs w:val="20"/>
                <w:color w:val="auto"/>
              </w:rPr>
              <w:t>​</w:t>
            </w:r>
          </w:p>
        </w:tc>
      </w:tr>
      <w:tr>
        <w:trPr>
          <w:trHeight w:val="20"/>
        </w:trPr>
        <w:tc>
          <w:tcPr>
            <w:tcW w:w="300" w:type="dxa"/>
            <w:vAlign w:val="bottom"/>
          </w:tcPr>
          <w:p>
            <w:pPr>
              <w:spacing w:after="0" w:line="20" w:lineRule="exact"/>
              <w:rPr>
                <w:sz w:val="1"/>
                <w:szCs w:val="1"/>
                <w:color w:val="auto"/>
              </w:rPr>
            </w:pPr>
          </w:p>
        </w:tc>
        <w:tc>
          <w:tcPr>
            <w:tcW w:w="164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r>
      <w:tr>
        <w:trPr>
          <w:trHeight w:val="227"/>
        </w:trPr>
        <w:tc>
          <w:tcPr>
            <w:tcW w:w="300" w:type="dxa"/>
            <w:vAlign w:val="bottom"/>
          </w:tcPr>
          <w:p>
            <w:pPr>
              <w:spacing w:after="0"/>
              <w:rPr>
                <w:sz w:val="19"/>
                <w:szCs w:val="19"/>
                <w:color w:val="auto"/>
              </w:rPr>
            </w:pPr>
          </w:p>
        </w:tc>
        <w:tc>
          <w:tcPr>
            <w:tcW w:w="2300" w:type="dxa"/>
            <w:vAlign w:val="bottom"/>
            <w:gridSpan w:val="3"/>
          </w:tcPr>
          <w:p>
            <w:pPr>
              <w:ind w:left="40"/>
              <w:spacing w:after="0" w:line="228" w:lineRule="exact"/>
              <w:rPr>
                <w:sz w:val="20"/>
                <w:szCs w:val="20"/>
                <w:color w:val="auto"/>
              </w:rPr>
            </w:pPr>
            <w:r>
              <w:rPr>
                <w:rFonts w:ascii="Times New Roman" w:cs="Times New Roman" w:eastAsia="Times New Roman" w:hAnsi="Times New Roman"/>
                <w:sz w:val="20"/>
                <w:szCs w:val="20"/>
                <w:color w:val="auto"/>
              </w:rPr>
              <w:t>Name: Mark Bernier</w:t>
            </w:r>
          </w:p>
        </w:tc>
        <w:tc>
          <w:tcPr>
            <w:tcW w:w="640" w:type="dxa"/>
            <w:vAlign w:val="bottom"/>
          </w:tcPr>
          <w:p>
            <w:pPr>
              <w:spacing w:after="0"/>
              <w:rPr>
                <w:sz w:val="19"/>
                <w:szCs w:val="19"/>
                <w:color w:val="auto"/>
              </w:rPr>
            </w:pPr>
          </w:p>
        </w:tc>
      </w:tr>
      <w:tr>
        <w:trPr>
          <w:trHeight w:val="258"/>
        </w:trPr>
        <w:tc>
          <w:tcPr>
            <w:tcW w:w="300" w:type="dxa"/>
            <w:vAlign w:val="bottom"/>
          </w:tcPr>
          <w:p>
            <w:pPr>
              <w:spacing w:after="0"/>
              <w:rPr>
                <w:sz w:val="22"/>
                <w:szCs w:val="22"/>
                <w:color w:val="auto"/>
              </w:rPr>
            </w:pPr>
          </w:p>
        </w:tc>
        <w:tc>
          <w:tcPr>
            <w:tcW w:w="2300" w:type="dxa"/>
            <w:vAlign w:val="bottom"/>
            <w:gridSpan w:val="3"/>
          </w:tcPr>
          <w:p>
            <w:pPr>
              <w:ind w:left="40"/>
              <w:spacing w:after="0"/>
              <w:rPr>
                <w:sz w:val="20"/>
                <w:szCs w:val="20"/>
                <w:color w:val="auto"/>
              </w:rPr>
            </w:pPr>
            <w:r>
              <w:rPr>
                <w:rFonts w:ascii="Times New Roman" w:cs="Times New Roman" w:eastAsia="Times New Roman" w:hAnsi="Times New Roman"/>
                <w:sz w:val="20"/>
                <w:szCs w:val="20"/>
                <w:color w:val="auto"/>
              </w:rPr>
              <w:t>Title: Authorized Signatory</w:t>
            </w:r>
          </w:p>
        </w:tc>
        <w:tc>
          <w:tcPr>
            <w:tcW w:w="640" w:type="dxa"/>
            <w:vAlign w:val="bottom"/>
          </w:tcPr>
          <w:p>
            <w:pPr>
              <w:spacing w:after="0"/>
              <w:rPr>
                <w:sz w:val="22"/>
                <w:szCs w:val="22"/>
                <w:color w:val="auto"/>
              </w:rPr>
            </w:pP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-11430</wp:posOffset>
            </wp:positionV>
            <wp:extent cx="408305" cy="825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27">
                      <a:extLst>
                        <a:ext uri="{28A0092B-C50C-407E-A947-70E740481C1C}"/>
                      </a:extLst>
                    </a:blip>
                    <a:srcRect/>
                    <a:stretch>
                      <a:fillRect/>
                    </a:stretch>
                  </pic:blipFill>
                  <pic:spPr bwMode="auto">
                    <a:xfrm>
                      <a:off x="0" y="0"/>
                      <a:ext cx="40830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-11430</wp:posOffset>
            </wp:positionV>
            <wp:extent cx="408305" cy="825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8">
                      <a:extLst>
                        <a:ext uri="{28A0092B-C50C-407E-A947-70E740481C1C}"/>
                      </a:extLst>
                    </a:blip>
                    <a:srcRect/>
                    <a:stretch>
                      <a:fillRect/>
                    </a:stretch>
                  </pic:blipFill>
                  <pic:spPr bwMode="auto">
                    <a:xfrm>
                      <a:off x="0" y="0"/>
                      <a:ext cx="40830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-11430</wp:posOffset>
            </wp:positionV>
            <wp:extent cx="408305" cy="825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9">
                      <a:extLst>
                        <a:ext uri="{28A0092B-C50C-407E-A947-70E740481C1C}"/>
                      </a:extLst>
                    </a:blip>
                    <a:srcRect/>
                    <a:stretch>
                      <a:fillRect/>
                    </a:stretch>
                  </pic:blipFill>
                  <pic:spPr bwMode="auto">
                    <a:xfrm>
                      <a:off x="0" y="0"/>
                      <a:ext cx="40830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-11430</wp:posOffset>
            </wp:positionV>
            <wp:extent cx="408305" cy="889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30">
                      <a:extLst>
                        <a:ext uri="{28A0092B-C50C-407E-A947-70E740481C1C}"/>
                      </a:extLst>
                    </a:blip>
                    <a:srcRect/>
                    <a:stretch>
                      <a:fillRect/>
                    </a:stretch>
                  </pic:blipFill>
                  <pic:spPr bwMode="auto">
                    <a:xfrm>
                      <a:off x="0" y="0"/>
                      <a:ext cx="40830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-11430</wp:posOffset>
            </wp:positionV>
            <wp:extent cx="408305" cy="889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31">
                      <a:extLst>
                        <a:ext uri="{28A0092B-C50C-407E-A947-70E740481C1C}"/>
                      </a:extLst>
                    </a:blip>
                    <a:srcRect/>
                    <a:stretch>
                      <a:fillRect/>
                    </a:stretch>
                  </pic:blipFill>
                  <pic:spPr bwMode="auto">
                    <a:xfrm>
                      <a:off x="0" y="0"/>
                      <a:ext cx="408305" cy="8890"/>
                    </a:xfrm>
                    <a:prstGeom prst="rect">
                      <a:avLst/>
                    </a:prstGeom>
                    <a:noFill/>
                  </pic:spPr>
                </pic:pic>
              </a:graphicData>
            </a:graphic>
          </wp:anchor>
        </w:drawing>
      </w:r>
    </w:p>
    <w:p>
      <w:pPr>
        <w:spacing w:after="0" w:line="686" w:lineRule="exact"/>
        <w:rPr>
          <w:sz w:val="20"/>
          <w:szCs w:val="20"/>
          <w:color w:val="auto"/>
        </w:rPr>
      </w:pPr>
    </w:p>
    <w:p>
      <w:pPr>
        <w:sectPr>
          <w:pgSz w:w="11900" w:h="16838" w:orient="portrait"/>
          <w:cols w:equalWidth="0" w:num="2">
            <w:col w:w="7660" w:space="0"/>
            <w:col w:w="1359"/>
          </w:cols>
          <w:pgMar w:left="1440" w:top="900" w:right="1440" w:bottom="1440" w:gutter="0" w:footer="0" w:header="0"/>
        </w:sectPr>
      </w:pPr>
    </w:p>
    <w:p>
      <w:pPr>
        <w:spacing w:after="0" w:line="1" w:lineRule="exact"/>
        <w:rPr>
          <w:sz w:val="20"/>
          <w:szCs w:val="20"/>
          <w:color w:val="auto"/>
        </w:rPr>
      </w:pPr>
    </w:p>
    <w:p>
      <w:pPr>
        <w:jc w:val="right"/>
        <w:ind w:right="659"/>
        <w:spacing w:after="0"/>
        <w:rPr>
          <w:sz w:val="20"/>
          <w:szCs w:val="20"/>
          <w:color w:val="auto"/>
        </w:rPr>
      </w:pPr>
      <w:r>
        <w:rPr>
          <w:rFonts w:ascii="Times New Roman" w:cs="Times New Roman" w:eastAsia="Times New Roman" w:hAnsi="Times New Roman"/>
          <w:sz w:val="20"/>
          <w:szCs w:val="20"/>
          <w:color w:val="auto"/>
        </w:rPr>
        <w:t>WhiteHorse MM Unlevered Loan Holdings, LLC</w:t>
      </w:r>
    </w:p>
    <w:p>
      <w:pPr>
        <w:spacing w:after="0" w:line="200" w:lineRule="exact"/>
        <w:rPr>
          <w:sz w:val="20"/>
          <w:szCs w:val="20"/>
          <w:color w:val="auto"/>
        </w:rPr>
      </w:pPr>
    </w:p>
    <w:p>
      <w:pPr>
        <w:spacing w:after="0" w:line="240" w:lineRule="exact"/>
        <w:rPr>
          <w:sz w:val="20"/>
          <w:szCs w:val="20"/>
          <w:color w:val="auto"/>
        </w:rPr>
      </w:pPr>
    </w:p>
    <w:tbl>
      <w:tblPr>
        <w:tblLayout w:type="fixed"/>
        <w:tblInd w:w="4420" w:type="dxa"/>
        <w:tblCellMar>
          <w:top w:w="0" w:type="dxa"/>
          <w:left w:w="0" w:type="dxa"/>
          <w:bottom w:w="0" w:type="dxa"/>
          <w:right w:w="0" w:type="dxa"/>
        </w:tblCellMar>
      </w:tblPr>
      <w:tr>
        <w:trPr>
          <w:trHeight w:val="230"/>
        </w:trPr>
        <w:tc>
          <w:tcPr>
            <w:tcW w:w="2600" w:type="dxa"/>
            <w:vAlign w:val="bottom"/>
            <w:gridSpan w:val="4"/>
          </w:tcPr>
          <w:p>
            <w:pPr>
              <w:spacing w:after="0"/>
              <w:rPr>
                <w:sz w:val="20"/>
                <w:szCs w:val="20"/>
                <w:color w:val="auto"/>
              </w:rPr>
            </w:pPr>
            <w:r>
              <w:rPr>
                <w:rFonts w:ascii="Times New Roman" w:cs="Times New Roman" w:eastAsia="Times New Roman" w:hAnsi="Times New Roman"/>
                <w:sz w:val="20"/>
                <w:szCs w:val="20"/>
                <w:color w:val="auto"/>
              </w:rPr>
              <w:t>By: /s/ Mark Bernier​   ​</w:t>
            </w:r>
          </w:p>
        </w:tc>
        <w:tc>
          <w:tcPr>
            <w:tcW w:w="640" w:type="dxa"/>
            <w:vAlign w:val="bottom"/>
          </w:tcPr>
          <w:p>
            <w:pPr>
              <w:spacing w:after="0"/>
              <w:rPr>
                <w:sz w:val="20"/>
                <w:szCs w:val="20"/>
                <w:color w:val="auto"/>
              </w:rPr>
            </w:pPr>
            <w:r>
              <w:rPr>
                <w:rFonts w:ascii="Times New Roman" w:cs="Times New Roman" w:eastAsia="Times New Roman" w:hAnsi="Times New Roman"/>
                <w:sz w:val="20"/>
                <w:szCs w:val="20"/>
                <w:color w:val="auto"/>
              </w:rPr>
              <w:t>​</w:t>
            </w:r>
          </w:p>
        </w:tc>
        <w:tc>
          <w:tcPr>
            <w:tcW w:w="640" w:type="dxa"/>
            <w:vAlign w:val="bottom"/>
          </w:tcPr>
          <w:p>
            <w:pPr>
              <w:spacing w:after="0"/>
              <w:rPr>
                <w:sz w:val="20"/>
                <w:szCs w:val="20"/>
                <w:color w:val="auto"/>
              </w:rPr>
            </w:pPr>
            <w:r>
              <w:rPr>
                <w:rFonts w:ascii="Times New Roman" w:cs="Times New Roman" w:eastAsia="Times New Roman" w:hAnsi="Times New Roman"/>
                <w:sz w:val="20"/>
                <w:szCs w:val="20"/>
                <w:color w:val="auto"/>
              </w:rPr>
              <w:t>​</w:t>
            </w:r>
          </w:p>
        </w:tc>
      </w:tr>
      <w:tr>
        <w:trPr>
          <w:trHeight w:val="20"/>
        </w:trPr>
        <w:tc>
          <w:tcPr>
            <w:tcW w:w="300" w:type="dxa"/>
            <w:vAlign w:val="bottom"/>
          </w:tcPr>
          <w:p>
            <w:pPr>
              <w:spacing w:after="0" w:line="20" w:lineRule="exact"/>
              <w:rPr>
                <w:sz w:val="1"/>
                <w:szCs w:val="1"/>
                <w:color w:val="auto"/>
              </w:rPr>
            </w:pPr>
          </w:p>
        </w:tc>
        <w:tc>
          <w:tcPr>
            <w:tcW w:w="164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r>
      <w:tr>
        <w:trPr>
          <w:trHeight w:val="227"/>
        </w:trPr>
        <w:tc>
          <w:tcPr>
            <w:tcW w:w="300" w:type="dxa"/>
            <w:vAlign w:val="bottom"/>
          </w:tcPr>
          <w:p>
            <w:pPr>
              <w:spacing w:after="0"/>
              <w:rPr>
                <w:sz w:val="19"/>
                <w:szCs w:val="19"/>
                <w:color w:val="auto"/>
              </w:rPr>
            </w:pPr>
          </w:p>
        </w:tc>
        <w:tc>
          <w:tcPr>
            <w:tcW w:w="2300" w:type="dxa"/>
            <w:vAlign w:val="bottom"/>
            <w:gridSpan w:val="3"/>
          </w:tcPr>
          <w:p>
            <w:pPr>
              <w:ind w:left="40"/>
              <w:spacing w:after="0" w:line="228" w:lineRule="exact"/>
              <w:rPr>
                <w:sz w:val="20"/>
                <w:szCs w:val="20"/>
                <w:color w:val="auto"/>
              </w:rPr>
            </w:pPr>
            <w:r>
              <w:rPr>
                <w:rFonts w:ascii="Times New Roman" w:cs="Times New Roman" w:eastAsia="Times New Roman" w:hAnsi="Times New Roman"/>
                <w:sz w:val="20"/>
                <w:szCs w:val="20"/>
                <w:color w:val="auto"/>
              </w:rPr>
              <w:t>Name: Mark Bernier</w:t>
            </w:r>
          </w:p>
        </w:tc>
        <w:tc>
          <w:tcPr>
            <w:tcW w:w="640" w:type="dxa"/>
            <w:vAlign w:val="bottom"/>
          </w:tcPr>
          <w:p>
            <w:pPr>
              <w:spacing w:after="0"/>
              <w:rPr>
                <w:sz w:val="19"/>
                <w:szCs w:val="19"/>
                <w:color w:val="auto"/>
              </w:rPr>
            </w:pPr>
          </w:p>
        </w:tc>
        <w:tc>
          <w:tcPr>
            <w:tcW w:w="640" w:type="dxa"/>
            <w:vAlign w:val="bottom"/>
          </w:tcPr>
          <w:p>
            <w:pPr>
              <w:spacing w:after="0"/>
              <w:rPr>
                <w:sz w:val="19"/>
                <w:szCs w:val="19"/>
                <w:color w:val="auto"/>
              </w:rPr>
            </w:pPr>
          </w:p>
        </w:tc>
      </w:tr>
      <w:tr>
        <w:trPr>
          <w:trHeight w:val="258"/>
        </w:trPr>
        <w:tc>
          <w:tcPr>
            <w:tcW w:w="300" w:type="dxa"/>
            <w:vAlign w:val="bottom"/>
          </w:tcPr>
          <w:p>
            <w:pPr>
              <w:spacing w:after="0"/>
              <w:rPr>
                <w:sz w:val="22"/>
                <w:szCs w:val="22"/>
                <w:color w:val="auto"/>
              </w:rPr>
            </w:pPr>
          </w:p>
        </w:tc>
        <w:tc>
          <w:tcPr>
            <w:tcW w:w="2300" w:type="dxa"/>
            <w:vAlign w:val="bottom"/>
            <w:gridSpan w:val="3"/>
          </w:tcPr>
          <w:p>
            <w:pPr>
              <w:ind w:left="40"/>
              <w:spacing w:after="0"/>
              <w:rPr>
                <w:sz w:val="20"/>
                <w:szCs w:val="20"/>
                <w:color w:val="auto"/>
              </w:rPr>
            </w:pPr>
            <w:r>
              <w:rPr>
                <w:rFonts w:ascii="Times New Roman" w:cs="Times New Roman" w:eastAsia="Times New Roman" w:hAnsi="Times New Roman"/>
                <w:sz w:val="20"/>
                <w:szCs w:val="20"/>
                <w:color w:val="auto"/>
              </w:rPr>
              <w:t>Title: Authorized Signatory</w:t>
            </w:r>
          </w:p>
        </w:tc>
        <w:tc>
          <w:tcPr>
            <w:tcW w:w="640" w:type="dxa"/>
            <w:vAlign w:val="bottom"/>
          </w:tcPr>
          <w:p>
            <w:pPr>
              <w:spacing w:after="0"/>
              <w:rPr>
                <w:sz w:val="22"/>
                <w:szCs w:val="22"/>
                <w:color w:val="auto"/>
              </w:rPr>
            </w:pPr>
          </w:p>
        </w:tc>
        <w:tc>
          <w:tcPr>
            <w:tcW w:w="640" w:type="dxa"/>
            <w:vAlign w:val="bottom"/>
          </w:tcPr>
          <w:p>
            <w:pPr>
              <w:spacing w:after="0"/>
              <w:rPr>
                <w:sz w:val="22"/>
                <w:szCs w:val="22"/>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4"/>
          <w:szCs w:val="14"/>
          <w:color w:val="auto"/>
        </w:rPr>
        <w:t>US-DOCS\171161013.8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339725</wp:posOffset>
            </wp:positionH>
            <wp:positionV relativeFrom="paragraph">
              <wp:posOffset>349250</wp:posOffset>
            </wp:positionV>
            <wp:extent cx="5040630" cy="2540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32">
                      <a:extLst>
                        <a:ext uri="{28A0092B-C50C-407E-A947-70E740481C1C}"/>
                      </a:extLst>
                    </a:blip>
                    <a:srcRect/>
                    <a:stretch>
                      <a:fillRect/>
                    </a:stretch>
                  </pic:blipFill>
                  <pic:spPr bwMode="auto">
                    <a:xfrm>
                      <a:off x="0" y="0"/>
                      <a:ext cx="5040630" cy="25400"/>
                    </a:xfrm>
                    <a:prstGeom prst="rect">
                      <a:avLst/>
                    </a:prstGeom>
                    <a:noFill/>
                  </pic:spPr>
                </pic:pic>
              </a:graphicData>
            </a:graphic>
          </wp:anchor>
        </w:drawing>
      </w:r>
    </w:p>
    <w:p>
      <w:pPr>
        <w:sectPr>
          <w:pgSz w:w="11900" w:h="16838" w:orient="portrait"/>
          <w:cols w:equalWidth="0" w:num="1">
            <w:col w:w="9019"/>
          </w:cols>
          <w:pgMar w:left="1440" w:top="900" w:right="1440" w:bottom="1440" w:gutter="0" w:footer="0" w:header="0"/>
          <w:type w:val="continuous"/>
        </w:sectPr>
      </w:pPr>
    </w:p>
    <w:bookmarkStart w:id="78" w:name="page79"/>
    <w:bookmarkEnd w:id="78"/>
    <w:tbl>
      <w:tblPr>
        <w:tblLayout w:type="fixed"/>
        <w:tblInd w:w="4420" w:type="dxa"/>
        <w:tblCellMar>
          <w:top w:w="0" w:type="dxa"/>
          <w:left w:w="0" w:type="dxa"/>
          <w:bottom w:w="0" w:type="dxa"/>
          <w:right w:w="0" w:type="dxa"/>
        </w:tblCellMar>
      </w:tblPr>
      <w:tr>
        <w:trPr>
          <w:trHeight w:val="258"/>
        </w:trPr>
        <w:tc>
          <w:tcPr>
            <w:tcW w:w="2600" w:type="dxa"/>
            <w:vAlign w:val="bottom"/>
            <w:gridSpan w:val="4"/>
          </w:tcPr>
          <w:p>
            <w:pPr>
              <w:spacing w:after="0"/>
              <w:rPr>
                <w:sz w:val="20"/>
                <w:szCs w:val="20"/>
                <w:color w:val="auto"/>
              </w:rPr>
            </w:pPr>
            <w:r>
              <w:rPr>
                <w:rFonts w:ascii="Times New Roman" w:cs="Times New Roman" w:eastAsia="Times New Roman" w:hAnsi="Times New Roman"/>
                <w:sz w:val="20"/>
                <w:szCs w:val="20"/>
                <w:color w:val="auto"/>
              </w:rPr>
              <w:t>WHMM Levered SPV I, LLC</w:t>
            </w:r>
          </w:p>
        </w:tc>
        <w:tc>
          <w:tcPr>
            <w:tcW w:w="640" w:type="dxa"/>
            <w:vAlign w:val="bottom"/>
          </w:tcPr>
          <w:p>
            <w:pPr>
              <w:spacing w:after="0"/>
              <w:rPr>
                <w:sz w:val="22"/>
                <w:szCs w:val="22"/>
                <w:color w:val="auto"/>
              </w:rPr>
            </w:pPr>
          </w:p>
        </w:tc>
        <w:tc>
          <w:tcPr>
            <w:tcW w:w="640" w:type="dxa"/>
            <w:vAlign w:val="bottom"/>
          </w:tcPr>
          <w:p>
            <w:pPr>
              <w:spacing w:after="0"/>
              <w:rPr>
                <w:sz w:val="22"/>
                <w:szCs w:val="22"/>
                <w:color w:val="auto"/>
              </w:rPr>
            </w:pPr>
          </w:p>
        </w:tc>
      </w:tr>
      <w:tr>
        <w:trPr>
          <w:trHeight w:val="642"/>
        </w:trPr>
        <w:tc>
          <w:tcPr>
            <w:tcW w:w="194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By: /s/ Mark Bernier​</w:t>
            </w:r>
          </w:p>
        </w:tc>
        <w:tc>
          <w:tcPr>
            <w:tcW w:w="20" w:type="dxa"/>
            <w:vAlign w:val="bottom"/>
          </w:tcPr>
          <w:p>
            <w:pPr>
              <w:spacing w:after="0"/>
              <w:rPr>
                <w:sz w:val="24"/>
                <w:szCs w:val="24"/>
                <w:color w:val="auto"/>
              </w:rPr>
            </w:pPr>
          </w:p>
        </w:tc>
        <w:tc>
          <w:tcPr>
            <w:tcW w:w="640" w:type="dxa"/>
            <w:vAlign w:val="bottom"/>
          </w:tcPr>
          <w:p>
            <w:pPr>
              <w:spacing w:after="0"/>
              <w:rPr>
                <w:sz w:val="20"/>
                <w:szCs w:val="20"/>
                <w:color w:val="auto"/>
              </w:rPr>
            </w:pPr>
            <w:r>
              <w:rPr>
                <w:rFonts w:ascii="Times New Roman" w:cs="Times New Roman" w:eastAsia="Times New Roman" w:hAnsi="Times New Roman"/>
                <w:sz w:val="20"/>
                <w:szCs w:val="20"/>
                <w:color w:val="auto"/>
              </w:rPr>
              <w:t>​</w:t>
            </w:r>
          </w:p>
        </w:tc>
        <w:tc>
          <w:tcPr>
            <w:tcW w:w="640" w:type="dxa"/>
            <w:vAlign w:val="bottom"/>
          </w:tcPr>
          <w:p>
            <w:pPr>
              <w:spacing w:after="0"/>
              <w:rPr>
                <w:sz w:val="20"/>
                <w:szCs w:val="20"/>
                <w:color w:val="auto"/>
              </w:rPr>
            </w:pPr>
            <w:r>
              <w:rPr>
                <w:rFonts w:ascii="Times New Roman" w:cs="Times New Roman" w:eastAsia="Times New Roman" w:hAnsi="Times New Roman"/>
                <w:sz w:val="20"/>
                <w:szCs w:val="20"/>
                <w:color w:val="auto"/>
              </w:rPr>
              <w:t>​</w:t>
            </w:r>
          </w:p>
        </w:tc>
        <w:tc>
          <w:tcPr>
            <w:tcW w:w="640" w:type="dxa"/>
            <w:vAlign w:val="bottom"/>
          </w:tcPr>
          <w:p>
            <w:pPr>
              <w:spacing w:after="0"/>
              <w:rPr>
                <w:sz w:val="20"/>
                <w:szCs w:val="20"/>
                <w:color w:val="auto"/>
              </w:rPr>
            </w:pPr>
            <w:r>
              <w:rPr>
                <w:rFonts w:ascii="Times New Roman" w:cs="Times New Roman" w:eastAsia="Times New Roman" w:hAnsi="Times New Roman"/>
                <w:sz w:val="20"/>
                <w:szCs w:val="20"/>
                <w:color w:val="auto"/>
              </w:rPr>
              <w:t>​</w:t>
            </w:r>
          </w:p>
        </w:tc>
      </w:tr>
      <w:tr>
        <w:trPr>
          <w:trHeight w:val="20"/>
        </w:trPr>
        <w:tc>
          <w:tcPr>
            <w:tcW w:w="300" w:type="dxa"/>
            <w:vAlign w:val="bottom"/>
          </w:tcPr>
          <w:p>
            <w:pPr>
              <w:spacing w:after="0" w:line="20" w:lineRule="exact"/>
              <w:rPr>
                <w:sz w:val="1"/>
                <w:szCs w:val="1"/>
                <w:color w:val="auto"/>
              </w:rPr>
            </w:pPr>
          </w:p>
        </w:tc>
        <w:tc>
          <w:tcPr>
            <w:tcW w:w="164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r>
      <w:tr>
        <w:trPr>
          <w:trHeight w:val="227"/>
        </w:trPr>
        <w:tc>
          <w:tcPr>
            <w:tcW w:w="300" w:type="dxa"/>
            <w:vAlign w:val="bottom"/>
          </w:tcPr>
          <w:p>
            <w:pPr>
              <w:spacing w:after="0"/>
              <w:rPr>
                <w:sz w:val="19"/>
                <w:szCs w:val="19"/>
                <w:color w:val="auto"/>
              </w:rPr>
            </w:pPr>
          </w:p>
        </w:tc>
        <w:tc>
          <w:tcPr>
            <w:tcW w:w="2300" w:type="dxa"/>
            <w:vAlign w:val="bottom"/>
            <w:gridSpan w:val="3"/>
          </w:tcPr>
          <w:p>
            <w:pPr>
              <w:ind w:left="40"/>
              <w:spacing w:after="0" w:line="228" w:lineRule="exact"/>
              <w:rPr>
                <w:sz w:val="20"/>
                <w:szCs w:val="20"/>
                <w:color w:val="auto"/>
              </w:rPr>
            </w:pPr>
            <w:r>
              <w:rPr>
                <w:rFonts w:ascii="Times New Roman" w:cs="Times New Roman" w:eastAsia="Times New Roman" w:hAnsi="Times New Roman"/>
                <w:sz w:val="20"/>
                <w:szCs w:val="20"/>
                <w:color w:val="auto"/>
              </w:rPr>
              <w:t>Name: Mark Bernier</w:t>
            </w:r>
          </w:p>
        </w:tc>
        <w:tc>
          <w:tcPr>
            <w:tcW w:w="640" w:type="dxa"/>
            <w:vAlign w:val="bottom"/>
          </w:tcPr>
          <w:p>
            <w:pPr>
              <w:spacing w:after="0"/>
              <w:rPr>
                <w:sz w:val="19"/>
                <w:szCs w:val="19"/>
                <w:color w:val="auto"/>
              </w:rPr>
            </w:pPr>
          </w:p>
        </w:tc>
        <w:tc>
          <w:tcPr>
            <w:tcW w:w="640" w:type="dxa"/>
            <w:vAlign w:val="bottom"/>
          </w:tcPr>
          <w:p>
            <w:pPr>
              <w:spacing w:after="0"/>
              <w:rPr>
                <w:sz w:val="19"/>
                <w:szCs w:val="19"/>
                <w:color w:val="auto"/>
              </w:rPr>
            </w:pPr>
          </w:p>
        </w:tc>
      </w:tr>
      <w:tr>
        <w:trPr>
          <w:trHeight w:val="258"/>
        </w:trPr>
        <w:tc>
          <w:tcPr>
            <w:tcW w:w="300" w:type="dxa"/>
            <w:vAlign w:val="bottom"/>
          </w:tcPr>
          <w:p>
            <w:pPr>
              <w:spacing w:after="0"/>
              <w:rPr>
                <w:sz w:val="22"/>
                <w:szCs w:val="22"/>
                <w:color w:val="auto"/>
              </w:rPr>
            </w:pPr>
          </w:p>
        </w:tc>
        <w:tc>
          <w:tcPr>
            <w:tcW w:w="2300" w:type="dxa"/>
            <w:vAlign w:val="bottom"/>
            <w:gridSpan w:val="3"/>
          </w:tcPr>
          <w:p>
            <w:pPr>
              <w:ind w:left="40"/>
              <w:spacing w:after="0"/>
              <w:rPr>
                <w:sz w:val="20"/>
                <w:szCs w:val="20"/>
                <w:color w:val="auto"/>
              </w:rPr>
            </w:pPr>
            <w:r>
              <w:rPr>
                <w:rFonts w:ascii="Times New Roman" w:cs="Times New Roman" w:eastAsia="Times New Roman" w:hAnsi="Times New Roman"/>
                <w:sz w:val="20"/>
                <w:szCs w:val="20"/>
                <w:color w:val="auto"/>
              </w:rPr>
              <w:t>Title: Authorized Signatory</w:t>
            </w:r>
          </w:p>
        </w:tc>
        <w:tc>
          <w:tcPr>
            <w:tcW w:w="640" w:type="dxa"/>
            <w:vAlign w:val="bottom"/>
          </w:tcPr>
          <w:p>
            <w:pPr>
              <w:spacing w:after="0"/>
              <w:rPr>
                <w:sz w:val="22"/>
                <w:szCs w:val="22"/>
                <w:color w:val="auto"/>
              </w:rPr>
            </w:pPr>
          </w:p>
        </w:tc>
        <w:tc>
          <w:tcPr>
            <w:tcW w:w="640" w:type="dxa"/>
            <w:vAlign w:val="bottom"/>
          </w:tcPr>
          <w:p>
            <w:pPr>
              <w:spacing w:after="0"/>
              <w:rPr>
                <w:sz w:val="22"/>
                <w:szCs w:val="22"/>
                <w:color w:val="auto"/>
              </w:rPr>
            </w:pPr>
          </w:p>
        </w:tc>
      </w:tr>
      <w:tr>
        <w:trPr>
          <w:trHeight w:val="459"/>
        </w:trPr>
        <w:tc>
          <w:tcPr>
            <w:tcW w:w="2600" w:type="dxa"/>
            <w:vAlign w:val="bottom"/>
            <w:gridSpan w:val="4"/>
          </w:tcPr>
          <w:p>
            <w:pPr>
              <w:spacing w:after="0"/>
              <w:rPr>
                <w:sz w:val="20"/>
                <w:szCs w:val="20"/>
                <w:color w:val="auto"/>
              </w:rPr>
            </w:pPr>
            <w:r>
              <w:rPr>
                <w:rFonts w:ascii="Times New Roman" w:cs="Times New Roman" w:eastAsia="Times New Roman" w:hAnsi="Times New Roman"/>
                <w:sz w:val="20"/>
                <w:szCs w:val="20"/>
                <w:color w:val="auto"/>
              </w:rPr>
              <w:t>WHPL Terra SPV I LLC</w:t>
            </w:r>
          </w:p>
        </w:tc>
        <w:tc>
          <w:tcPr>
            <w:tcW w:w="640" w:type="dxa"/>
            <w:vAlign w:val="bottom"/>
          </w:tcPr>
          <w:p>
            <w:pPr>
              <w:spacing w:after="0"/>
              <w:rPr>
                <w:sz w:val="24"/>
                <w:szCs w:val="24"/>
                <w:color w:val="auto"/>
              </w:rPr>
            </w:pPr>
          </w:p>
        </w:tc>
        <w:tc>
          <w:tcPr>
            <w:tcW w:w="640" w:type="dxa"/>
            <w:vAlign w:val="bottom"/>
          </w:tcPr>
          <w:p>
            <w:pPr>
              <w:spacing w:after="0"/>
              <w:rPr>
                <w:sz w:val="24"/>
                <w:szCs w:val="24"/>
                <w:color w:val="auto"/>
              </w:rPr>
            </w:pPr>
          </w:p>
        </w:tc>
      </w:tr>
      <w:tr>
        <w:trPr>
          <w:trHeight w:val="642"/>
        </w:trPr>
        <w:tc>
          <w:tcPr>
            <w:tcW w:w="194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By: /s/ Mark Bernier​</w:t>
            </w:r>
          </w:p>
        </w:tc>
        <w:tc>
          <w:tcPr>
            <w:tcW w:w="20" w:type="dxa"/>
            <w:vAlign w:val="bottom"/>
          </w:tcPr>
          <w:p>
            <w:pPr>
              <w:spacing w:after="0"/>
              <w:rPr>
                <w:sz w:val="24"/>
                <w:szCs w:val="24"/>
                <w:color w:val="auto"/>
              </w:rPr>
            </w:pPr>
          </w:p>
        </w:tc>
        <w:tc>
          <w:tcPr>
            <w:tcW w:w="640" w:type="dxa"/>
            <w:vAlign w:val="bottom"/>
          </w:tcPr>
          <w:p>
            <w:pPr>
              <w:spacing w:after="0"/>
              <w:rPr>
                <w:sz w:val="20"/>
                <w:szCs w:val="20"/>
                <w:color w:val="auto"/>
              </w:rPr>
            </w:pPr>
            <w:r>
              <w:rPr>
                <w:rFonts w:ascii="Times New Roman" w:cs="Times New Roman" w:eastAsia="Times New Roman" w:hAnsi="Times New Roman"/>
                <w:sz w:val="20"/>
                <w:szCs w:val="20"/>
                <w:color w:val="auto"/>
              </w:rPr>
              <w:t>​</w:t>
            </w:r>
          </w:p>
        </w:tc>
        <w:tc>
          <w:tcPr>
            <w:tcW w:w="640" w:type="dxa"/>
            <w:vAlign w:val="bottom"/>
          </w:tcPr>
          <w:p>
            <w:pPr>
              <w:spacing w:after="0"/>
              <w:rPr>
                <w:sz w:val="20"/>
                <w:szCs w:val="20"/>
                <w:color w:val="auto"/>
              </w:rPr>
            </w:pPr>
            <w:r>
              <w:rPr>
                <w:rFonts w:ascii="Times New Roman" w:cs="Times New Roman" w:eastAsia="Times New Roman" w:hAnsi="Times New Roman"/>
                <w:sz w:val="20"/>
                <w:szCs w:val="20"/>
                <w:color w:val="auto"/>
              </w:rPr>
              <w:t>​</w:t>
            </w:r>
          </w:p>
        </w:tc>
        <w:tc>
          <w:tcPr>
            <w:tcW w:w="640" w:type="dxa"/>
            <w:vAlign w:val="bottom"/>
          </w:tcPr>
          <w:p>
            <w:pPr>
              <w:spacing w:after="0"/>
              <w:rPr>
                <w:sz w:val="20"/>
                <w:szCs w:val="20"/>
                <w:color w:val="auto"/>
              </w:rPr>
            </w:pPr>
            <w:r>
              <w:rPr>
                <w:rFonts w:ascii="Times New Roman" w:cs="Times New Roman" w:eastAsia="Times New Roman" w:hAnsi="Times New Roman"/>
                <w:sz w:val="20"/>
                <w:szCs w:val="20"/>
                <w:color w:val="auto"/>
              </w:rPr>
              <w:t>​</w:t>
            </w:r>
          </w:p>
        </w:tc>
      </w:tr>
      <w:tr>
        <w:trPr>
          <w:trHeight w:val="20"/>
        </w:trPr>
        <w:tc>
          <w:tcPr>
            <w:tcW w:w="300" w:type="dxa"/>
            <w:vAlign w:val="bottom"/>
          </w:tcPr>
          <w:p>
            <w:pPr>
              <w:spacing w:after="0" w:line="20" w:lineRule="exact"/>
              <w:rPr>
                <w:sz w:val="1"/>
                <w:szCs w:val="1"/>
                <w:color w:val="auto"/>
              </w:rPr>
            </w:pPr>
          </w:p>
        </w:tc>
        <w:tc>
          <w:tcPr>
            <w:tcW w:w="164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r>
    </w:tbl>
    <w:p>
      <w:pPr>
        <w:spacing w:after="0" w:line="4" w:lineRule="exact"/>
        <w:rPr>
          <w:sz w:val="20"/>
          <w:szCs w:val="20"/>
          <w:color w:val="auto"/>
        </w:rPr>
      </w:pPr>
    </w:p>
    <w:p>
      <w:pPr>
        <w:ind w:left="4760"/>
        <w:spacing w:after="0"/>
        <w:rPr>
          <w:sz w:val="20"/>
          <w:szCs w:val="20"/>
          <w:color w:val="auto"/>
        </w:rPr>
      </w:pPr>
      <w:r>
        <w:rPr>
          <w:rFonts w:ascii="Times New Roman" w:cs="Times New Roman" w:eastAsia="Times New Roman" w:hAnsi="Times New Roman"/>
          <w:sz w:val="20"/>
          <w:szCs w:val="20"/>
          <w:color w:val="auto"/>
        </w:rPr>
        <w:t>Name: Mark Bernier</w:t>
      </w:r>
    </w:p>
    <w:p>
      <w:pPr>
        <w:spacing w:after="0" w:line="22" w:lineRule="exact"/>
        <w:rPr>
          <w:sz w:val="20"/>
          <w:szCs w:val="20"/>
          <w:color w:val="auto"/>
        </w:rPr>
      </w:pPr>
    </w:p>
    <w:p>
      <w:pPr>
        <w:ind w:left="4760"/>
        <w:spacing w:after="0"/>
        <w:rPr>
          <w:sz w:val="20"/>
          <w:szCs w:val="20"/>
          <w:color w:val="auto"/>
        </w:rPr>
      </w:pPr>
      <w:r>
        <w:rPr>
          <w:rFonts w:ascii="Times New Roman" w:cs="Times New Roman" w:eastAsia="Times New Roman" w:hAnsi="Times New Roman"/>
          <w:sz w:val="20"/>
          <w:szCs w:val="20"/>
          <w:color w:val="auto"/>
        </w:rPr>
        <w:t>Title: Authorized Signatory</w:t>
      </w:r>
    </w:p>
    <w:p>
      <w:pPr>
        <w:spacing w:after="0" w:line="200" w:lineRule="exact"/>
        <w:rPr>
          <w:sz w:val="20"/>
          <w:szCs w:val="20"/>
          <w:color w:val="auto"/>
        </w:rPr>
      </w:pPr>
    </w:p>
    <w:p>
      <w:pPr>
        <w:spacing w:after="0" w:line="277"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4"/>
          <w:szCs w:val="14"/>
          <w:color w:val="auto"/>
        </w:rPr>
        <w:t>US-DOCS\171161013.8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339725</wp:posOffset>
            </wp:positionH>
            <wp:positionV relativeFrom="paragraph">
              <wp:posOffset>349250</wp:posOffset>
            </wp:positionV>
            <wp:extent cx="5040630" cy="2603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33">
                      <a:extLst>
                        <a:ext uri="{28A0092B-C50C-407E-A947-70E740481C1C}"/>
                      </a:extLst>
                    </a:blip>
                    <a:srcRect/>
                    <a:stretch>
                      <a:fillRect/>
                    </a:stretch>
                  </pic:blipFill>
                  <pic:spPr bwMode="auto">
                    <a:xfrm>
                      <a:off x="0" y="0"/>
                      <a:ext cx="5040630" cy="26035"/>
                    </a:xfrm>
                    <a:prstGeom prst="rect">
                      <a:avLst/>
                    </a:prstGeom>
                    <a:noFill/>
                  </pic:spPr>
                </pic:pic>
              </a:graphicData>
            </a:graphic>
          </wp:anchor>
        </w:drawing>
      </w:r>
    </w:p>
    <w:p>
      <w:pPr>
        <w:sectPr>
          <w:pgSz w:w="11900" w:h="16838" w:orient="portrait"/>
          <w:cols w:equalWidth="0" w:num="1">
            <w:col w:w="9019"/>
          </w:cols>
          <w:pgMar w:left="1440" w:top="900" w:right="1440" w:bottom="1440" w:gutter="0" w:footer="0" w:header="0"/>
        </w:sectPr>
      </w:pPr>
    </w:p>
    <w:bookmarkStart w:id="79" w:name="page80"/>
    <w:bookmarkEnd w:id="79"/>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Bruce McClelland, certify that:</w:t>
      </w:r>
    </w:p>
    <w:p>
      <w:pPr>
        <w:spacing w:after="0" w:line="225" w:lineRule="exact"/>
        <w:rPr>
          <w:sz w:val="20"/>
          <w:szCs w:val="20"/>
          <w:color w:val="auto"/>
        </w:rPr>
      </w:pPr>
    </w:p>
    <w:p>
      <w:pPr>
        <w:ind w:left="980" w:hanging="324"/>
        <w:spacing w:after="0"/>
        <w:tabs>
          <w:tab w:leader="none" w:pos="98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Ribbon Communications Inc.;</w:t>
      </w:r>
    </w:p>
    <w:p>
      <w:pPr>
        <w:spacing w:after="0" w:line="225" w:lineRule="exact"/>
        <w:rPr>
          <w:rFonts w:ascii="Times New Roman" w:cs="Times New Roman" w:eastAsia="Times New Roman" w:hAnsi="Times New Roman"/>
          <w:sz w:val="18"/>
          <w:szCs w:val="18"/>
          <w:color w:val="auto"/>
        </w:rPr>
      </w:pPr>
    </w:p>
    <w:p>
      <w:pPr>
        <w:ind w:left="980" w:right="100" w:hanging="324"/>
        <w:spacing w:after="0" w:line="266" w:lineRule="auto"/>
        <w:tabs>
          <w:tab w:leader="none" w:pos="98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ind w:left="980" w:right="120" w:hanging="324"/>
        <w:spacing w:after="0" w:line="266" w:lineRule="auto"/>
        <w:tabs>
          <w:tab w:leader="none" w:pos="98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5" w:lineRule="exact"/>
        <w:rPr>
          <w:rFonts w:ascii="Times New Roman" w:cs="Times New Roman" w:eastAsia="Times New Roman" w:hAnsi="Times New Roman"/>
          <w:sz w:val="18"/>
          <w:szCs w:val="18"/>
          <w:color w:val="auto"/>
        </w:rPr>
      </w:pPr>
    </w:p>
    <w:p>
      <w:pPr>
        <w:ind w:left="980" w:right="300" w:hanging="324"/>
        <w:spacing w:after="0" w:line="266" w:lineRule="auto"/>
        <w:tabs>
          <w:tab w:leader="none" w:pos="98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5" w:lineRule="exact"/>
        <w:rPr>
          <w:rFonts w:ascii="Times New Roman" w:cs="Times New Roman" w:eastAsia="Times New Roman" w:hAnsi="Times New Roman"/>
          <w:sz w:val="18"/>
          <w:szCs w:val="18"/>
          <w:color w:val="auto"/>
        </w:rPr>
      </w:pPr>
    </w:p>
    <w:p>
      <w:pPr>
        <w:ind w:left="1300" w:right="180" w:hanging="320"/>
        <w:spacing w:after="0" w:line="261" w:lineRule="auto"/>
        <w:tabs>
          <w:tab w:leader="none" w:pos="1300" w:val="left"/>
        </w:tabs>
        <w:numPr>
          <w:ilvl w:val="1"/>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9" w:lineRule="exact"/>
        <w:rPr>
          <w:rFonts w:ascii="Times New Roman" w:cs="Times New Roman" w:eastAsia="Times New Roman" w:hAnsi="Times New Roman"/>
          <w:sz w:val="18"/>
          <w:szCs w:val="18"/>
          <w:color w:val="auto"/>
        </w:rPr>
      </w:pPr>
    </w:p>
    <w:p>
      <w:pPr>
        <w:ind w:left="1300" w:right="100" w:hanging="320"/>
        <w:spacing w:after="0" w:line="289" w:lineRule="auto"/>
        <w:tabs>
          <w:tab w:leader="none" w:pos="1300" w:val="left"/>
        </w:tabs>
        <w:numPr>
          <w:ilvl w:val="1"/>
          <w:numId w:val="2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57" w:lineRule="exact"/>
        <w:rPr>
          <w:rFonts w:ascii="Times New Roman" w:cs="Times New Roman" w:eastAsia="Times New Roman" w:hAnsi="Times New Roman"/>
          <w:sz w:val="17"/>
          <w:szCs w:val="17"/>
          <w:color w:val="auto"/>
        </w:rPr>
      </w:pPr>
    </w:p>
    <w:p>
      <w:pPr>
        <w:ind w:left="1300" w:right="260" w:hanging="320"/>
        <w:spacing w:after="0" w:line="266" w:lineRule="auto"/>
        <w:tabs>
          <w:tab w:leader="none" w:pos="1300" w:val="left"/>
        </w:tabs>
        <w:numPr>
          <w:ilvl w:val="1"/>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75" w:lineRule="exact"/>
        <w:rPr>
          <w:rFonts w:ascii="Times New Roman" w:cs="Times New Roman" w:eastAsia="Times New Roman" w:hAnsi="Times New Roman"/>
          <w:sz w:val="18"/>
          <w:szCs w:val="18"/>
          <w:color w:val="auto"/>
        </w:rPr>
      </w:pPr>
    </w:p>
    <w:p>
      <w:pPr>
        <w:ind w:left="1300" w:right="100" w:hanging="320"/>
        <w:spacing w:after="0" w:line="261" w:lineRule="auto"/>
        <w:tabs>
          <w:tab w:leader="none" w:pos="1300" w:val="left"/>
        </w:tabs>
        <w:numPr>
          <w:ilvl w:val="1"/>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9" w:lineRule="exact"/>
        <w:rPr>
          <w:rFonts w:ascii="Times New Roman" w:cs="Times New Roman" w:eastAsia="Times New Roman" w:hAnsi="Times New Roman"/>
          <w:sz w:val="18"/>
          <w:szCs w:val="18"/>
          <w:color w:val="auto"/>
        </w:rPr>
      </w:pPr>
    </w:p>
    <w:p>
      <w:pPr>
        <w:ind w:left="980" w:right="260" w:hanging="324"/>
        <w:spacing w:after="0" w:line="266" w:lineRule="auto"/>
        <w:tabs>
          <w:tab w:leader="none" w:pos="98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75" w:lineRule="exact"/>
        <w:rPr>
          <w:rFonts w:ascii="Times New Roman" w:cs="Times New Roman" w:eastAsia="Times New Roman" w:hAnsi="Times New Roman"/>
          <w:sz w:val="18"/>
          <w:szCs w:val="18"/>
          <w:color w:val="auto"/>
        </w:rPr>
      </w:pPr>
    </w:p>
    <w:p>
      <w:pPr>
        <w:ind w:left="1300" w:right="460" w:hanging="320"/>
        <w:spacing w:after="0" w:line="266" w:lineRule="auto"/>
        <w:tabs>
          <w:tab w:leader="none" w:pos="1300" w:val="left"/>
        </w:tabs>
        <w:numPr>
          <w:ilvl w:val="1"/>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5" w:lineRule="exact"/>
        <w:rPr>
          <w:rFonts w:ascii="Times New Roman" w:cs="Times New Roman" w:eastAsia="Times New Roman" w:hAnsi="Times New Roman"/>
          <w:sz w:val="18"/>
          <w:szCs w:val="18"/>
          <w:color w:val="auto"/>
        </w:rPr>
      </w:pPr>
    </w:p>
    <w:p>
      <w:pPr>
        <w:ind w:left="1300" w:right="260" w:hanging="320"/>
        <w:spacing w:after="0" w:line="282" w:lineRule="auto"/>
        <w:tabs>
          <w:tab w:leader="none" w:pos="1300" w:val="left"/>
        </w:tabs>
        <w:numPr>
          <w:ilvl w:val="1"/>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May 6, 2026</w:t>
      </w:r>
    </w:p>
    <w:p>
      <w:pPr>
        <w:spacing w:after="0" w:line="225" w:lineRule="exact"/>
        <w:rPr>
          <w:sz w:val="20"/>
          <w:szCs w:val="20"/>
          <w:color w:val="auto"/>
        </w:rPr>
      </w:pPr>
    </w:p>
    <w:p>
      <w:pPr>
        <w:ind w:left="6680"/>
        <w:spacing w:after="0"/>
        <w:rPr>
          <w:sz w:val="20"/>
          <w:szCs w:val="20"/>
          <w:color w:val="auto"/>
        </w:rPr>
      </w:pPr>
      <w:r>
        <w:rPr>
          <w:rFonts w:ascii="Times New Roman" w:cs="Times New Roman" w:eastAsia="Times New Roman" w:hAnsi="Times New Roman"/>
          <w:sz w:val="18"/>
          <w:szCs w:val="18"/>
          <w:color w:val="auto"/>
        </w:rPr>
        <w:t>/s/ Bruce McClelland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3152140</wp:posOffset>
            </wp:positionH>
            <wp:positionV relativeFrom="paragraph">
              <wp:posOffset>17145</wp:posOffset>
            </wp:positionV>
            <wp:extent cx="3145790" cy="825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34">
                      <a:extLst>
                        <a:ext uri="{28A0092B-C50C-407E-A947-70E740481C1C}"/>
                      </a:extLst>
                    </a:blip>
                    <a:srcRect/>
                    <a:stretch>
                      <a:fillRect/>
                    </a:stretch>
                  </pic:blipFill>
                  <pic:spPr bwMode="auto">
                    <a:xfrm>
                      <a:off x="0" y="0"/>
                      <a:ext cx="3145790" cy="8255"/>
                    </a:xfrm>
                    <a:prstGeom prst="rect">
                      <a:avLst/>
                    </a:prstGeom>
                    <a:noFill/>
                  </pic:spPr>
                </pic:pic>
              </a:graphicData>
            </a:graphic>
          </wp:anchor>
        </w:drawing>
      </w:r>
    </w:p>
    <w:p>
      <w:pPr>
        <w:spacing w:after="0" w:line="7" w:lineRule="exact"/>
        <w:rPr>
          <w:sz w:val="20"/>
          <w:szCs w:val="20"/>
          <w:color w:val="auto"/>
        </w:rPr>
      </w:pPr>
    </w:p>
    <w:p>
      <w:pPr>
        <w:ind w:left="6780"/>
        <w:spacing w:after="0"/>
        <w:rPr>
          <w:sz w:val="20"/>
          <w:szCs w:val="20"/>
          <w:color w:val="auto"/>
        </w:rPr>
      </w:pPr>
      <w:r>
        <w:rPr>
          <w:rFonts w:ascii="Times New Roman" w:cs="Times New Roman" w:eastAsia="Times New Roman" w:hAnsi="Times New Roman"/>
          <w:sz w:val="18"/>
          <w:szCs w:val="18"/>
          <w:color w:val="auto"/>
        </w:rPr>
        <w:t>Bruce McClelland</w:t>
      </w:r>
    </w:p>
    <w:p>
      <w:pPr>
        <w:spacing w:after="0" w:line="23" w:lineRule="exact"/>
        <w:rPr>
          <w:sz w:val="20"/>
          <w:szCs w:val="20"/>
          <w:color w:val="auto"/>
        </w:rPr>
      </w:pPr>
    </w:p>
    <w:p>
      <w:pPr>
        <w:jc w:val="center"/>
        <w:ind w:left="4940"/>
        <w:spacing w:after="0"/>
        <w:rPr>
          <w:sz w:val="20"/>
          <w:szCs w:val="20"/>
          <w:color w:val="auto"/>
        </w:rPr>
      </w:pPr>
      <w:r>
        <w:rPr>
          <w:rFonts w:ascii="Times New Roman" w:cs="Times New Roman" w:eastAsia="Times New Roman" w:hAnsi="Times New Roman"/>
          <w:sz w:val="18"/>
          <w:szCs w:val="18"/>
          <w:color w:val="auto"/>
        </w:rPr>
        <w:t>President and Chief Executive Officer</w:t>
      </w:r>
    </w:p>
    <w:p>
      <w:pPr>
        <w:spacing w:after="0" w:line="9" w:lineRule="exact"/>
        <w:rPr>
          <w:sz w:val="20"/>
          <w:szCs w:val="20"/>
          <w:color w:val="auto"/>
        </w:rPr>
      </w:pPr>
    </w:p>
    <w:p>
      <w:pPr>
        <w:jc w:val="center"/>
        <w:ind w:left="4940"/>
        <w:spacing w:after="0"/>
        <w:rPr>
          <w:sz w:val="20"/>
          <w:szCs w:val="20"/>
          <w:color w:val="auto"/>
        </w:rPr>
      </w:pPr>
      <w:r>
        <w:rPr>
          <w:rFonts w:ascii="Times New Roman" w:cs="Times New Roman" w:eastAsia="Times New Roman" w:hAnsi="Times New Roman"/>
          <w:sz w:val="18"/>
          <w:szCs w:val="18"/>
          <w:color w:val="auto"/>
        </w:rPr>
        <w:t>(Principal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485775</wp:posOffset>
            </wp:positionV>
            <wp:extent cx="6292215" cy="2540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35">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17" w:right="999" w:bottom="1440" w:gutter="0" w:footer="0" w:header="0"/>
        </w:sectPr>
      </w:pPr>
    </w:p>
    <w:bookmarkStart w:id="80" w:name="page81"/>
    <w:bookmarkEnd w:id="80"/>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Eric Marmurek, certify that:</w:t>
      </w:r>
    </w:p>
    <w:p>
      <w:pPr>
        <w:spacing w:after="0" w:line="225" w:lineRule="exact"/>
        <w:rPr>
          <w:sz w:val="20"/>
          <w:szCs w:val="20"/>
          <w:color w:val="auto"/>
        </w:rPr>
      </w:pPr>
    </w:p>
    <w:p>
      <w:pPr>
        <w:ind w:left="980" w:hanging="324"/>
        <w:spacing w:after="0"/>
        <w:tabs>
          <w:tab w:leader="none" w:pos="98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Ribbon Communications Inc.;</w:t>
      </w:r>
    </w:p>
    <w:p>
      <w:pPr>
        <w:spacing w:after="0" w:line="225" w:lineRule="exact"/>
        <w:rPr>
          <w:rFonts w:ascii="Times New Roman" w:cs="Times New Roman" w:eastAsia="Times New Roman" w:hAnsi="Times New Roman"/>
          <w:sz w:val="18"/>
          <w:szCs w:val="18"/>
          <w:color w:val="auto"/>
        </w:rPr>
      </w:pPr>
    </w:p>
    <w:p>
      <w:pPr>
        <w:ind w:left="980" w:right="100" w:hanging="324"/>
        <w:spacing w:after="0" w:line="266" w:lineRule="auto"/>
        <w:tabs>
          <w:tab w:leader="none" w:pos="98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ind w:left="980" w:right="120" w:hanging="324"/>
        <w:spacing w:after="0" w:line="266" w:lineRule="auto"/>
        <w:tabs>
          <w:tab w:leader="none" w:pos="98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5" w:lineRule="exact"/>
        <w:rPr>
          <w:rFonts w:ascii="Times New Roman" w:cs="Times New Roman" w:eastAsia="Times New Roman" w:hAnsi="Times New Roman"/>
          <w:sz w:val="18"/>
          <w:szCs w:val="18"/>
          <w:color w:val="auto"/>
        </w:rPr>
      </w:pPr>
    </w:p>
    <w:p>
      <w:pPr>
        <w:ind w:left="980" w:right="300" w:hanging="324"/>
        <w:spacing w:after="0" w:line="266" w:lineRule="auto"/>
        <w:tabs>
          <w:tab w:leader="none" w:pos="98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5" w:lineRule="exact"/>
        <w:rPr>
          <w:rFonts w:ascii="Times New Roman" w:cs="Times New Roman" w:eastAsia="Times New Roman" w:hAnsi="Times New Roman"/>
          <w:sz w:val="18"/>
          <w:szCs w:val="18"/>
          <w:color w:val="auto"/>
        </w:rPr>
      </w:pPr>
    </w:p>
    <w:p>
      <w:pPr>
        <w:ind w:left="1300" w:right="180" w:hanging="320"/>
        <w:spacing w:after="0" w:line="261" w:lineRule="auto"/>
        <w:tabs>
          <w:tab w:leader="none" w:pos="1300" w:val="left"/>
        </w:tabs>
        <w:numPr>
          <w:ilvl w:val="1"/>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9" w:lineRule="exact"/>
        <w:rPr>
          <w:rFonts w:ascii="Times New Roman" w:cs="Times New Roman" w:eastAsia="Times New Roman" w:hAnsi="Times New Roman"/>
          <w:sz w:val="18"/>
          <w:szCs w:val="18"/>
          <w:color w:val="auto"/>
        </w:rPr>
      </w:pPr>
    </w:p>
    <w:p>
      <w:pPr>
        <w:ind w:left="1300" w:right="100" w:hanging="320"/>
        <w:spacing w:after="0" w:line="289" w:lineRule="auto"/>
        <w:tabs>
          <w:tab w:leader="none" w:pos="1300" w:val="left"/>
        </w:tabs>
        <w:numPr>
          <w:ilvl w:val="1"/>
          <w:numId w:val="3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57" w:lineRule="exact"/>
        <w:rPr>
          <w:rFonts w:ascii="Times New Roman" w:cs="Times New Roman" w:eastAsia="Times New Roman" w:hAnsi="Times New Roman"/>
          <w:sz w:val="17"/>
          <w:szCs w:val="17"/>
          <w:color w:val="auto"/>
        </w:rPr>
      </w:pPr>
    </w:p>
    <w:p>
      <w:pPr>
        <w:ind w:left="1300" w:right="260" w:hanging="320"/>
        <w:spacing w:after="0" w:line="266" w:lineRule="auto"/>
        <w:tabs>
          <w:tab w:leader="none" w:pos="1300" w:val="left"/>
        </w:tabs>
        <w:numPr>
          <w:ilvl w:val="1"/>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75" w:lineRule="exact"/>
        <w:rPr>
          <w:rFonts w:ascii="Times New Roman" w:cs="Times New Roman" w:eastAsia="Times New Roman" w:hAnsi="Times New Roman"/>
          <w:sz w:val="18"/>
          <w:szCs w:val="18"/>
          <w:color w:val="auto"/>
        </w:rPr>
      </w:pPr>
    </w:p>
    <w:p>
      <w:pPr>
        <w:ind w:left="1300" w:right="100" w:hanging="320"/>
        <w:spacing w:after="0" w:line="261" w:lineRule="auto"/>
        <w:tabs>
          <w:tab w:leader="none" w:pos="1300" w:val="left"/>
        </w:tabs>
        <w:numPr>
          <w:ilvl w:val="1"/>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9" w:lineRule="exact"/>
        <w:rPr>
          <w:rFonts w:ascii="Times New Roman" w:cs="Times New Roman" w:eastAsia="Times New Roman" w:hAnsi="Times New Roman"/>
          <w:sz w:val="18"/>
          <w:szCs w:val="18"/>
          <w:color w:val="auto"/>
        </w:rPr>
      </w:pPr>
    </w:p>
    <w:p>
      <w:pPr>
        <w:ind w:left="980" w:right="260" w:hanging="324"/>
        <w:spacing w:after="0" w:line="266" w:lineRule="auto"/>
        <w:tabs>
          <w:tab w:leader="none" w:pos="98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75" w:lineRule="exact"/>
        <w:rPr>
          <w:rFonts w:ascii="Times New Roman" w:cs="Times New Roman" w:eastAsia="Times New Roman" w:hAnsi="Times New Roman"/>
          <w:sz w:val="18"/>
          <w:szCs w:val="18"/>
          <w:color w:val="auto"/>
        </w:rPr>
      </w:pPr>
    </w:p>
    <w:p>
      <w:pPr>
        <w:ind w:left="1300" w:right="460" w:hanging="320"/>
        <w:spacing w:after="0" w:line="266" w:lineRule="auto"/>
        <w:tabs>
          <w:tab w:leader="none" w:pos="1300" w:val="left"/>
        </w:tabs>
        <w:numPr>
          <w:ilvl w:val="1"/>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5" w:lineRule="exact"/>
        <w:rPr>
          <w:rFonts w:ascii="Times New Roman" w:cs="Times New Roman" w:eastAsia="Times New Roman" w:hAnsi="Times New Roman"/>
          <w:sz w:val="18"/>
          <w:szCs w:val="18"/>
          <w:color w:val="auto"/>
        </w:rPr>
      </w:pPr>
    </w:p>
    <w:p>
      <w:pPr>
        <w:ind w:left="1300" w:right="260" w:hanging="320"/>
        <w:spacing w:after="0" w:line="282" w:lineRule="auto"/>
        <w:tabs>
          <w:tab w:leader="none" w:pos="1300" w:val="left"/>
        </w:tabs>
        <w:numPr>
          <w:ilvl w:val="1"/>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May 6, 2026</w:t>
      </w:r>
    </w:p>
    <w:p>
      <w:pPr>
        <w:spacing w:after="0" w:line="239" w:lineRule="exact"/>
        <w:rPr>
          <w:sz w:val="20"/>
          <w:szCs w:val="20"/>
          <w:color w:val="auto"/>
        </w:rPr>
      </w:pPr>
    </w:p>
    <w:p>
      <w:pPr>
        <w:ind w:left="6780"/>
        <w:spacing w:after="0"/>
        <w:rPr>
          <w:sz w:val="20"/>
          <w:szCs w:val="20"/>
          <w:color w:val="auto"/>
        </w:rPr>
      </w:pPr>
      <w:r>
        <w:rPr>
          <w:rFonts w:ascii="Times New Roman" w:cs="Times New Roman" w:eastAsia="Times New Roman" w:hAnsi="Times New Roman"/>
          <w:sz w:val="18"/>
          <w:szCs w:val="18"/>
          <w:color w:val="auto"/>
        </w:rPr>
        <w:t>/s/ Eric Marmurek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3152140</wp:posOffset>
            </wp:positionH>
            <wp:positionV relativeFrom="paragraph">
              <wp:posOffset>17145</wp:posOffset>
            </wp:positionV>
            <wp:extent cx="3145790" cy="889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36">
                      <a:extLst>
                        <a:ext uri="{28A0092B-C50C-407E-A947-70E740481C1C}"/>
                      </a:extLst>
                    </a:blip>
                    <a:srcRect/>
                    <a:stretch>
                      <a:fillRect/>
                    </a:stretch>
                  </pic:blipFill>
                  <pic:spPr bwMode="auto">
                    <a:xfrm>
                      <a:off x="0" y="0"/>
                      <a:ext cx="3145790" cy="8890"/>
                    </a:xfrm>
                    <a:prstGeom prst="rect">
                      <a:avLst/>
                    </a:prstGeom>
                    <a:noFill/>
                  </pic:spPr>
                </pic:pic>
              </a:graphicData>
            </a:graphic>
          </wp:anchor>
        </w:drawing>
      </w:r>
    </w:p>
    <w:p>
      <w:pPr>
        <w:spacing w:after="0" w:line="7" w:lineRule="exact"/>
        <w:rPr>
          <w:sz w:val="20"/>
          <w:szCs w:val="20"/>
          <w:color w:val="auto"/>
        </w:rPr>
      </w:pPr>
    </w:p>
    <w:p>
      <w:pPr>
        <w:ind w:left="6880"/>
        <w:spacing w:after="0"/>
        <w:rPr>
          <w:sz w:val="20"/>
          <w:szCs w:val="20"/>
          <w:color w:val="auto"/>
        </w:rPr>
      </w:pPr>
      <w:r>
        <w:rPr>
          <w:rFonts w:ascii="Times New Roman" w:cs="Times New Roman" w:eastAsia="Times New Roman" w:hAnsi="Times New Roman"/>
          <w:sz w:val="18"/>
          <w:szCs w:val="18"/>
          <w:color w:val="auto"/>
        </w:rPr>
        <w:t>Eric Marmurek</w:t>
      </w:r>
    </w:p>
    <w:p>
      <w:pPr>
        <w:spacing w:after="0" w:line="23" w:lineRule="exact"/>
        <w:rPr>
          <w:sz w:val="20"/>
          <w:szCs w:val="20"/>
          <w:color w:val="auto"/>
        </w:rPr>
      </w:pPr>
    </w:p>
    <w:p>
      <w:pPr>
        <w:jc w:val="center"/>
        <w:ind w:left="4940"/>
        <w:spacing w:after="0"/>
        <w:rPr>
          <w:sz w:val="20"/>
          <w:szCs w:val="20"/>
          <w:color w:val="auto"/>
        </w:rPr>
      </w:pPr>
      <w:r>
        <w:rPr>
          <w:rFonts w:ascii="Times New Roman" w:cs="Times New Roman" w:eastAsia="Times New Roman" w:hAnsi="Times New Roman"/>
          <w:sz w:val="18"/>
          <w:szCs w:val="18"/>
          <w:color w:val="auto"/>
        </w:rPr>
        <w:t>Executive Vice President, Chief Financial Officer and Chief</w:t>
      </w:r>
    </w:p>
    <w:p>
      <w:pPr>
        <w:spacing w:after="0" w:line="9" w:lineRule="exact"/>
        <w:rPr>
          <w:sz w:val="20"/>
          <w:szCs w:val="20"/>
          <w:color w:val="auto"/>
        </w:rPr>
      </w:pPr>
    </w:p>
    <w:p>
      <w:pPr>
        <w:jc w:val="center"/>
        <w:ind w:left="4940"/>
        <w:spacing w:after="0"/>
        <w:rPr>
          <w:sz w:val="20"/>
          <w:szCs w:val="20"/>
          <w:color w:val="auto"/>
        </w:rPr>
      </w:pPr>
      <w:r>
        <w:rPr>
          <w:rFonts w:ascii="Times New Roman" w:cs="Times New Roman" w:eastAsia="Times New Roman" w:hAnsi="Times New Roman"/>
          <w:sz w:val="18"/>
          <w:szCs w:val="18"/>
          <w:color w:val="auto"/>
        </w:rPr>
        <w:t>Accounting Officer</w:t>
      </w:r>
    </w:p>
    <w:p>
      <w:pPr>
        <w:spacing w:after="0" w:line="9" w:lineRule="exact"/>
        <w:rPr>
          <w:sz w:val="20"/>
          <w:szCs w:val="20"/>
          <w:color w:val="auto"/>
        </w:rPr>
      </w:pPr>
    </w:p>
    <w:p>
      <w:pPr>
        <w:jc w:val="center"/>
        <w:ind w:left="4940"/>
        <w:spacing w:after="0"/>
        <w:rPr>
          <w:sz w:val="20"/>
          <w:szCs w:val="20"/>
          <w:color w:val="auto"/>
        </w:rPr>
      </w:pPr>
      <w:r>
        <w:rPr>
          <w:rFonts w:ascii="Times New Roman" w:cs="Times New Roman" w:eastAsia="Times New Roman" w:hAnsi="Times New Roman"/>
          <w:sz w:val="18"/>
          <w:szCs w:val="18"/>
          <w:color w:val="auto"/>
        </w:rPr>
        <w:t>(Principal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485775</wp:posOffset>
            </wp:positionV>
            <wp:extent cx="6292215" cy="2540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37">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17" w:right="999" w:bottom="1440" w:gutter="0" w:footer="0" w:header="0"/>
        </w:sectPr>
      </w:pPr>
    </w:p>
    <w:bookmarkStart w:id="81" w:name="page82"/>
    <w:bookmarkEnd w:id="81"/>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 18 U.S.C. SECTION 1350,</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07" w:lineRule="exact"/>
        <w:rPr>
          <w:sz w:val="20"/>
          <w:szCs w:val="20"/>
          <w:color w:val="auto"/>
        </w:rPr>
      </w:pPr>
    </w:p>
    <w:p>
      <w:pPr>
        <w:ind w:right="160" w:firstLine="648"/>
        <w:spacing w:after="0" w:line="261" w:lineRule="auto"/>
        <w:rPr>
          <w:sz w:val="20"/>
          <w:szCs w:val="20"/>
          <w:color w:val="auto"/>
        </w:rPr>
      </w:pPr>
      <w:r>
        <w:rPr>
          <w:rFonts w:ascii="Times New Roman" w:cs="Times New Roman" w:eastAsia="Times New Roman" w:hAnsi="Times New Roman"/>
          <w:sz w:val="18"/>
          <w:szCs w:val="18"/>
          <w:color w:val="auto"/>
        </w:rPr>
        <w:t>In connection with the Quarterly Report on Form 10-Q of Ribbon Communications Inc. (the "Company") for the period ended March 31, 2026 as filed with the Securities and Exchange Commission on the date hereof (the "Report"), the undersigned, Bruce McClelland, President and Chief Executive Officer of the Company, hereby certifies, pursuant to 18 U.S.C. Section 1350, as adopted pursuant to Section 906 of the Sarbanes-Oxley Act of 2002, that to his knowledge:</w:t>
      </w:r>
    </w:p>
    <w:p>
      <w:pPr>
        <w:spacing w:after="0" w:line="180" w:lineRule="exact"/>
        <w:rPr>
          <w:sz w:val="20"/>
          <w:szCs w:val="20"/>
          <w:color w:val="auto"/>
        </w:rPr>
      </w:pPr>
    </w:p>
    <w:p>
      <w:pPr>
        <w:ind w:left="980" w:hanging="324"/>
        <w:spacing w:after="0"/>
        <w:tabs>
          <w:tab w:leader="none" w:pos="98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225" w:lineRule="exact"/>
        <w:rPr>
          <w:rFonts w:ascii="Times New Roman" w:cs="Times New Roman" w:eastAsia="Times New Roman" w:hAnsi="Times New Roman"/>
          <w:sz w:val="18"/>
          <w:szCs w:val="18"/>
          <w:color w:val="auto"/>
        </w:rPr>
      </w:pPr>
    </w:p>
    <w:p>
      <w:pPr>
        <w:ind w:left="980" w:right="600" w:hanging="324"/>
        <w:spacing w:after="0" w:line="282" w:lineRule="auto"/>
        <w:tabs>
          <w:tab w:leader="none" w:pos="98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May 6, 2026</w:t>
      </w:r>
    </w:p>
    <w:p>
      <w:pPr>
        <w:spacing w:after="0" w:line="225" w:lineRule="exact"/>
        <w:rPr>
          <w:sz w:val="20"/>
          <w:szCs w:val="20"/>
          <w:color w:val="auto"/>
        </w:rPr>
      </w:pPr>
    </w:p>
    <w:p>
      <w:pPr>
        <w:ind w:left="6680"/>
        <w:spacing w:after="0"/>
        <w:rPr>
          <w:sz w:val="20"/>
          <w:szCs w:val="20"/>
          <w:color w:val="auto"/>
        </w:rPr>
      </w:pPr>
      <w:r>
        <w:rPr>
          <w:rFonts w:ascii="Times New Roman" w:cs="Times New Roman" w:eastAsia="Times New Roman" w:hAnsi="Times New Roman"/>
          <w:sz w:val="18"/>
          <w:szCs w:val="18"/>
          <w:color w:val="auto"/>
        </w:rPr>
        <w:t>/s/ Bruce McClelland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3152140</wp:posOffset>
            </wp:positionH>
            <wp:positionV relativeFrom="paragraph">
              <wp:posOffset>17145</wp:posOffset>
            </wp:positionV>
            <wp:extent cx="3145790" cy="825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8">
                      <a:extLst>
                        <a:ext uri="{28A0092B-C50C-407E-A947-70E740481C1C}"/>
                      </a:extLst>
                    </a:blip>
                    <a:srcRect/>
                    <a:stretch>
                      <a:fillRect/>
                    </a:stretch>
                  </pic:blipFill>
                  <pic:spPr bwMode="auto">
                    <a:xfrm>
                      <a:off x="0" y="0"/>
                      <a:ext cx="3145790" cy="8255"/>
                    </a:xfrm>
                    <a:prstGeom prst="rect">
                      <a:avLst/>
                    </a:prstGeom>
                    <a:noFill/>
                  </pic:spPr>
                </pic:pic>
              </a:graphicData>
            </a:graphic>
          </wp:anchor>
        </w:drawing>
      </w:r>
    </w:p>
    <w:p>
      <w:pPr>
        <w:spacing w:after="0" w:line="7" w:lineRule="exact"/>
        <w:rPr>
          <w:sz w:val="20"/>
          <w:szCs w:val="20"/>
          <w:color w:val="auto"/>
        </w:rPr>
      </w:pPr>
    </w:p>
    <w:p>
      <w:pPr>
        <w:ind w:left="6780"/>
        <w:spacing w:after="0"/>
        <w:rPr>
          <w:sz w:val="20"/>
          <w:szCs w:val="20"/>
          <w:color w:val="auto"/>
        </w:rPr>
      </w:pPr>
      <w:r>
        <w:rPr>
          <w:rFonts w:ascii="Times New Roman" w:cs="Times New Roman" w:eastAsia="Times New Roman" w:hAnsi="Times New Roman"/>
          <w:sz w:val="18"/>
          <w:szCs w:val="18"/>
          <w:color w:val="auto"/>
        </w:rPr>
        <w:t>Bruce McClelland</w:t>
      </w:r>
    </w:p>
    <w:p>
      <w:pPr>
        <w:spacing w:after="0" w:line="23" w:lineRule="exact"/>
        <w:rPr>
          <w:sz w:val="20"/>
          <w:szCs w:val="20"/>
          <w:color w:val="auto"/>
        </w:rPr>
      </w:pPr>
    </w:p>
    <w:p>
      <w:pPr>
        <w:jc w:val="center"/>
        <w:ind w:left="4940"/>
        <w:spacing w:after="0"/>
        <w:rPr>
          <w:sz w:val="20"/>
          <w:szCs w:val="20"/>
          <w:color w:val="auto"/>
        </w:rPr>
      </w:pPr>
      <w:r>
        <w:rPr>
          <w:rFonts w:ascii="Times New Roman" w:cs="Times New Roman" w:eastAsia="Times New Roman" w:hAnsi="Times New Roman"/>
          <w:sz w:val="18"/>
          <w:szCs w:val="18"/>
          <w:color w:val="auto"/>
        </w:rPr>
        <w:t>President and Chief Executive Officer</w:t>
      </w:r>
    </w:p>
    <w:p>
      <w:pPr>
        <w:spacing w:after="0" w:line="9" w:lineRule="exact"/>
        <w:rPr>
          <w:sz w:val="20"/>
          <w:szCs w:val="20"/>
          <w:color w:val="auto"/>
        </w:rPr>
      </w:pPr>
    </w:p>
    <w:p>
      <w:pPr>
        <w:jc w:val="center"/>
        <w:ind w:left="4940"/>
        <w:spacing w:after="0"/>
        <w:rPr>
          <w:sz w:val="20"/>
          <w:szCs w:val="20"/>
          <w:color w:val="auto"/>
        </w:rPr>
      </w:pPr>
      <w:r>
        <w:rPr>
          <w:rFonts w:ascii="Times New Roman" w:cs="Times New Roman" w:eastAsia="Times New Roman" w:hAnsi="Times New Roman"/>
          <w:sz w:val="18"/>
          <w:szCs w:val="18"/>
          <w:color w:val="auto"/>
        </w:rPr>
        <w:t>(Principal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485775</wp:posOffset>
            </wp:positionV>
            <wp:extent cx="6292215" cy="2540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9">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17" w:right="999" w:bottom="1440" w:gutter="0" w:footer="0" w:header="0"/>
        </w:sectPr>
      </w:pPr>
    </w:p>
    <w:bookmarkStart w:id="82" w:name="page83"/>
    <w:bookmarkEnd w:id="82"/>
    <w:p>
      <w:pPr>
        <w:jc w:val="right"/>
        <w:spacing w:after="0"/>
        <w:rPr>
          <w:sz w:val="20"/>
          <w:szCs w:val="20"/>
          <w:color w:val="auto"/>
        </w:rPr>
      </w:pPr>
      <w:r>
        <w:rPr>
          <w:rFonts w:ascii="Times New Roman" w:cs="Times New Roman" w:eastAsia="Times New Roman" w:hAnsi="Times New Roman"/>
          <w:sz w:val="18"/>
          <w:szCs w:val="18"/>
          <w:b w:val="1"/>
          <w:bCs w:val="1"/>
          <w:color w:val="auto"/>
        </w:rPr>
        <w:t>EXHIBIT 32.2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 18 U.S.C. SECTION 1350,</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07" w:lineRule="exact"/>
        <w:rPr>
          <w:sz w:val="20"/>
          <w:szCs w:val="20"/>
          <w:color w:val="auto"/>
        </w:rPr>
      </w:pPr>
    </w:p>
    <w:p>
      <w:pPr>
        <w:ind w:firstLine="648"/>
        <w:spacing w:after="0" w:line="261" w:lineRule="auto"/>
        <w:rPr>
          <w:sz w:val="20"/>
          <w:szCs w:val="20"/>
          <w:color w:val="auto"/>
        </w:rPr>
      </w:pPr>
      <w:r>
        <w:rPr>
          <w:rFonts w:ascii="Times New Roman" w:cs="Times New Roman" w:eastAsia="Times New Roman" w:hAnsi="Times New Roman"/>
          <w:sz w:val="18"/>
          <w:szCs w:val="18"/>
          <w:color w:val="auto"/>
        </w:rPr>
        <w:t>In connection with the Quarterly Report on Form 10-Q of Ribbon Communications Inc. (the "Company") for the period ended March 31, 2026 as filed with the Securities and Exchange Commission on the date hereof (the "Report"), the undersigned, Eric Marmurek, Executive Vice President, Chief Financial Officer and Chief Accounting Officer of the Company, hereby certifies, pursuant to 18 U.S.C. Section 1350, as adopted pursuant to Section 906 of the Sarbanes-Oxley Act of 2002, that to his knowledge:</w:t>
      </w:r>
    </w:p>
    <w:p>
      <w:pPr>
        <w:spacing w:after="0" w:line="180" w:lineRule="exact"/>
        <w:rPr>
          <w:sz w:val="20"/>
          <w:szCs w:val="20"/>
          <w:color w:val="auto"/>
        </w:rPr>
      </w:pPr>
    </w:p>
    <w:p>
      <w:pPr>
        <w:ind w:left="980" w:hanging="324"/>
        <w:spacing w:after="0"/>
        <w:tabs>
          <w:tab w:leader="none" w:pos="98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225" w:lineRule="exact"/>
        <w:rPr>
          <w:rFonts w:ascii="Times New Roman" w:cs="Times New Roman" w:eastAsia="Times New Roman" w:hAnsi="Times New Roman"/>
          <w:sz w:val="18"/>
          <w:szCs w:val="18"/>
          <w:color w:val="auto"/>
        </w:rPr>
      </w:pPr>
    </w:p>
    <w:p>
      <w:pPr>
        <w:ind w:left="980" w:right="600" w:hanging="324"/>
        <w:spacing w:after="0" w:line="282" w:lineRule="auto"/>
        <w:tabs>
          <w:tab w:leader="none" w:pos="98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May 6, 2026</w:t>
      </w:r>
    </w:p>
    <w:p>
      <w:pPr>
        <w:spacing w:after="0" w:line="225" w:lineRule="exact"/>
        <w:rPr>
          <w:sz w:val="20"/>
          <w:szCs w:val="20"/>
          <w:color w:val="auto"/>
        </w:rPr>
      </w:pPr>
    </w:p>
    <w:p>
      <w:pPr>
        <w:ind w:left="6780"/>
        <w:spacing w:after="0"/>
        <w:rPr>
          <w:sz w:val="20"/>
          <w:szCs w:val="20"/>
          <w:color w:val="auto"/>
        </w:rPr>
      </w:pPr>
      <w:r>
        <w:rPr>
          <w:rFonts w:ascii="Times New Roman" w:cs="Times New Roman" w:eastAsia="Times New Roman" w:hAnsi="Times New Roman"/>
          <w:sz w:val="18"/>
          <w:szCs w:val="18"/>
          <w:color w:val="auto"/>
        </w:rPr>
        <w:t>/s/ Eric Marmurek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3152140</wp:posOffset>
            </wp:positionH>
            <wp:positionV relativeFrom="paragraph">
              <wp:posOffset>17145</wp:posOffset>
            </wp:positionV>
            <wp:extent cx="3145790" cy="825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40">
                      <a:extLst>
                        <a:ext uri="{28A0092B-C50C-407E-A947-70E740481C1C}"/>
                      </a:extLst>
                    </a:blip>
                    <a:srcRect/>
                    <a:stretch>
                      <a:fillRect/>
                    </a:stretch>
                  </pic:blipFill>
                  <pic:spPr bwMode="auto">
                    <a:xfrm>
                      <a:off x="0" y="0"/>
                      <a:ext cx="3145790" cy="8255"/>
                    </a:xfrm>
                    <a:prstGeom prst="rect">
                      <a:avLst/>
                    </a:prstGeom>
                    <a:noFill/>
                  </pic:spPr>
                </pic:pic>
              </a:graphicData>
            </a:graphic>
          </wp:anchor>
        </w:drawing>
      </w:r>
    </w:p>
    <w:p>
      <w:pPr>
        <w:spacing w:after="0" w:line="7" w:lineRule="exact"/>
        <w:rPr>
          <w:sz w:val="20"/>
          <w:szCs w:val="20"/>
          <w:color w:val="auto"/>
        </w:rPr>
      </w:pPr>
    </w:p>
    <w:p>
      <w:pPr>
        <w:ind w:left="6880"/>
        <w:spacing w:after="0"/>
        <w:rPr>
          <w:sz w:val="20"/>
          <w:szCs w:val="20"/>
          <w:color w:val="auto"/>
        </w:rPr>
      </w:pPr>
      <w:r>
        <w:rPr>
          <w:rFonts w:ascii="Times New Roman" w:cs="Times New Roman" w:eastAsia="Times New Roman" w:hAnsi="Times New Roman"/>
          <w:sz w:val="18"/>
          <w:szCs w:val="18"/>
          <w:color w:val="auto"/>
        </w:rPr>
        <w:t>Eric Marmurek</w:t>
      </w:r>
    </w:p>
    <w:p>
      <w:pPr>
        <w:spacing w:after="0" w:line="23" w:lineRule="exact"/>
        <w:rPr>
          <w:sz w:val="20"/>
          <w:szCs w:val="20"/>
          <w:color w:val="auto"/>
        </w:rPr>
      </w:pPr>
    </w:p>
    <w:p>
      <w:pPr>
        <w:jc w:val="center"/>
        <w:ind w:left="4940"/>
        <w:spacing w:after="0"/>
        <w:rPr>
          <w:sz w:val="20"/>
          <w:szCs w:val="20"/>
          <w:color w:val="auto"/>
        </w:rPr>
      </w:pPr>
      <w:r>
        <w:rPr>
          <w:rFonts w:ascii="Times New Roman" w:cs="Times New Roman" w:eastAsia="Times New Roman" w:hAnsi="Times New Roman"/>
          <w:sz w:val="18"/>
          <w:szCs w:val="18"/>
          <w:color w:val="auto"/>
        </w:rPr>
        <w:t>Executive Vice President, Chief Financial Officer and Chief</w:t>
      </w:r>
    </w:p>
    <w:p>
      <w:pPr>
        <w:spacing w:after="0" w:line="9" w:lineRule="exact"/>
        <w:rPr>
          <w:sz w:val="20"/>
          <w:szCs w:val="20"/>
          <w:color w:val="auto"/>
        </w:rPr>
      </w:pPr>
    </w:p>
    <w:p>
      <w:pPr>
        <w:jc w:val="center"/>
        <w:ind w:left="4940"/>
        <w:spacing w:after="0"/>
        <w:rPr>
          <w:sz w:val="20"/>
          <w:szCs w:val="20"/>
          <w:color w:val="auto"/>
        </w:rPr>
      </w:pPr>
      <w:r>
        <w:rPr>
          <w:rFonts w:ascii="Times New Roman" w:cs="Times New Roman" w:eastAsia="Times New Roman" w:hAnsi="Times New Roman"/>
          <w:sz w:val="18"/>
          <w:szCs w:val="18"/>
          <w:color w:val="auto"/>
        </w:rPr>
        <w:t>Accounting Officer</w:t>
      </w:r>
    </w:p>
    <w:p>
      <w:pPr>
        <w:spacing w:after="0" w:line="9" w:lineRule="exact"/>
        <w:rPr>
          <w:sz w:val="20"/>
          <w:szCs w:val="20"/>
          <w:color w:val="auto"/>
        </w:rPr>
      </w:pPr>
    </w:p>
    <w:p>
      <w:pPr>
        <w:jc w:val="center"/>
        <w:ind w:left="4940"/>
        <w:spacing w:after="0"/>
        <w:rPr>
          <w:sz w:val="20"/>
          <w:szCs w:val="20"/>
          <w:color w:val="auto"/>
        </w:rPr>
      </w:pPr>
      <w:r>
        <w:rPr>
          <w:rFonts w:ascii="Times New Roman" w:cs="Times New Roman" w:eastAsia="Times New Roman" w:hAnsi="Times New Roman"/>
          <w:sz w:val="18"/>
          <w:szCs w:val="18"/>
          <w:color w:val="auto"/>
        </w:rPr>
        <w:t>(Principal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485775</wp:posOffset>
            </wp:positionV>
            <wp:extent cx="6292215" cy="2603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41">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sectPr>
      <w:pgSz w:w="11900" w:h="16838" w:orient="portrait"/>
      <w:cols w:equalWidth="0" w:num="1">
        <w:col w:w="9920"/>
      </w:cols>
      <w:pgMar w:left="980" w:top="117" w:right="9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E6AFB66"/>
    <w:multiLevelType w:val="hybridMultilevel"/>
    <w:lvl w:ilvl="0">
      <w:lvlJc w:val="left"/>
      <w:lvlText w:val="☒"/>
      <w:numFmt w:val="bullet"/>
      <w:start w:val="1"/>
    </w:lvl>
  </w:abstractNum>
  <w:abstractNum w:abstractNumId="1">
    <w:nsid w:val="25E45D32"/>
    <w:multiLevelType w:val="hybridMultilevel"/>
    <w:lvl w:ilvl="0">
      <w:lvlJc w:val="left"/>
      <w:lvlText w:val="☐"/>
      <w:numFmt w:val="bullet"/>
      <w:start w:val="1"/>
    </w:lvl>
  </w:abstractNum>
  <w:abstractNum w:abstractNumId="2">
    <w:nsid w:val="519B500D"/>
    <w:multiLevelType w:val="hybridMultilevel"/>
    <w:lvl w:ilvl="0">
      <w:lvlJc w:val="left"/>
      <w:lvlText w:val="%1."/>
      <w:numFmt w:val="decimal"/>
      <w:start w:val="1"/>
    </w:lvl>
  </w:abstractNum>
  <w:abstractNum w:abstractNumId="3">
    <w:nsid w:val="431BD7B7"/>
    <w:multiLevelType w:val="hybridMultilevel"/>
    <w:lvl w:ilvl="0">
      <w:lvlJc w:val="left"/>
      <w:lvlText w:val="●"/>
      <w:numFmt w:val="bullet"/>
      <w:start w:val="1"/>
    </w:lvl>
  </w:abstractNum>
  <w:abstractNum w:abstractNumId="4">
    <w:nsid w:val="3F2DBA31"/>
    <w:multiLevelType w:val="hybridMultilevel"/>
    <w:lvl w:ilvl="0">
      <w:lvlJc w:val="left"/>
      <w:lvlText w:val="*"/>
      <w:numFmt w:val="bullet"/>
      <w:start w:val="1"/>
    </w:lvl>
  </w:abstractNum>
  <w:abstractNum w:abstractNumId="5">
    <w:nsid w:val="7C83E458"/>
    <w:multiLevelType w:val="hybridMultilevel"/>
    <w:lvl w:ilvl="0">
      <w:lvlJc w:val="left"/>
      <w:lvlText w:val="**"/>
      <w:numFmt w:val="bullet"/>
      <w:start w:val="1"/>
    </w:lvl>
  </w:abstractNum>
  <w:abstractNum w:abstractNumId="6">
    <w:nsid w:val="257130A3"/>
    <w:multiLevelType w:val="hybridMultilevel"/>
    <w:lvl w:ilvl="0">
      <w:lvlJc w:val="left"/>
      <w:lvlText w:val="(%1)"/>
      <w:numFmt w:val="decimal"/>
      <w:start w:val="20"/>
    </w:lvl>
  </w:abstractNum>
  <w:abstractNum w:abstractNumId="7">
    <w:nsid w:val="62BBD95A"/>
    <w:multiLevelType w:val="hybridMultilevel"/>
    <w:lvl w:ilvl="0">
      <w:lvlJc w:val="left"/>
      <w:lvlText w:val="(%1)"/>
      <w:numFmt w:val="decimal"/>
      <w:start w:val="1"/>
    </w:lvl>
  </w:abstractNum>
  <w:abstractNum w:abstractNumId="8">
    <w:nsid w:val="436C6125"/>
    <w:multiLevelType w:val="hybridMultilevel"/>
    <w:lvl w:ilvl="0">
      <w:lvlJc w:val="left"/>
      <w:lvlText w:val="*"/>
      <w:numFmt w:val="bullet"/>
      <w:start w:val="1"/>
    </w:lvl>
  </w:abstractNum>
  <w:abstractNum w:abstractNumId="9">
    <w:nsid w:val="628C895D"/>
    <w:multiLevelType w:val="hybridMultilevel"/>
    <w:lvl w:ilvl="0">
      <w:lvlJc w:val="left"/>
      <w:lvlText w:val="#"/>
      <w:numFmt w:val="bullet"/>
      <w:start w:val="1"/>
    </w:lvl>
  </w:abstractNum>
  <w:abstractNum w:abstractNumId="10">
    <w:nsid w:val="333AB105"/>
    <w:multiLevelType w:val="hybridMultilevel"/>
    <w:lvl w:ilvl="0">
      <w:lvlJc w:val="left"/>
      <w:lvlText w:val="(%1)"/>
      <w:numFmt w:val="lowerLetter"/>
      <w:start w:val="1"/>
    </w:lvl>
  </w:abstractNum>
  <w:abstractNum w:abstractNumId="11">
    <w:nsid w:val="721DA317"/>
    <w:multiLevelType w:val="hybridMultilevel"/>
    <w:lvl w:ilvl="0">
      <w:lvlJc w:val="left"/>
      <w:lvlText w:val="(%1)"/>
      <w:numFmt w:val="lowerLetter"/>
      <w:start w:val="2"/>
    </w:lvl>
  </w:abstractNum>
  <w:abstractNum w:abstractNumId="12">
    <w:nsid w:val="2443A858"/>
    <w:multiLevelType w:val="hybridMultilevel"/>
    <w:lvl w:ilvl="0">
      <w:lvlJc w:val="left"/>
      <w:lvlText w:val="(%1)"/>
      <w:numFmt w:val="lowerLetter"/>
      <w:start w:val="1"/>
    </w:lvl>
  </w:abstractNum>
  <w:abstractNum w:abstractNumId="13">
    <w:nsid w:val="2D1D5AE9"/>
    <w:multiLevelType w:val="hybridMultilevel"/>
    <w:lvl w:ilvl="0">
      <w:lvlJc w:val="left"/>
      <w:lvlText w:val="(%1)"/>
      <w:numFmt w:val="lowerLetter"/>
      <w:start w:val="3"/>
    </w:lvl>
  </w:abstractNum>
  <w:abstractNum w:abstractNumId="14">
    <w:nsid w:val="6763845E"/>
    <w:multiLevelType w:val="hybridMultilevel"/>
    <w:lvl w:ilvl="0">
      <w:lvlJc w:val="left"/>
      <w:lvlText w:val="(%1)"/>
      <w:numFmt w:val="lowerLetter"/>
      <w:start w:val="3"/>
    </w:lvl>
  </w:abstractNum>
  <w:abstractNum w:abstractNumId="15">
    <w:nsid w:val="75A2A8D4"/>
    <w:multiLevelType w:val="hybridMultilevel"/>
    <w:lvl w:ilvl="0">
      <w:lvlJc w:val="left"/>
      <w:lvlText w:val="(%1)"/>
      <w:numFmt w:val="lowerLetter"/>
      <w:start w:val="4"/>
    </w:lvl>
  </w:abstractNum>
  <w:abstractNum w:abstractNumId="16">
    <w:nsid w:val="8EDBDAB"/>
    <w:multiLevelType w:val="hybridMultilevel"/>
    <w:lvl w:ilvl="0">
      <w:lvlJc w:val="left"/>
      <w:lvlText w:val="(%1)"/>
      <w:numFmt w:val="lowerLetter"/>
      <w:start w:val="25"/>
    </w:lvl>
  </w:abstractNum>
  <w:abstractNum w:abstractNumId="17">
    <w:nsid w:val="79838CB2"/>
    <w:multiLevelType w:val="hybridMultilevel"/>
    <w:lvl w:ilvl="0">
      <w:lvlJc w:val="left"/>
      <w:lvlText w:val="(%1)"/>
      <w:numFmt w:val="lowerLetter"/>
      <w:start w:val="5"/>
    </w:lvl>
  </w:abstractNum>
  <w:abstractNum w:abstractNumId="18">
    <w:nsid w:val="4353D0CD"/>
    <w:multiLevelType w:val="hybridMultilevel"/>
    <w:lvl w:ilvl="0">
      <w:lvlJc w:val="left"/>
      <w:lvlText w:val="(%1)"/>
      <w:numFmt w:val="lowerLetter"/>
      <w:start w:val="6"/>
    </w:lvl>
  </w:abstractNum>
  <w:abstractNum w:abstractNumId="19">
    <w:nsid w:val="B03E0C6"/>
    <w:multiLevelType w:val="hybridMultilevel"/>
    <w:lvl w:ilvl="0">
      <w:lvlJc w:val="left"/>
      <w:lvlText w:val="(%1)"/>
      <w:numFmt w:val="lowerRoman"/>
      <w:start w:val="2"/>
    </w:lvl>
  </w:abstractNum>
  <w:abstractNum w:abstractNumId="20">
    <w:nsid w:val="189A769B"/>
    <w:multiLevelType w:val="hybridMultilevel"/>
    <w:lvl w:ilvl="0">
      <w:lvlJc w:val="left"/>
      <w:lvlText w:val="(%1)"/>
      <w:numFmt w:val="lowerLetter"/>
      <w:start w:val="7"/>
    </w:lvl>
  </w:abstractNum>
  <w:abstractNum w:abstractNumId="21">
    <w:nsid w:val="54E49EB4"/>
    <w:multiLevelType w:val="hybridMultilevel"/>
    <w:lvl w:ilvl="0">
      <w:lvlJc w:val="left"/>
      <w:lvlText w:val="(%1)"/>
      <w:numFmt w:val="lowerLetter"/>
      <w:start w:val="1"/>
    </w:lvl>
  </w:abstractNum>
  <w:abstractNum w:abstractNumId="22">
    <w:nsid w:val="71F32454"/>
    <w:multiLevelType w:val="hybridMultilevel"/>
    <w:lvl w:ilvl="0">
      <w:lvlJc w:val="left"/>
      <w:lvlText w:val="%1"/>
      <w:numFmt w:val="lowerLetter"/>
      <w:start w:val="1"/>
    </w:lvl>
    <w:lvl w:ilvl="1">
      <w:lvlJc w:val="left"/>
      <w:lvlText w:val="(%2)"/>
      <w:numFmt w:val="lowerLetter"/>
      <w:start w:val="1"/>
    </w:lvl>
  </w:abstractNum>
  <w:abstractNum w:abstractNumId="23">
    <w:nsid w:val="2CA88611"/>
    <w:multiLevelType w:val="hybridMultilevel"/>
    <w:lvl w:ilvl="0">
      <w:lvlJc w:val="left"/>
      <w:lvlText w:val="(%1)"/>
      <w:numFmt w:val="lowerLetter"/>
      <w:start w:val="2"/>
    </w:lvl>
    <w:lvl w:ilvl="1">
      <w:lvlJc w:val="left"/>
      <w:lvlText w:val="%2"/>
      <w:numFmt w:val="lowerLetter"/>
      <w:start w:val="1"/>
    </w:lvl>
  </w:abstractNum>
  <w:abstractNum w:abstractNumId="24">
    <w:nsid w:val="836C40E"/>
    <w:multiLevelType w:val="hybridMultilevel"/>
    <w:lvl w:ilvl="0">
      <w:lvlJc w:val="left"/>
      <w:lvlText w:val="(%1)"/>
      <w:numFmt w:val="lowerLetter"/>
      <w:start w:val="1"/>
    </w:lvl>
  </w:abstractNum>
  <w:abstractNum w:abstractNumId="25">
    <w:nsid w:val="2901D82"/>
    <w:multiLevelType w:val="hybridMultilevel"/>
    <w:lvl w:ilvl="0">
      <w:lvlJc w:val="left"/>
      <w:lvlText w:val="(%1)"/>
      <w:numFmt w:val="lowerLetter"/>
      <w:start w:val="2"/>
    </w:lvl>
  </w:abstractNum>
  <w:abstractNum w:abstractNumId="26">
    <w:nsid w:val="3A95F874"/>
    <w:multiLevelType w:val="hybridMultilevel"/>
    <w:lvl w:ilvl="0">
      <w:lvlJc w:val="left"/>
      <w:lvlText w:val="(%1)"/>
      <w:numFmt w:val="lowerRoman"/>
      <w:start w:val="1"/>
    </w:lvl>
  </w:abstractNum>
  <w:abstractNum w:abstractNumId="27">
    <w:nsid w:val="8138641"/>
    <w:multiLevelType w:val="hybridMultilevel"/>
    <w:lvl w:ilvl="0">
      <w:lvlJc w:val="left"/>
      <w:lvlText w:val="(%1)"/>
      <w:numFmt w:val="lowerLetter"/>
      <w:start w:val="1"/>
    </w:lvl>
  </w:abstractNum>
  <w:abstractNum w:abstractNumId="28">
    <w:nsid w:val="1E7FF521"/>
    <w:multiLevelType w:val="hybridMultilevel"/>
    <w:lvl w:ilvl="0">
      <w:lvlJc w:val="left"/>
      <w:lvlText w:val="%1."/>
      <w:numFmt w:val="decimal"/>
      <w:start w:val="1"/>
    </w:lvl>
    <w:lvl w:ilvl="1">
      <w:lvlJc w:val="left"/>
      <w:lvlText w:val="(%2)"/>
      <w:numFmt w:val="lowerLetter"/>
      <w:start w:val="1"/>
    </w:lvl>
  </w:abstractNum>
  <w:abstractNum w:abstractNumId="29">
    <w:nsid w:val="7C3DBD3D"/>
    <w:multiLevelType w:val="hybridMultilevel"/>
    <w:lvl w:ilvl="0">
      <w:lvlJc w:val="left"/>
      <w:lvlText w:val="%1."/>
      <w:numFmt w:val="decimal"/>
      <w:start w:val="1"/>
    </w:lvl>
    <w:lvl w:ilvl="1">
      <w:lvlJc w:val="left"/>
      <w:lvlText w:val="(%2)"/>
      <w:numFmt w:val="lowerLetter"/>
      <w:start w:val="1"/>
    </w:lvl>
  </w:abstractNum>
  <w:abstractNum w:abstractNumId="30">
    <w:nsid w:val="737B8DDC"/>
    <w:multiLevelType w:val="hybridMultilevel"/>
    <w:lvl w:ilvl="0">
      <w:lvlJc w:val="left"/>
      <w:lvlText w:val="(%1)"/>
      <w:numFmt w:val="decimal"/>
      <w:start w:val="1"/>
    </w:lvl>
  </w:abstractNum>
  <w:abstractNum w:abstractNumId="31">
    <w:nsid w:val="6CEAF087"/>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8" Type="http://schemas.openxmlformats.org/officeDocument/2006/relationships/image" Target="media/image53.png"/><Relationship Id="rId69" Type="http://schemas.openxmlformats.org/officeDocument/2006/relationships/image" Target="media/image54.png"/><Relationship Id="rId70" Type="http://schemas.openxmlformats.org/officeDocument/2006/relationships/image" Target="media/image55.png"/><Relationship Id="rId71" Type="http://schemas.openxmlformats.org/officeDocument/2006/relationships/image" Target="media/image56.png"/><Relationship Id="rId72" Type="http://schemas.openxmlformats.org/officeDocument/2006/relationships/image" Target="media/image57.png"/><Relationship Id="rId73" Type="http://schemas.openxmlformats.org/officeDocument/2006/relationships/image" Target="media/image58.png"/><Relationship Id="rId74" Type="http://schemas.openxmlformats.org/officeDocument/2006/relationships/image" Target="media/image59.png"/><Relationship Id="rId75" Type="http://schemas.openxmlformats.org/officeDocument/2006/relationships/image" Target="media/image60.png"/><Relationship Id="rId76" Type="http://schemas.openxmlformats.org/officeDocument/2006/relationships/image" Target="media/image61.png"/><Relationship Id="rId77" Type="http://schemas.openxmlformats.org/officeDocument/2006/relationships/image" Target="media/image62.png"/><Relationship Id="rId78" Type="http://schemas.openxmlformats.org/officeDocument/2006/relationships/image" Target="media/image63.png"/><Relationship Id="rId79" Type="http://schemas.openxmlformats.org/officeDocument/2006/relationships/image" Target="media/image64.png"/><Relationship Id="rId80" Type="http://schemas.openxmlformats.org/officeDocument/2006/relationships/image" Target="media/image65.png"/><Relationship Id="rId81" Type="http://schemas.openxmlformats.org/officeDocument/2006/relationships/image" Target="media/image66.png"/><Relationship Id="rId82" Type="http://schemas.openxmlformats.org/officeDocument/2006/relationships/image" Target="media/image67.png"/><Relationship Id="rId83" Type="http://schemas.openxmlformats.org/officeDocument/2006/relationships/image" Target="media/image68.png"/><Relationship Id="rId84" Type="http://schemas.openxmlformats.org/officeDocument/2006/relationships/image" Target="media/image69.png"/><Relationship Id="rId85" Type="http://schemas.openxmlformats.org/officeDocument/2006/relationships/image" Target="media/image70.png"/><Relationship Id="rId86" Type="http://schemas.openxmlformats.org/officeDocument/2006/relationships/image" Target="media/image71.png"/><Relationship Id="rId87" Type="http://schemas.openxmlformats.org/officeDocument/2006/relationships/image" Target="media/image72.png"/><Relationship Id="rId88" Type="http://schemas.openxmlformats.org/officeDocument/2006/relationships/image" Target="media/image73.png"/><Relationship Id="rId89" Type="http://schemas.openxmlformats.org/officeDocument/2006/relationships/image" Target="media/image74.png"/><Relationship Id="rId90" Type="http://schemas.openxmlformats.org/officeDocument/2006/relationships/image" Target="media/image75.png"/><Relationship Id="rId91" Type="http://schemas.openxmlformats.org/officeDocument/2006/relationships/image" Target="media/image76.png"/><Relationship Id="rId92" Type="http://schemas.openxmlformats.org/officeDocument/2006/relationships/image" Target="media/image77.png"/><Relationship Id="rId93" Type="http://schemas.openxmlformats.org/officeDocument/2006/relationships/image" Target="media/image78.png"/><Relationship Id="rId94" Type="http://schemas.openxmlformats.org/officeDocument/2006/relationships/image" Target="media/image79.png"/><Relationship Id="rId95" Type="http://schemas.openxmlformats.org/officeDocument/2006/relationships/image" Target="media/image80.png"/><Relationship Id="rId96" Type="http://schemas.openxmlformats.org/officeDocument/2006/relationships/image" Target="media/image81.png"/><Relationship Id="rId97" Type="http://schemas.openxmlformats.org/officeDocument/2006/relationships/image" Target="media/image82.png"/><Relationship Id="rId98" Type="http://schemas.openxmlformats.org/officeDocument/2006/relationships/image" Target="media/image83.png"/><Relationship Id="rId99" Type="http://schemas.openxmlformats.org/officeDocument/2006/relationships/image" Target="media/image84.png"/><Relationship Id="rId100" Type="http://schemas.openxmlformats.org/officeDocument/2006/relationships/image" Target="media/image85.png"/><Relationship Id="rId101" Type="http://schemas.openxmlformats.org/officeDocument/2006/relationships/image" Target="media/image86.png"/><Relationship Id="rId102" Type="http://schemas.openxmlformats.org/officeDocument/2006/relationships/image" Target="media/image87.png"/><Relationship Id="rId103" Type="http://schemas.openxmlformats.org/officeDocument/2006/relationships/image" Target="media/image88.png"/><Relationship Id="rId104" Type="http://schemas.openxmlformats.org/officeDocument/2006/relationships/image" Target="media/image89.png"/><Relationship Id="rId105" Type="http://schemas.openxmlformats.org/officeDocument/2006/relationships/image" Target="media/image90.png"/><Relationship Id="rId106" Type="http://schemas.openxmlformats.org/officeDocument/2006/relationships/image" Target="media/image91.png"/><Relationship Id="rId107" Type="http://schemas.openxmlformats.org/officeDocument/2006/relationships/image" Target="media/image92.png"/><Relationship Id="rId108" Type="http://schemas.openxmlformats.org/officeDocument/2006/relationships/image" Target="media/image93.png"/><Relationship Id="rId109" Type="http://schemas.openxmlformats.org/officeDocument/2006/relationships/image" Target="media/image94.png"/><Relationship Id="rId110" Type="http://schemas.openxmlformats.org/officeDocument/2006/relationships/image" Target="media/image95.png"/><Relationship Id="rId111" Type="http://schemas.openxmlformats.org/officeDocument/2006/relationships/image" Target="media/image96.png"/><Relationship Id="rId112" Type="http://schemas.openxmlformats.org/officeDocument/2006/relationships/image" Target="media/image97.png"/><Relationship Id="rId113" Type="http://schemas.openxmlformats.org/officeDocument/2006/relationships/image" Target="media/image98.png"/><Relationship Id="rId114" Type="http://schemas.openxmlformats.org/officeDocument/2006/relationships/image" Target="media/image99.png"/><Relationship Id="rId115" Type="http://schemas.openxmlformats.org/officeDocument/2006/relationships/image" Target="media/image100.png"/><Relationship Id="rId116" Type="http://schemas.openxmlformats.org/officeDocument/2006/relationships/image" Target="media/image101.png"/><Relationship Id="rId117" Type="http://schemas.openxmlformats.org/officeDocument/2006/relationships/image" Target="media/image102.png"/><Relationship Id="rId118" Type="http://schemas.openxmlformats.org/officeDocument/2006/relationships/image" Target="media/image103.png"/><Relationship Id="rId119" Type="http://schemas.openxmlformats.org/officeDocument/2006/relationships/image" Target="media/image104.png"/><Relationship Id="rId120" Type="http://schemas.openxmlformats.org/officeDocument/2006/relationships/image" Target="media/image105.png"/><Relationship Id="rId121" Type="http://schemas.openxmlformats.org/officeDocument/2006/relationships/image" Target="media/image106.png"/><Relationship Id="rId122" Type="http://schemas.openxmlformats.org/officeDocument/2006/relationships/image" Target="media/image107.png"/><Relationship Id="rId123" Type="http://schemas.openxmlformats.org/officeDocument/2006/relationships/image" Target="media/image108.png"/><Relationship Id="rId124" Type="http://schemas.openxmlformats.org/officeDocument/2006/relationships/image" Target="media/image109.png"/><Relationship Id="rId125" Type="http://schemas.openxmlformats.org/officeDocument/2006/relationships/image" Target="media/image110.png"/><Relationship Id="rId126" Type="http://schemas.openxmlformats.org/officeDocument/2006/relationships/image" Target="media/image111.png"/><Relationship Id="rId127" Type="http://schemas.openxmlformats.org/officeDocument/2006/relationships/image" Target="media/image112.png"/><Relationship Id="rId128" Type="http://schemas.openxmlformats.org/officeDocument/2006/relationships/image" Target="media/image113.png"/><Relationship Id="rId129" Type="http://schemas.openxmlformats.org/officeDocument/2006/relationships/image" Target="media/image114.png"/><Relationship Id="rId130" Type="http://schemas.openxmlformats.org/officeDocument/2006/relationships/image" Target="media/image115.png"/><Relationship Id="rId131" Type="http://schemas.openxmlformats.org/officeDocument/2006/relationships/image" Target="media/image116.png"/><Relationship Id="rId132" Type="http://schemas.openxmlformats.org/officeDocument/2006/relationships/image" Target="media/image117.png"/><Relationship Id="rId133" Type="http://schemas.openxmlformats.org/officeDocument/2006/relationships/image" Target="media/image118.png"/><Relationship Id="rId134" Type="http://schemas.openxmlformats.org/officeDocument/2006/relationships/image" Target="media/image119.png"/><Relationship Id="rId135" Type="http://schemas.openxmlformats.org/officeDocument/2006/relationships/image" Target="media/image120.png"/><Relationship Id="rId136" Type="http://schemas.openxmlformats.org/officeDocument/2006/relationships/image" Target="media/image121.png"/><Relationship Id="rId137" Type="http://schemas.openxmlformats.org/officeDocument/2006/relationships/image" Target="media/image122.png"/><Relationship Id="rId138" Type="http://schemas.openxmlformats.org/officeDocument/2006/relationships/image" Target="media/image123.png"/><Relationship Id="rId139" Type="http://schemas.openxmlformats.org/officeDocument/2006/relationships/image" Target="media/image124.png"/><Relationship Id="rId140" Type="http://schemas.openxmlformats.org/officeDocument/2006/relationships/image" Target="media/image125.png"/><Relationship Id="rId141" Type="http://schemas.openxmlformats.org/officeDocument/2006/relationships/image" Target="media/image126.png"/><Relationship Id="rId60" Type="http://schemas.openxmlformats.org/officeDocument/2006/relationships/hyperlink" Target="https://www.sec.gov/Archives/edgar/data/1708055/000110465919064368/a19-22879_1ex2d1.htm" TargetMode="External"/><Relationship Id="rId61" Type="http://schemas.openxmlformats.org/officeDocument/2006/relationships/hyperlink" Target="https://www.sec.gov/Archives/edgar/data/1708055/000110465920132853/tm2037745d1_ex2-1.htm" TargetMode="External"/><Relationship Id="rId62" Type="http://schemas.openxmlformats.org/officeDocument/2006/relationships/hyperlink" Target="https://www.sec.gov/Archives/edgar/data/1708055/000110465917064455/a17-24632_1ex3d2.htm" TargetMode="External"/><Relationship Id="rId63" Type="http://schemas.openxmlformats.org/officeDocument/2006/relationships/hyperlink" Target="https://www.sec.gov/Archives/edgar/data/1708055/000110465917070729/a17-27586_1ex3d1.htm" TargetMode="External"/><Relationship Id="rId64" Type="http://schemas.openxmlformats.org/officeDocument/2006/relationships/hyperlink" Target="https://www.sec.gov/Archives/edgar/data/1708055/000110465923039214/tm2310899d1_ex3-1.htm" TargetMode="External"/><Relationship Id="rId65" Type="http://schemas.openxmlformats.org/officeDocument/2006/relationships/hyperlink" Target="https://www.sec.gov/Archives/edgar/data/1708055/000110465923087871/tm2322779d1_ex3-1.htm" TargetMode="External"/><Relationship Id="rId66" Type="http://schemas.openxmlformats.org/officeDocument/2006/relationships/hyperlink" Target="https://www.sec.gov/Archives/edgar/data/1708055/000110465925054927/tm2516554d1_ex3-1.htm" TargetMode="External"/><Relationship Id="rId67" Type="http://schemas.openxmlformats.org/officeDocument/2006/relationships/hyperlink" Target="https://www.sec.gov/Archives/edgar/data/1708055/000162828018002933/rbbn-ex332017123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2026-05-06T11:52:57Z</dcterms:created>
  <dcterms:modified xsi:type="dcterms:W3CDTF">2026-05-06T11:52:57Z</dcterms:modified>
</cp:coreProperties>
</file>