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2891d1_8k.htm"/>
      <w:bookmarkStart w:id="1" w:name="kstm261289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4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April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240"/>
        <w:gridCol w:w="90"/>
        <w:gridCol w:w="2240"/>
        <w:gridCol w:w="90"/>
        <w:gridCol w:w="1595"/>
      </w:tblGrid>
      <w:tr>
        <w:trPr/>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E_edei--EntityIncorporationStateCo"/>
            <w:bookmarkEnd w:id="5"/>
            <w:r>
              <w:rPr>
                <w:rFonts w:ascii="Times New Roman;Times;Serif" w:hAnsi="Times New Roman;Times;Serif"/>
                <w:b w:val="false"/>
                <w:i w:val="false"/>
                <w:caps w:val="false"/>
                <w:smallCaps w:val="false"/>
                <w:sz w:val="20"/>
              </w:rPr>
              <w:t>Delaware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E_edei--EntityFileNumber_c20260428"/>
            <w:bookmarkEnd w:id="6"/>
            <w:r>
              <w:rPr>
                <w:rFonts w:ascii="Times New Roman;Times;Serif" w:hAnsi="Times New Roman;Times;Serif"/>
                <w:b w:val="false"/>
                <w:i w:val="false"/>
                <w:caps w:val="false"/>
                <w:smallCaps w:val="false"/>
                <w:sz w:val="20"/>
              </w:rPr>
              <w:t>001-38267</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9_edei--EntityTaxIdentificationNum"/>
            <w:bookmarkEnd w:id="7"/>
            <w:r>
              <w:rPr>
                <w:rFonts w:ascii="Times New Roman;Times;Serif" w:hAnsi="Times New Roman;Times;Serif"/>
                <w:b w:val="false"/>
                <w:i w:val="false"/>
                <w:caps w:val="false"/>
                <w:smallCaps w:val="false"/>
                <w:sz w:val="20"/>
              </w:rPr>
              <w:t>82-1669692</w:t>
            </w:r>
          </w:p>
        </w:tc>
      </w:tr>
      <w:tr>
        <w:trPr/>
        <w:tc>
          <w:tcPr>
            <w:tcW w:w="224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6500 Chase Oaks Blvd., </w:t>
      </w:r>
      <w:bookmarkStart w:id="9" w:name="xdx_904_edei--EntityAddressAddressLine2_"/>
      <w:bookmarkEnd w:id="9"/>
      <w:r>
        <w:rPr>
          <w:rFonts w:ascii="Times New Roman;Times;Serif" w:hAnsi="Times New Roman;Times;Serif"/>
          <w:b/>
          <w:i w:val="false"/>
          <w:caps w:val="false"/>
          <w:smallCaps w:val="false"/>
          <w:sz w:val="20"/>
        </w:rPr>
        <w:t xml:space="preserve">Suite 100, </w:t>
      </w:r>
      <w:bookmarkStart w:id="10" w:name="xdx_908_edei--EntityAddressCityOrTown_c2"/>
      <w:bookmarkEnd w:id="10"/>
      <w:r>
        <w:rPr>
          <w:rFonts w:ascii="Times New Roman;Times;Serif" w:hAnsi="Times New Roman;Times;Serif"/>
          <w:b/>
          <w:i w:val="false"/>
          <w:caps w:val="false"/>
          <w:smallCaps w:val="false"/>
          <w:sz w:val="20"/>
        </w:rPr>
        <w:t xml:space="preserve">Plano, </w:t>
      </w:r>
      <w:bookmarkStart w:id="11" w:name="xdx_90A_edei--EntityAddressStateOrProvin"/>
      <w:bookmarkEnd w:id="11"/>
      <w:r>
        <w:rPr>
          <w:rFonts w:ascii="Times New Roman;Times;Serif" w:hAnsi="Times New Roman;Times;Serif"/>
          <w:b/>
          <w:i w:val="false"/>
          <w:caps w:val="false"/>
          <w:smallCaps w:val="false"/>
          <w:sz w:val="20"/>
        </w:rPr>
        <w:t xml:space="preserve">TX </w:t>
      </w:r>
      <w:bookmarkStart w:id="12" w:name="xdx_905_edei--EntityAddressPostalZipCode"/>
      <w:bookmarkEnd w:id="12"/>
      <w:r>
        <w:rPr>
          <w:rFonts w:ascii="Times New Roman;Times;Serif" w:hAnsi="Times New Roman;Times;Serif"/>
          <w:b/>
          <w:i w:val="false"/>
          <w:caps w:val="false"/>
          <w:smallCaps w:val="false"/>
          <w:sz w:val="20"/>
        </w:rPr>
        <w:t>75023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428__20"/>
      <w:bookmarkEnd w:id="13"/>
      <w:r>
        <w:rPr>
          <w:rFonts w:ascii="Times New Roman;Times;Serif" w:hAnsi="Times New Roman;Times;Serif"/>
          <w:b/>
          <w:i w:val="false"/>
          <w:caps w:val="false"/>
          <w:smallCaps w:val="false"/>
          <w:sz w:val="20"/>
        </w:rPr>
        <w:t xml:space="preserve">978) </w:t>
      </w:r>
      <w:bookmarkStart w:id="14" w:name="xdx_903_edei--LocalPhoneNumber_c20260428"/>
      <w:bookmarkEnd w:id="14"/>
      <w:r>
        <w:rPr>
          <w:rFonts w:ascii="Times New Roman;Times;Serif" w:hAnsi="Times New Roman;Times;Serif"/>
          <w:b/>
          <w:i w:val="false"/>
          <w:caps w:val="false"/>
          <w:smallCaps w:val="false"/>
          <w:sz w:val="20"/>
        </w:rPr>
        <w:t>614-8100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F_edei--SolicitingMaterial_c202604"/>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2885"/>
        <w:gridCol w:w="90"/>
        <w:gridCol w:w="1640"/>
        <w:gridCol w:w="90"/>
        <w:gridCol w:w="3770"/>
      </w:tblGrid>
      <w:tr>
        <w:trPr/>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9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428"/>
            <w:bookmarkEnd w:id="19"/>
            <w:r>
              <w:rPr>
                <w:rFonts w:ascii="Times New Roman;Times;Serif" w:hAnsi="Times New Roman;Times;Serif"/>
                <w:b w:val="false"/>
                <w:i w:val="false"/>
                <w:caps w:val="false"/>
                <w:smallCaps w:val="false"/>
                <w:sz w:val="20"/>
              </w:rPr>
              <w:t>Common Stock, par value $0.0001</w:t>
            </w:r>
          </w:p>
        </w:tc>
        <w:tc>
          <w:tcPr>
            <w:tcW w:w="9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428__2"/>
            <w:bookmarkEnd w:id="20"/>
            <w:r>
              <w:rPr>
                <w:rFonts w:ascii="Times New Roman;Times;Serif" w:hAnsi="Times New Roman;Times;Serif"/>
                <w:b w:val="false"/>
                <w:i w:val="false"/>
                <w:caps w:val="false"/>
                <w:smallCaps w:val="false"/>
                <w:sz w:val="20"/>
              </w:rPr>
              <w:t>RBBN</w:t>
            </w:r>
          </w:p>
        </w:tc>
        <w:tc>
          <w:tcPr>
            <w:tcW w:w="9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of this Current Report on Form 8-K (the "Current Report"), including Exhibit 99.1 attached hereto, shall not be deemed “filed” for purposes of Section 18 of the Securities Exchange Act of 1934, as amended (the “Exchange Act”), otherwise subject to the liabilities of that Section or incorporated by reference in any filing under the Securities Act of 1933, as amended (the "Securities Act"),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Ribbon Communications Inc. (the "Company") issued a press release reporting financial information for the quarter ended March 31, 2026, a copy of which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2"/>
        <w:gridCol w:w="9343"/>
      </w:tblGrid>
      <w:tr>
        <w:trPr/>
        <w:tc>
          <w:tcPr>
            <w:tcW w:w="86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5.02.</w:t>
            </w:r>
          </w:p>
        </w:tc>
        <w:tc>
          <w:tcPr>
            <w:tcW w:w="9343"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Departure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Ribbon Communications Inc. (the “Company”) announced that John Townsend, Executive Vice President, Chief Financial Officer of the Company, has notified the Company that he is resigning effective April 30, 2026 to pursue another professional opportunity. Mr. Townsend’s departure is not related to any disagreement with the Company relating to its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Appointment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in connection with Mr. Townsend’s departure, the Company announced that it is promoting Eric “Rick” Marmurek to the position of Executive Vice President, Chief Financial Officer and Chief Accounting Officer of the Company effective May 1, 2026. Mr. Marmurek, CPA, age 60, has served as the Company’s Senior Vice President and Chief Accounting Officer since 2018 and was promoted to Deputy Chief Financial Officer and Chief Accounting Officer in October 2024.  Mr. Marmurek has over 35 years of financial experience.  He has been with the Company and its predecessor companies for more than 15 years.  Prior to joining the Company, he spent 10 years doing tax-related work for Nokia.  He started his career in public accounting with Coopers and Lybrand.  Mr. Marmurek earned an accounting degree from the University of Texas at Austin and a Master of Business Administration from Southern Methodist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Marmurek’s annual compensation consists of a base salary of $475,000, a target bonus of 75% of his base salary, and he is eligible for annual equity grants. Mr. Marmurek’s compensatory arrangements are subject to review and adjustment in accordance with the Company’s applicable practices and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 Marmurek and any other person pursuant to which Mr. Marmurek was appointed as Executive Vice President, Chief Financial Officer and Chief Accounting Officer. There are no family relationships between Mr. Marmurek and any director or executive officer of the Company, and he has no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issued a press release announcing Mr. Marmurek’s appointment.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380"/>
        <w:gridCol w:w="653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hyperlink w:anchor="tm2612891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left"/>
              <w:rPr/>
            </w:pPr>
            <w:hyperlink w:anchor="tm2612891d1_ex99-1.htm">
              <w:r>
                <w:rPr>
                  <w:rStyle w:val="InternetLink"/>
                  <w:rFonts w:ascii="Times New Roman;Times;Serif" w:hAnsi="Times New Roman;Times;Serif"/>
                  <w:sz w:val="20"/>
                </w:rPr>
                <w:t>Press Release, dated April 28, 2026, regarding preliminary financial results.</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hyperlink w:anchor="tm2612891d1_ex99-2.htm">
              <w:r>
                <w:rPr>
                  <w:rStyle w:val="InternetLink"/>
                  <w:rFonts w:ascii="Times New Roman;Times;Serif" w:hAnsi="Times New Roman;Times;Serif"/>
                  <w:sz w:val="20"/>
                </w:rPr>
                <w:t>99.2</w:t>
              </w:r>
            </w:hyperlink>
          </w:p>
        </w:tc>
        <w:tc>
          <w:tcPr>
            <w:tcW w:w="6530" w:type="dxa"/>
            <w:tcBorders/>
            <w:vAlign w:val="center"/>
          </w:tcPr>
          <w:p>
            <w:pPr>
              <w:pStyle w:val="TableContents"/>
              <w:bidi w:val="0"/>
              <w:spacing w:before="0" w:after="283"/>
              <w:jc w:val="left"/>
              <w:rPr/>
            </w:pPr>
            <w:hyperlink w:anchor="tm2612891d1_ex99-2.htm">
              <w:r>
                <w:rPr>
                  <w:rStyle w:val="InternetLink"/>
                  <w:rFonts w:ascii="Times New Roman;Times;Serif" w:hAnsi="Times New Roman;Times;Serif"/>
                  <w:sz w:val="20"/>
                </w:rPr>
                <w:t>Press Release, dated April 28, 2026, regarding Rick Marmurek.</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1745"/>
        <w:gridCol w:w="320"/>
        <w:gridCol w:w="650"/>
        <w:gridCol w:w="4955"/>
      </w:tblGrid>
      <w:tr>
        <w:trPr/>
        <w:tc>
          <w:tcPr>
            <w:tcW w:w="1745" w:type="dxa"/>
            <w:tcBorders/>
            <w:vAlign w:val="center"/>
          </w:tcPr>
          <w:p>
            <w:pPr>
              <w:pStyle w:val="TableContents"/>
              <w:bidi w:val="0"/>
              <w:spacing w:before="0" w:after="283"/>
              <w:jc w:val="left"/>
              <w:rPr>
                <w:sz w:val="20"/>
              </w:rPr>
            </w:pPr>
            <w:r>
              <w:rPr>
                <w:sz w:val="20"/>
              </w:rPr>
              <w:t>Date:  April 28, 2026</w:t>
            </w:r>
          </w:p>
        </w:tc>
        <w:tc>
          <w:tcPr>
            <w:tcW w:w="5925" w:type="dxa"/>
            <w:gridSpan w:val="3"/>
            <w:tcBorders/>
            <w:vAlign w:val="center"/>
          </w:tcPr>
          <w:p>
            <w:pPr>
              <w:pStyle w:val="TableContents"/>
              <w:bidi w:val="0"/>
              <w:spacing w:before="0" w:after="283"/>
              <w:jc w:val="left"/>
              <w:rPr>
                <w:b/>
                <w:smallCaps/>
              </w:rPr>
            </w:pPr>
            <w:r>
              <w:rPr>
                <w:b/>
                <w:smallCaps/>
              </w:rPr>
              <w:t>Ribbon Communications Inc.  </w:t>
            </w:r>
          </w:p>
        </w:tc>
      </w:tr>
      <w:tr>
        <w:trPr/>
        <w:tc>
          <w:tcPr>
            <w:tcW w:w="1745" w:type="dxa"/>
            <w:tcBorders/>
            <w:vAlign w:val="center"/>
          </w:tcPr>
          <w:p>
            <w:pPr>
              <w:pStyle w:val="TableContents"/>
              <w:bidi w:val="0"/>
              <w:spacing w:before="0" w:after="283"/>
              <w:jc w:val="left"/>
              <w:rPr/>
            </w:pPr>
            <w:r>
              <w:rPr/>
              <w:t> </w:t>
            </w:r>
          </w:p>
        </w:tc>
        <w:tc>
          <w:tcPr>
            <w:tcW w:w="5925" w:type="dxa"/>
            <w:gridSpan w:val="3"/>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5"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Patrick Macken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955" w:type="dxa"/>
            <w:tcBorders/>
            <w:vAlign w:val="center"/>
          </w:tcPr>
          <w:p>
            <w:pPr>
              <w:pStyle w:val="TableContents"/>
              <w:bidi w:val="0"/>
              <w:spacing w:before="0" w:after="283"/>
              <w:jc w:val="left"/>
              <w:rPr/>
            </w:pPr>
            <w:r>
              <w:rPr/>
              <w:t>Patrick W. Macken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Title:</w:t>
            </w:r>
          </w:p>
        </w:tc>
        <w:tc>
          <w:tcPr>
            <w:tcW w:w="4955" w:type="dxa"/>
            <w:tcBorders/>
            <w:vAlign w:val="center"/>
          </w:tcPr>
          <w:p>
            <w:pPr>
              <w:pStyle w:val="TableContents"/>
              <w:bidi w:val="0"/>
              <w:spacing w:before="0" w:after="283"/>
              <w:jc w:val="left"/>
              <w:rPr>
                <w:sz w:val="20"/>
              </w:rPr>
            </w:pPr>
            <w:r>
              <w:rPr>
                <w:sz w:val="20"/>
              </w:rPr>
              <w:t>Executive Vice President, Chief Legal Officer and 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12891d1_ex99-1.htm"/>
      <w:bookmarkStart w:id="24" w:name="kstm2612891d1_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Ribbon Communications Inc. Reports</w:t>
        <w:br/>
        <w:t>First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Growing Demand Increases Confidence in Sequential and 2</w:t>
      </w:r>
      <w:r>
        <w:rPr>
          <w:rFonts w:ascii="Times New Roman;Times;Serif" w:hAnsi="Times New Roman;Times;Serif"/>
          <w:b w:val="false"/>
          <w:i/>
          <w:caps w:val="false"/>
          <w:smallCaps w:val="false"/>
          <w:position w:val="7"/>
          <w:sz w:val="16"/>
          <w:sz w:val="20"/>
        </w:rPr>
        <w:t>nd</w:t>
      </w:r>
      <w:r>
        <w:rPr>
          <w:rFonts w:ascii="Times New Roman;Times;Serif" w:hAnsi="Times New Roman;Times;Serif"/>
          <w:b w:val="false"/>
          <w:i/>
          <w:caps w:val="false"/>
          <w:smallCaps w:val="false"/>
          <w:sz w:val="20"/>
        </w:rPr>
        <w:t xml:space="preserve"> Half 2026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Momentum Building in New Markets including AIOps and Data Center Interconnect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Quarter Revenue in Line with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PLANO, Texas – </w:t>
      </w:r>
      <w:r>
        <w:rPr>
          <w:rFonts w:ascii="Times New Roman;Times;Serif" w:hAnsi="Times New Roman;Times;Serif"/>
          <w:b w:val="false"/>
          <w:i w:val="false"/>
          <w:caps w:val="false"/>
          <w:smallCaps w:val="false"/>
          <w:sz w:val="20"/>
          <w:u w:val="single"/>
        </w:rPr>
        <w:t>Ribbon Communications Inc.</w:t>
      </w:r>
      <w:r>
        <w:rPr>
          <w:rFonts w:ascii="Times New Roman;Times;Serif" w:hAnsi="Times New Roman;Times;Serif"/>
          <w:b w:val="false"/>
          <w:i w:val="false"/>
          <w:caps w:val="false"/>
          <w:smallCaps w:val="false"/>
          <w:sz w:val="20"/>
        </w:rPr>
        <w:t xml:space="preserve"> (Nasdaq: RBBN), a global leader in real-time communications technology and IP optical networking solutions, today announced its financial results for the first quarter of 2026. Ribbon Communications is dedicated to assisting the world's largest service providers, enterprises, and critical infrastructure operators in modernizing and safeguarding their networks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Financial Results</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23"/>
        <w:gridCol w:w="10033"/>
      </w:tblGrid>
      <w:tr>
        <w:trPr/>
        <w:tc>
          <w:tcPr>
            <w:tcW w:w="4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was $163 million, compared to $181 million for the first quarter of 2025</w:t>
            </w:r>
          </w:p>
        </w:tc>
      </w:tr>
    </w:tbl>
    <w:tbl>
      <w:tblPr>
        <w:tblW w:w="5000" w:type="pct"/>
        <w:jc w:val="left"/>
        <w:tblInd w:w="0" w:type="dxa"/>
        <w:tblLayout w:type="fixed"/>
        <w:tblCellMar>
          <w:top w:w="0" w:type="dxa"/>
          <w:left w:w="0" w:type="dxa"/>
          <w:bottom w:w="0" w:type="dxa"/>
          <w:right w:w="0" w:type="dxa"/>
        </w:tblCellMar>
      </w:tblPr>
      <w:tblGrid>
        <w:gridCol w:w="41"/>
        <w:gridCol w:w="105"/>
        <w:gridCol w:w="10059"/>
      </w:tblGrid>
      <w:tr>
        <w:trPr/>
        <w:tc>
          <w:tcPr>
            <w:tcW w:w="41"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Operating Loss was ($32) million, compared to ($20) million for the first quarter of 2025</w:t>
            </w:r>
          </w:p>
        </w:tc>
      </w:tr>
    </w:tbl>
    <w:tbl>
      <w:tblPr>
        <w:tblW w:w="5000" w:type="pct"/>
        <w:jc w:val="left"/>
        <w:tblInd w:w="0" w:type="dxa"/>
        <w:tblLayout w:type="fixed"/>
        <w:tblCellMar>
          <w:top w:w="0" w:type="dxa"/>
          <w:left w:w="0" w:type="dxa"/>
          <w:bottom w:w="0" w:type="dxa"/>
          <w:right w:w="0" w:type="dxa"/>
        </w:tblCellMar>
      </w:tblPr>
      <w:tblGrid>
        <w:gridCol w:w="39"/>
        <w:gridCol w:w="100"/>
        <w:gridCol w:w="10066"/>
      </w:tblGrid>
      <w:tr>
        <w:trPr/>
        <w:tc>
          <w:tcPr>
            <w:tcW w:w="39"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Adjusted EBITDA was ($8) million, compared to $6 million for the first quarter of 2025</w:t>
            </w:r>
          </w:p>
        </w:tc>
      </w:tr>
    </w:tbl>
    <w:tbl>
      <w:tblPr>
        <w:tblW w:w="5000" w:type="pct"/>
        <w:jc w:val="left"/>
        <w:tblInd w:w="0" w:type="dxa"/>
        <w:tblLayout w:type="fixed"/>
        <w:tblCellMar>
          <w:top w:w="0" w:type="dxa"/>
          <w:left w:w="0" w:type="dxa"/>
          <w:bottom w:w="0" w:type="dxa"/>
          <w:right w:w="0" w:type="dxa"/>
        </w:tblCellMar>
      </w:tblPr>
      <w:tblGrid>
        <w:gridCol w:w="49"/>
        <w:gridCol w:w="122"/>
        <w:gridCol w:w="10034"/>
      </w:tblGrid>
      <w:tr>
        <w:trPr/>
        <w:tc>
          <w:tcPr>
            <w:tcW w:w="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Gross Margin was 42.9%, compared to 45.4% for the first quarter of 2025</w:t>
            </w:r>
          </w:p>
        </w:tc>
      </w:tr>
    </w:tbl>
    <w:tbl>
      <w:tblPr>
        <w:tblW w:w="5000" w:type="pct"/>
        <w:jc w:val="left"/>
        <w:tblInd w:w="0" w:type="dxa"/>
        <w:tblLayout w:type="fixed"/>
        <w:tblCellMar>
          <w:top w:w="0" w:type="dxa"/>
          <w:left w:w="0" w:type="dxa"/>
          <w:bottom w:w="0" w:type="dxa"/>
          <w:right w:w="0" w:type="dxa"/>
        </w:tblCellMar>
      </w:tblPr>
      <w:tblGrid>
        <w:gridCol w:w="46"/>
        <w:gridCol w:w="115"/>
        <w:gridCol w:w="10044"/>
      </w:tblGrid>
      <w:tr>
        <w:trPr/>
        <w:tc>
          <w:tcPr>
            <w:tcW w:w="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Gross Margin was 45.8%, compared to 48.6% for the first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confident in the underlying demand environment and continue to expect meaningful second-half growth across multiple end markets including voice transformation projects with U.S. Service Providers and Federal agencies, and growing IP and Optical deployments in the U.S. and EMEA regions, with significant improvement beginning in the second quarter,” stated Bruce McClelland, President and Chief Executive Officer of Ribbon Communications. “Revenue in the first quarter was in line with expectations and reflected the timing dynamics we outlined earlier this year. While margins were pressured by a slower deployment pace with key U.S. Tier 1 Service Providers and higher sales in India, we expect margin expansion as revenue increases throughout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McClelland continued, “We were particularly pleased by several new Data Center Interconnect wins in the first quarter, as well as multiple new secure private optical network awards supporting major energy producers and distributors in multiple countries. Importantly, we are gaining traction with our Ribbon Acumen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AIOps platform with several new customer engagements and a growing pipeline of POCs. Furthermore, we believe our recent Strategic Collaboration Agreement with Amazon Web Services further strengthens our leadership position in cloud-native communications infrastructure to enable Agentic and AI voice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Townsend, Chief Financial Officer of Ribbon Communications, remarked, “We continue to make deliberate investments to support our expected second half revenue growth including maintaining higher professional services capacity and retaining highly skilled resources. Notwithstanding this, we are staying focused on controlling expenses and driving efficiencies, helping mitigate currency headwinds.”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77" w:type="dxa"/>
        <w:jc w:val="center"/>
        <w:tblInd w:w="0" w:type="dxa"/>
        <w:tblLayout w:type="fixed"/>
        <w:tblCellMar>
          <w:top w:w="0" w:type="dxa"/>
          <w:left w:w="0" w:type="dxa"/>
          <w:bottom w:w="0" w:type="dxa"/>
          <w:right w:w="0" w:type="dxa"/>
        </w:tblCellMar>
      </w:tblPr>
      <w:tblGrid>
        <w:gridCol w:w="3695"/>
        <w:gridCol w:w="60"/>
        <w:gridCol w:w="170"/>
        <w:gridCol w:w="599"/>
        <w:gridCol w:w="108"/>
        <w:gridCol w:w="81"/>
        <w:gridCol w:w="170"/>
        <w:gridCol w:w="599"/>
        <w:gridCol w:w="9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 except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diluted earnings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earnings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Please see the reconciliations of non-GAAP financial measures to the most directly comparable GAAP measures and additional information about non-GAAP measures in the section entitled “Discussion of Non-GAAP Financial Measures” in the attached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40"/>
        <w:gridCol w:w="10009"/>
      </w:tblGrid>
      <w:tr>
        <w:trPr/>
        <w:tc>
          <w:tcPr>
            <w:tcW w:w="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9"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Ribbon Provides Edge Solutions for Salt’s Enterprise Voice Expansion</w:t>
            </w:r>
          </w:p>
        </w:tc>
      </w:tr>
    </w:tbl>
    <w:tbl>
      <w:tblPr>
        <w:tblW w:w="5000" w:type="pct"/>
        <w:jc w:val="left"/>
        <w:tblInd w:w="0" w:type="dxa"/>
        <w:tblLayout w:type="fixed"/>
        <w:tblCellMar>
          <w:top w:w="0" w:type="dxa"/>
          <w:left w:w="0" w:type="dxa"/>
          <w:bottom w:w="0" w:type="dxa"/>
          <w:right w:w="0" w:type="dxa"/>
        </w:tblCellMar>
      </w:tblPr>
      <w:tblGrid>
        <w:gridCol w:w="46"/>
        <w:gridCol w:w="115"/>
        <w:gridCol w:w="10044"/>
      </w:tblGrid>
      <w:tr>
        <w:trPr/>
        <w:tc>
          <w:tcPr>
            <w:tcW w:w="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Ribbon and AWS Transform Cloud Deployment for Service Providers and Enterprises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r>
        <w:rPr>
          <w:rFonts w:ascii="Times New Roman;Times;Serif" w:hAnsi="Times New Roman;Times;Serif"/>
          <w:b/>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the Company projects revenue of $185 million to $195 million. Non-GAAP gross margin is projected in a range of 49% to 50%. Adjusted EBITDA is projected in a range of $9 million to $14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outlook is based on current indications for its business, which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GAAP earnings guidance is not provided. Please see the reconciliations of non-GAAP financial measures to the most directly comparable GAAP measures and additional information about the non-GAAP measures in the section entitled “Discussion of Non-GAAP Financial Measures” in the attached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Conference Schedule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2"/>
        <w:gridCol w:w="10063"/>
      </w:tblGrid>
      <w:tr>
        <w:trPr/>
        <w:tc>
          <w:tcPr>
            <w:tcW w:w="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12, 2026:</w:t>
              <w:tab/>
              <w:t>                   </w:t>
            </w:r>
            <w:r>
              <w:rPr>
                <w:rFonts w:ascii="Times New Roman;Times;Serif" w:hAnsi="Times New Roman;Times;Serif"/>
                <w:b/>
              </w:rPr>
              <w:t>21st Annual Needham Technology, Media, &amp; Consumer 1x1 Conference</w:t>
            </w:r>
          </w:p>
        </w:tc>
      </w:tr>
    </w:tbl>
    <w:tbl>
      <w:tblPr>
        <w:tblW w:w="5000" w:type="pct"/>
        <w:jc w:val="left"/>
        <w:tblInd w:w="0" w:type="dxa"/>
        <w:tblLayout w:type="fixed"/>
        <w:tblCellMar>
          <w:top w:w="0" w:type="dxa"/>
          <w:left w:w="0" w:type="dxa"/>
          <w:bottom w:w="0" w:type="dxa"/>
          <w:right w:w="0" w:type="dxa"/>
        </w:tblCellMar>
      </w:tblPr>
      <w:tblGrid>
        <w:gridCol w:w="52"/>
        <w:gridCol w:w="130"/>
        <w:gridCol w:w="10023"/>
      </w:tblGrid>
      <w:tr>
        <w:trPr/>
        <w:tc>
          <w:tcPr>
            <w:tcW w:w="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21, 2026:</w:t>
              <w:tab/>
              <w:t>                   </w:t>
            </w:r>
            <w:r>
              <w:rPr>
                <w:rFonts w:ascii="Times New Roman;Times;Serif" w:hAnsi="Times New Roman;Times;Serif"/>
                <w:b/>
              </w:rPr>
              <w:t>B. Riley Securities 26th Annual Investor Conference</w:t>
            </w:r>
          </w:p>
        </w:tc>
      </w:tr>
    </w:tbl>
    <w:tbl>
      <w:tblPr>
        <w:tblW w:w="5000" w:type="pct"/>
        <w:jc w:val="left"/>
        <w:tblInd w:w="0" w:type="dxa"/>
        <w:tblLayout w:type="fixed"/>
        <w:tblCellMar>
          <w:top w:w="0" w:type="dxa"/>
          <w:left w:w="0" w:type="dxa"/>
          <w:bottom w:w="0" w:type="dxa"/>
          <w:right w:w="0" w:type="dxa"/>
        </w:tblCellMar>
      </w:tblPr>
      <w:tblGrid>
        <w:gridCol w:w="40"/>
        <w:gridCol w:w="103"/>
        <w:gridCol w:w="10062"/>
      </w:tblGrid>
      <w:tr>
        <w:trPr/>
        <w:tc>
          <w:tcPr>
            <w:tcW w:w="4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17, 2026:</w:t>
              <w:tab/>
              <w:t>                   </w:t>
            </w:r>
            <w:r>
              <w:rPr>
                <w:rFonts w:ascii="Times New Roman;Times;Serif" w:hAnsi="Times New Roman;Times;Serif"/>
                <w:b/>
              </w:rPr>
              <w:t>TD Cowen and CEO Summit Inaugural Disruptive Technology Summit</w:t>
            </w:r>
          </w:p>
        </w:tc>
      </w:tr>
    </w:tbl>
    <w:tbl>
      <w:tblPr>
        <w:tblW w:w="5000" w:type="pct"/>
        <w:jc w:val="left"/>
        <w:tblInd w:w="0" w:type="dxa"/>
        <w:tblLayout w:type="fixed"/>
        <w:tblCellMar>
          <w:top w:w="0" w:type="dxa"/>
          <w:left w:w="0" w:type="dxa"/>
          <w:bottom w:w="0" w:type="dxa"/>
          <w:right w:w="0" w:type="dxa"/>
        </w:tblCellMar>
      </w:tblPr>
      <w:tblGrid>
        <w:gridCol w:w="73"/>
        <w:gridCol w:w="183"/>
        <w:gridCol w:w="9949"/>
      </w:tblGrid>
      <w:tr>
        <w:trPr/>
        <w:tc>
          <w:tcPr>
            <w:tcW w:w="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23, 2026:</w:t>
              <w:tab/>
              <w:t>                   </w:t>
            </w:r>
            <w:r>
              <w:rPr>
                <w:rFonts w:ascii="Times New Roman;Times;Serif" w:hAnsi="Times New Roman;Times;Serif"/>
                <w:b/>
              </w:rPr>
              <w:t>Northland Growth Conference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will host a conference call to discuss the Company’s financial results at 4:30 p.m. ET on Tuesday, April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Dial-in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US/Canada: 877-407-2991</w:t>
        <w:br/>
        <w:t>International: 201-389-0925</w:t>
        <w:br/>
        <w:t>Instant Telephone Access: </w:t>
      </w:r>
      <w:r>
        <w:rPr>
          <w:rFonts w:ascii="Times New Roman;Times;Serif" w:hAnsi="Times New Roman;Times;Serif"/>
          <w:b w:val="false"/>
          <w:i w:val="false"/>
          <w:caps w:val="false"/>
          <w:smallCaps w:val="false"/>
          <w:sz w:val="20"/>
          <w:u w:val="single"/>
        </w:rPr>
        <w:t>Call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(listen-only) webcast and replay will be available on the Company’s Investor Relations website at </w:t>
      </w:r>
      <w:r>
        <w:rPr>
          <w:rFonts w:ascii="Times New Roman;Times;Serif" w:hAnsi="Times New Roman;Times;Serif"/>
          <w:b w:val="false"/>
          <w:i w:val="false"/>
          <w:caps w:val="false"/>
          <w:smallCaps w:val="false"/>
          <w:sz w:val="20"/>
          <w:u w:val="single"/>
        </w:rPr>
        <w:t>investors.ribboncommunications.com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(978) 614-8050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r>
        <w:rPr>
          <w:rFonts w:ascii="Times New Roman;Times;Serif" w:hAnsi="Times New Roman;Times;Serif"/>
          <w:b w:val="false"/>
          <w:i w:val="false"/>
          <w:caps w:val="false"/>
          <w:smallCaps w:val="false"/>
          <w:sz w:val="20"/>
          <w:u w:val="single"/>
        </w:rPr>
        <w:t>r@rbbn.com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Catherine Berthier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(646) 741-1974</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cberthier@rbbn.com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Ribbon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(Nasdaq: RBBN) is a global provider of voice communications software, IP routing, and optical networking to mobile and wireline service providers, enterprises, critical infrastructure and defense sectors. We support our customers’ Path to Autonomous Networks by leveraging the latest AIOps automation platforms and Agentic AI technologies, helping them deliver better customer experiences, reduce operational costs, and achieve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Ribbon visit </w:t>
      </w:r>
      <w:r>
        <w:rPr>
          <w:rFonts w:ascii="Times New Roman;Times;Serif" w:hAnsi="Times New Roman;Times;Serif"/>
          <w:b w:val="false"/>
          <w:i w:val="false"/>
          <w:caps w:val="false"/>
          <w:smallCaps w:val="false"/>
          <w:sz w:val="20"/>
          <w:u w:val="single"/>
        </w:rPr>
        <w:t>rbbn.com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U.S. Private Securities Litigation Reform Act of 1995, which are subject to a number of risks and uncertainties. All statements other than statements of historical facts contained in this release, including without limitation, statements regarding Company’s projected financial results for the second quarter of 2026 and beyond; expected customer spend and timing; beliefs about the Company’s business strategy, including new product introductions such as the Acumen AIOps platform; beliefs about the accelerating adoption of AI and the shift towards autonomous networking; and the timing of customer network transformation projects, are forward-looking statements. Without limiting the foregoing, the words “anticipates”, “believes”, “could”, “estimates”, “expects”, “expectations”, “intends”, “may”, “plans”, “projects” and other similar language, whether in the negative or affirmative, are intended to identify forward-looking statements,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the Company’s current expectations and assumptions regarding its business, the economy and other future conditions. Because forward-looking statements relate to the future, they are subject to inherent uncertainties, risks and changes in circumstances that are unknown and/or difficult to predict and that may cause the Company’s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increases in tariffs, trade restrictions or taxes on our products; supply chain disruptions resulting from component availability and/or geopolitical instabilities and disputes (including those related to the wars in the Middle East and Ukraine); other impacts from the wars in the Middle East and Ukraine and related economic volatility and uncertainty resulting therefrom;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are not intended to be an all-encompassing list of risks and uncertainties that may affect the Company's business and results from operations. Additional information regarding these and other factors can be found in the Company's reports filed with the Securities and Exchange Commission, including, without limitation, its Form 10-K for the year ended December 31, 2025. Any forward-looking statement made by the Company in this release speaks only as of the date on which this release was first issued. The Company undertakes no obligation to update any forward-looking statement publicly or otherwise, whether as a result of new information, future developments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Discussion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uses several different financial measures, both GAAP and non-GAAP, in analyzing and assessing the overall performance of its business, making operating decisions, planning and forecasting future periods, and determining payments under compensation programs. The Company considers the use of non-GAAP financial measures helpful in assessing the core performance of its continuing operations and when planning and forecasting future periods. The Company’s annual financial plan is prepared on a non-GAAP basis and is approved by its board of directors. In addition, budgeting and forecasting for revenue and expenses are conducted on a non-GAAP basis, and actual results on a non-GAAP basis are assessed against the annual financial plan. The Company defines continuing operations as the ongoing results of its business adjusted for certain expenses and credits, as described below. The Company believes that providing non-GAAP information to investors allows them to view the Company's financial results in the way its management views them and helps investors to better understand the Company’s core financial and operating performance and evaluate the efficacy of the methodology and information used by its management to evaluate and measure such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Company’s management uses non-GAAP financial measures as tools to enhance its understanding of certain aspects of the Company’s financial performance, management does not consider these measures to be a substitute for, or superior to, GAAP measures. In addition, the Company’s presentations of these measures may not be comparable to similarly titled measures used by other companies. These non-GAAP financial measures should not be considered alternatives for, or in isolation from, the financial information prepared and presented in accordance with GAAP. Investors are cautioned that there are material limitations associated with the use of non-GAAP financial measures. In particular, many of the adjustments to the Company’s financial measures reflect the exclusion of items that are recurring and will be reflected in its financial results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related to stock-based awards is generally not controllable in the short-term and can vary significantly based on the timing, size and nature of awards granted. The Company believes that presenting non-GAAP operating results that exclude stock-based compensation provides investors with visibility and insight into its management’s method of analysis and its core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 of Acquired Technology (including software licenses); Amortization of Acquired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amounts are inconsistent in frequency and amount and are significantly impacted by the timing and size of acquisitions. Amortization of acquired technology is reported separately within Cost of revenue and Amortization of acquired intangible assets is reported separately within Operating expenses. These items are reported collectively as Amortization of acquired intangible assets in the accompanying reconciliations of non-GAAP and GAAP financial measures. The Company believes that excluding non-cash amortization of these intangible assets facilitates the comparison of its financial results to its historical operating results and to other companies in its industry as if the acquired intangible assets had been developed internally rather than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certain ongoing litigation where Ribbon is the defendant (as described in the Company's Commitments and Contingencies footnotes in its Form 10-Qs and Form 10-Ks filed with the SEC, the Company has incurred litigation costs beginning in 2023. These costs are included as a component of general and administrative expense. The Company believes that such costs are not part of its core business or ongoing operations, are unplanned, and generally are not within its control. Accordingly, the Company believes that excluding litigation costs related to these specific legal matters facilitates the comparison of the Company's financial results to its historical operating results and to other companies in its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Cybersecurity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expenses associated with responding to and remediating a cybersecurity incident, including costs for external legal services, cybersecurity experts, and IT restoration activities. The Company believes that excluding these expenses facilitates the comparison of its financial results to its historical operating performance and to other companies in its industry, as these costs are non-recurring in nature and are not associated with future revenue streams or ongoing operational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714500"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14500"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Disposal- and Integration-Related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certain acquisition-, disposal- and integration-related costs to be unrelated to the organic continuing operations of the Company and its acquired businesses. Such costs are generally not relevant to assessing or estimating the long-term performance of the acquired assets. In 2025, the Company recorded expense for legal and professional fees associated with contemplated corporate development activities. The Company excludes such acquisition-, disposal- and integration-related costs to allow more accurate comparisons of its financial results to its historical operations and the financial results of less acquisitive peer companies and allows management and investors to consider the ongoing operations of the business both with and without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 and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restructuring and related expense to streamline operations and reduce operating costs by closing and consolidating certain facilities and reducing its worldwide workforce. The Company believes that excluding restructuring and related expense facilitates the comparison of its financial results to its historical operating results and to other companies in its industry, as there are no future revenue streams or other benefits associated with these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 and Warrant Liability Mark-to-Market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adjustments to the fair value of its Series A Preferred Stock and Warrants to purchase shares of the Company’s common stock in Other (expense) income, net. Both of these instruments were issued in March 2023 in connection with the Company’s private placement and have been classified as liabilities and marked to market each reporting period until the Series A Preferred Stock was fully redeemed on June 25, 2024. The Warrant liability remains outstanding and will continue to be marked to market each reporting period. The Company excluded these gains and losses from the change in the fair value of these liabilities because it believes that such gains or losses were not part of its core business or ongoing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Effect of Non-GAAP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income tax provision is presented based on an estimated tax rate applied against forecasted annual non-GAAP income. The Company computes its non-GAAP estimated tax rate using its estimated GAAP annual effective tax rate for the period and adjusting for the tax effect of pre-tax non-GAAP adjustments. The Company computes a single annual non-GAAP rate for the Company and applying that rate (rather than multiple rates by jurisdiction) to its consolidated quarterly results. The Company expects that this methodology will provide a consistent rate throughout the year and allow investors to better understand the impact of income taxes on its results. Due to the methodology applied to its estimated annual tax rate, the Company’s estimated tax rate on non-GAAP income will differ from its GAAP tax rate and from its actual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Adjusted EBITDA as a supplemental measure to review and assess its performance. The Company calculates Adjusted EBITDA by excluding from income (loss) from operations: depreciation; stock-based compensation; amortization of acquired intangible assets; certain litigation costs; expenses related to cybersecurity incidents; acquisition-, disposal- and integration-related expense; and restructuring and related expense. In general, the Company excludes the expenses that it considers to be non-cash and/or not a part of its ongoing operations. The Company may exclude other items in the future that have those characteristics. Adjusted EBITDA is a non-GAAP financial measure that is used by the investing community for comparative and valuation purposes. The Company discloses this metric to support and facilitate dialogue with research analysts and investors. Other companies may calculate Adjusted EBITDA differently than the Company does, limiting its usefulness as a comparative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14500"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percentages and per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5465"/>
        <w:gridCol w:w="60"/>
        <w:gridCol w:w="128"/>
        <w:gridCol w:w="716"/>
        <w:gridCol w:w="185"/>
        <w:gridCol w:w="60"/>
        <w:gridCol w:w="165"/>
        <w:gridCol w:w="920"/>
        <w:gridCol w:w="185"/>
        <w:gridCol w:w="60"/>
        <w:gridCol w:w="128"/>
        <w:gridCol w:w="716"/>
        <w:gridCol w:w="20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844"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4" w:type="dxa"/>
            <w:gridSpan w:val="2"/>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127,560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81,991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94,492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99,763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99,288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162,606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227,323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181,279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49,425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57,893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39,067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35,628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106,260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98,909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121,063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82,370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44,714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43,568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111,766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101,980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(26,981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(provision)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used to compute earnings (loss) per share: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175,661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175,719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178,724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175,719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5954" w:type="dxa"/>
        <w:jc w:val="left"/>
        <w:tblInd w:w="0" w:type="dxa"/>
        <w:tblLayout w:type="fixed"/>
        <w:tblCellMar>
          <w:top w:w="0" w:type="dxa"/>
          <w:left w:w="0" w:type="dxa"/>
          <w:bottom w:w="0" w:type="dxa"/>
          <w:right w:w="0" w:type="dxa"/>
        </w:tblCellMar>
      </w:tblPr>
      <w:tblGrid>
        <w:gridCol w:w="3500"/>
        <w:gridCol w:w="60"/>
        <w:gridCol w:w="125"/>
        <w:gridCol w:w="905"/>
        <w:gridCol w:w="80"/>
        <w:gridCol w:w="60"/>
        <w:gridCol w:w="136"/>
        <w:gridCol w:w="993"/>
        <w:gridCol w:w="9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3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9"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408,499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1,159,702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1,212,255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298,835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net of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324,525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net of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763,261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1,981,988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1,976,958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(1,569,038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(1,534,549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1,159,702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1,212,255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028" w:type="dxa"/>
        <w:jc w:val="left"/>
        <w:tblInd w:w="0" w:type="dxa"/>
        <w:tblLayout w:type="fixed"/>
        <w:tblCellMar>
          <w:top w:w="0" w:type="dxa"/>
          <w:left w:w="0" w:type="dxa"/>
          <w:bottom w:w="0" w:type="dxa"/>
          <w:right w:w="0" w:type="dxa"/>
        </w:tblCellMar>
      </w:tblPr>
      <w:tblGrid>
        <w:gridCol w:w="8045"/>
        <w:gridCol w:w="60"/>
        <w:gridCol w:w="136"/>
        <w:gridCol w:w="708"/>
        <w:gridCol w:w="80"/>
        <w:gridCol w:w="60"/>
        <w:gridCol w:w="136"/>
        <w:gridCol w:w="708"/>
        <w:gridCol w:w="95"/>
      </w:tblGrid>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(loss) to cash flows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costs and original issue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(gains)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payments of 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 obligations related to vested stock awards and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the details of stock-based compensation included as components of other line items in the Company's Consolidated Statements of Operations and the line items in which these amounts are reported.</w:t>
      </w:r>
    </w:p>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2660"/>
        <w:gridCol w:w="60"/>
        <w:gridCol w:w="172"/>
        <w:gridCol w:w="672"/>
        <w:gridCol w:w="60"/>
        <w:gridCol w:w="60"/>
        <w:gridCol w:w="222"/>
        <w:gridCol w:w="863"/>
        <w:gridCol w:w="60"/>
        <w:gridCol w:w="60"/>
        <w:gridCol w:w="172"/>
        <w:gridCol w:w="672"/>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1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 product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 service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Non-GAAP and GAAP Financial Measures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6290"/>
        <w:gridCol w:w="60"/>
        <w:gridCol w:w="128"/>
        <w:gridCol w:w="716"/>
        <w:gridCol w:w="185"/>
        <w:gridCol w:w="60"/>
        <w:gridCol w:w="165"/>
        <w:gridCol w:w="920"/>
        <w:gridCol w:w="185"/>
        <w:gridCol w:w="60"/>
        <w:gridCol w:w="128"/>
        <w:gridCol w:w="716"/>
        <w:gridCol w:w="20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89,065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and warrant liability mark-to-market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Diluted earnings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and warrant liability mark-to-market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Diluted earnings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used to compute diluted earnings (loss) per share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used to compute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diluted earnings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178,724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175,719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used to compute </w:t>
            </w:r>
            <w:r>
              <w:rPr>
                <w:rFonts w:ascii="Times New Roman;Times;Serif" w:hAnsi="Times New Roman;Times;Serif"/>
                <w:b/>
                <w:i w:val="false"/>
                <w:caps w:val="false"/>
                <w:smallCaps w:val="false"/>
                <w:sz w:val="20"/>
              </w:rPr>
              <w:t>Non-GAAP</w:t>
            </w:r>
            <w:r>
              <w:rPr>
                <w:rFonts w:ascii="Times New Roman;Times;Serif" w:hAnsi="Times New Roman;Times;Serif"/>
                <w:b w:val="false"/>
                <w:i w:val="false"/>
                <w:caps w:val="false"/>
                <w:smallCaps w:val="false"/>
                <w:sz w:val="20"/>
              </w:rPr>
              <w:t xml:space="preserve"> diluted earnings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175,661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178,724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175,719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283"/>
        <w:jc w:val="left"/>
        <w:rPr/>
      </w:pPr>
      <w:r>
        <w:rPr/>
        <w:t>* Less than $0.01 impact on earnings (loss)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Non-GAAP and GAAP Financial Measures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973" w:type="dxa"/>
        <w:jc w:val="left"/>
        <w:tblInd w:w="0" w:type="dxa"/>
        <w:tblLayout w:type="fixed"/>
        <w:tblCellMar>
          <w:top w:w="0" w:type="dxa"/>
          <w:left w:w="0" w:type="dxa"/>
          <w:bottom w:w="0" w:type="dxa"/>
          <w:right w:w="0" w:type="dxa"/>
        </w:tblCellMar>
      </w:tblPr>
      <w:tblGrid>
        <w:gridCol w:w="3785"/>
        <w:gridCol w:w="60"/>
        <w:gridCol w:w="136"/>
        <w:gridCol w:w="708"/>
        <w:gridCol w:w="80"/>
        <w:gridCol w:w="60"/>
        <w:gridCol w:w="165"/>
        <w:gridCol w:w="920"/>
        <w:gridCol w:w="80"/>
        <w:gridCol w:w="60"/>
        <w:gridCol w:w="128"/>
        <w:gridCol w:w="716"/>
        <w:gridCol w:w="7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8" w:type="dxa"/>
            <w:gridSpan w:val="11"/>
            <w:tcBorders>
              <w:bottom w:val="single" w:sz="8" w:space="0" w:color="000000"/>
            </w:tcBorders>
            <w:tcMar>
              <w:bottom w:w="28" w:type="dxa"/>
            </w:tcMar>
            <w:vAlign w:val="center"/>
          </w:tcPr>
          <w:p>
            <w:pPr>
              <w:pStyle w:val="TableContents"/>
              <w:bidi w:val="0"/>
              <w:spacing w:before="0" w:after="283"/>
              <w:jc w:val="center"/>
              <w:rPr>
                <w:sz w:val="20"/>
              </w:rPr>
            </w:pPr>
            <w:r>
              <w:rPr>
                <w:sz w:val="20"/>
              </w:rPr>
              <w:t>Trailing Twelve Months</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disposal- and integration-related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14500" cy="4857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Non-GAAP and GAAP Financial Measures - Outlook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767" w:type="dxa"/>
        <w:jc w:val="left"/>
        <w:tblInd w:w="0" w:type="dxa"/>
        <w:tblLayout w:type="fixed"/>
        <w:tblCellMar>
          <w:top w:w="0" w:type="dxa"/>
          <w:left w:w="0" w:type="dxa"/>
          <w:bottom w:w="0" w:type="dxa"/>
          <w:right w:w="0" w:type="dxa"/>
        </w:tblCellMar>
      </w:tblPr>
      <w:tblGrid>
        <w:gridCol w:w="3125"/>
        <w:gridCol w:w="60"/>
        <w:gridCol w:w="232"/>
        <w:gridCol w:w="822"/>
        <w:gridCol w:w="211"/>
        <w:gridCol w:w="948"/>
        <w:gridCol w:w="60"/>
        <w:gridCol w:w="60"/>
        <w:gridCol w:w="214"/>
        <w:gridCol w:w="840"/>
        <w:gridCol w:w="185"/>
        <w:gridCol w:w="60"/>
        <w:gridCol w:w="95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3" w:type="dxa"/>
            <w:gridSpan w:val="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9"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ending</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3"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9"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2026</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Midpoint </w:t>
            </w:r>
            <w:r>
              <w:rPr>
                <w:rFonts w:ascii="Times New Roman;Times;Serif" w:hAnsi="Times New Roman;Times;Serif"/>
                <w:b/>
                <w:position w:val="7"/>
                <w:sz w:val="16"/>
                <w:sz w:val="20"/>
              </w:rPr>
              <w:t>(1)</w:t>
            </w:r>
          </w:p>
        </w:tc>
        <w:tc>
          <w:tcPr>
            <w:tcW w:w="211" w:type="dxa"/>
            <w:tcBorders/>
            <w:vAlign w:val="center"/>
          </w:tcPr>
          <w:p>
            <w:pPr>
              <w:pStyle w:val="TableContents"/>
              <w:bidi w:val="0"/>
              <w:spacing w:before="0" w:after="283"/>
              <w:jc w:val="left"/>
              <w:rPr/>
            </w:pPr>
            <w:r>
              <w:rPr/>
              <w:t> </w:t>
            </w:r>
          </w:p>
        </w:tc>
        <w:tc>
          <w:tcPr>
            <w:tcW w:w="9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Midpoint </w:t>
            </w:r>
            <w:r>
              <w:rPr>
                <w:rFonts w:ascii="Times New Roman;Times;Serif" w:hAnsi="Times New Roman;Times;Serif"/>
                <w:b/>
                <w:position w:val="7"/>
                <w:sz w:val="16"/>
                <w:sz w:val="20"/>
              </w:rPr>
              <w:t>(1)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Range</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 ($ millions)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$5M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$17.5M</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margin:</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GAAP outlook</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2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2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acquired technology</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2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Non-GAAP outlook</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2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+/- 0.5%</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Adjusted EBITDA ($ millions):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GAAP income (loss) from operations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2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21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costs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21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Restructuring and related</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1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Non-GAAP outlook</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c>
          <w:tcPr>
            <w:tcW w:w="21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$2.5M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$7.5M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Q2 2026 and FY 2026 outlook represents the midpoint of the expected ranges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tm2612891d1_ex99-2.htm"/>
      <w:bookmarkStart w:id="26" w:name="kstm2612891d1_ex992"/>
      <w:bookmarkEnd w:id="25"/>
      <w:bookmarkEnd w:id="26"/>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04975" cy="466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04975"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Ribbon Communications Announces Promotion of Rick Marmurek to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 April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PLANO, Texas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Ribbon Communications Inc.</w:t>
      </w:r>
      <w:r>
        <w:rPr>
          <w:rFonts w:ascii="Times New Roman;Times;Serif" w:hAnsi="Times New Roman;Times;Serif"/>
          <w:b w:val="false"/>
          <w:i w:val="false"/>
          <w:caps w:val="false"/>
          <w:smallCaps w:val="false"/>
          <w:sz w:val="20"/>
        </w:rPr>
        <w:t> (Nasdaq: RBBN), a global leader in real-time communications technology and IP optical networking solutions, today announced that Rick Marmurek, Ribbon’s current Deputy Chief Financial Officer and Chief Accounting Officer, has been promoted to Executive Vice President, Chief Financial Officer (“CFO”) and Chief Accounting Officer, effective May 1, 2026. He will succeed current CFO John Townsend who will be leaving Ribbon effective April 30, 2026 to take another professional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Having worked closely with Rick over the last six years I am thrilled to formally welcome him to our executive leadership team,” said Bruce McClelland, President and CEO of Ribbon. “Rick has been a visible leader within the organization for more than a decade and has developed deep knowledge of our operations, the markets in which we operate, and our customers. We believe Rick brings an unparalleled breadth of financial leadership, deep accounting expertise, and knowledge of the business to support and advance Ribbon’s strategy. We wish John the best in his next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Marmurek, CPA, brings more than 35 years of financial experience, including more than 15 years at Ribbon or its predecessor companies, where he has served as Senior Vice President, Deputy CFO and Chief Accounting Officer since 2024. Mr. Marmurek has served as Senior Vice President and Chief Accounting Officer since 2018. Prior to joining Ribbon, Mr. Marmurek was at Nokia for 10 years, specializing in tax-related work. He started his career in public accounting with Coopers and Lybrand. Mr. Marmurek holds an accounting degree from the University of Texas at Austin and a Master of Business Administration from Southern Methodist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Page 1 of </w:t>
      </w:r>
      <w:r>
        <w:rPr>
          <w:b/>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Ribbon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Ribbon Communications (Nasdaq: RBBN) is a global provider of voice communications software, IP routing, and optical networking to mobile and wireline service providers, enterprises, critical infrastructure and defense sectors. We support our customers’ Path to Autonomous Networks by leveraging the latest AIOps automation platforms and Agentic AI technologies, helping them deliver better customer experiences, reduce operational costs, and achieve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Ribbon, visit </w:t>
      </w:r>
      <w:r>
        <w:rPr>
          <w:rFonts w:ascii="Times New Roman;Times;Serif" w:hAnsi="Times New Roman;Times;Serif"/>
          <w:b w:val="false"/>
          <w:i w:val="false"/>
          <w:caps w:val="false"/>
          <w:smallCaps w:val="false"/>
          <w:sz w:val="20"/>
          <w:u w:val="single"/>
        </w:rPr>
        <w:t>rbbn.com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(978) 614-8050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ir@rbbn.com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Catherine Berthier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(646) 741-1974</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cberthier@rbbn.com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Page 2 of </w:t>
      </w:r>
      <w:r>
        <w:rPr>
          <w:b/>
          <w:sz w:val="20"/>
          <w:bdr w:val="single" w:sz="8"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5435</Words>
  <Characters>31295</Characters>
  <CharactersWithSpaces>37656</CharactersWithSpaces>
  <Paragraphs>2826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