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920" w:right="360" w:hanging="912"/>
        <w:spacing w:after="0" w:line="256" w:lineRule="auto"/>
        <w:tabs>
          <w:tab w:leader="none" w:pos="9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 w:lineRule="exact"/>
        <w:rPr>
          <w:sz w:val="24"/>
          <w:szCs w:val="24"/>
          <w:color w:val="auto"/>
        </w:rPr>
      </w:pPr>
    </w:p>
    <w:p>
      <w:pPr>
        <w:ind w:left="920" w:right="340" w:hanging="912"/>
        <w:spacing w:after="0" w:line="237" w:lineRule="auto"/>
        <w:tabs>
          <w:tab w:leader="none" w:pos="9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698" w:right="239" w:bottom="1440" w:gutter="0" w:footer="0" w:header="0"/>
        </w:sectPr>
      </w:pPr>
    </w:p>
    <w:p>
      <w:pPr>
        <w:spacing w:after="0" w:line="219"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240" w:space="540"/>
            <w:col w:w="4640"/>
          </w:cols>
          <w:pgMar w:left="240" w:top="698"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Commission File Number 000-30229</w:t>
      </w:r>
    </w:p>
    <w:p>
      <w:pPr>
        <w:sectPr>
          <w:pgSz w:w="11900" w:h="16838" w:orient="portrait"/>
          <w:cols w:equalWidth="0" w:num="1">
            <w:col w:w="11420"/>
          </w:cols>
          <w:pgMar w:left="240" w:top="698" w:right="239" w:bottom="1440" w:gutter="0" w:footer="0" w:header="0"/>
          <w:type w:val="continuous"/>
        </w:sect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640" w:type="dxa"/>
        <w:tblCellMar>
          <w:top w:w="0" w:type="dxa"/>
          <w:left w:w="0" w:type="dxa"/>
          <w:bottom w:w="0" w:type="dxa"/>
          <w:right w:w="0" w:type="dxa"/>
        </w:tblCellMar>
      </w:tblPr>
      <w:tr>
        <w:trPr>
          <w:trHeight w:val="222"/>
        </w:trPr>
        <w:tc>
          <w:tcPr>
            <w:tcW w:w="4320" w:type="dxa"/>
            <w:vAlign w:val="bottom"/>
          </w:tcPr>
          <w:p>
            <w:pPr>
              <w:jc w:val="center"/>
              <w:ind w:right="1952"/>
              <w:spacing w:after="0"/>
              <w:rPr>
                <w:sz w:val="20"/>
                <w:szCs w:val="20"/>
                <w:color w:val="auto"/>
              </w:rPr>
            </w:pPr>
            <w:r>
              <w:rPr>
                <w:rFonts w:ascii="Arial" w:cs="Arial" w:eastAsia="Arial" w:hAnsi="Arial"/>
                <w:sz w:val="18"/>
                <w:szCs w:val="18"/>
                <w:b w:val="1"/>
                <w:bCs w:val="1"/>
                <w:color w:val="auto"/>
                <w:w w:val="96"/>
              </w:rPr>
              <w:t>DELAWARE</w:t>
            </w:r>
          </w:p>
        </w:tc>
        <w:tc>
          <w:tcPr>
            <w:tcW w:w="3300" w:type="dxa"/>
            <w:vAlign w:val="bottom"/>
          </w:tcPr>
          <w:p>
            <w:pPr>
              <w:jc w:val="center"/>
              <w:ind w:left="19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4320" w:type="dxa"/>
            <w:vAlign w:val="bottom"/>
          </w:tcPr>
          <w:p>
            <w:pPr>
              <w:jc w:val="center"/>
              <w:ind w:right="1952"/>
              <w:spacing w:after="0"/>
              <w:rPr>
                <w:sz w:val="20"/>
                <w:szCs w:val="20"/>
                <w:color w:val="auto"/>
              </w:rPr>
            </w:pPr>
            <w:r>
              <w:rPr>
                <w:rFonts w:ascii="Arial" w:cs="Arial" w:eastAsia="Arial" w:hAnsi="Arial"/>
                <w:sz w:val="18"/>
                <w:szCs w:val="18"/>
                <w:color w:val="auto"/>
                <w:w w:val="89"/>
              </w:rPr>
              <w:t>(State or other jurisdiction</w:t>
            </w:r>
          </w:p>
        </w:tc>
        <w:tc>
          <w:tcPr>
            <w:tcW w:w="3300" w:type="dxa"/>
            <w:vAlign w:val="bottom"/>
          </w:tcPr>
          <w:p>
            <w:pPr>
              <w:jc w:val="center"/>
              <w:ind w:left="1952"/>
              <w:spacing w:after="0"/>
              <w:rPr>
                <w:sz w:val="20"/>
                <w:szCs w:val="20"/>
                <w:color w:val="auto"/>
              </w:rPr>
            </w:pPr>
            <w:r>
              <w:rPr>
                <w:rFonts w:ascii="Arial" w:cs="Arial" w:eastAsia="Arial" w:hAnsi="Arial"/>
                <w:sz w:val="18"/>
                <w:szCs w:val="18"/>
                <w:color w:val="auto"/>
                <w:w w:val="90"/>
              </w:rPr>
              <w:t>(I.R.S. employer</w:t>
            </w:r>
          </w:p>
        </w:tc>
      </w:tr>
      <w:tr>
        <w:trPr>
          <w:trHeight w:val="222"/>
        </w:trPr>
        <w:tc>
          <w:tcPr>
            <w:tcW w:w="4320" w:type="dxa"/>
            <w:vAlign w:val="bottom"/>
          </w:tcPr>
          <w:p>
            <w:pPr>
              <w:jc w:val="center"/>
              <w:ind w:right="1932"/>
              <w:spacing w:after="0"/>
              <w:rPr>
                <w:sz w:val="20"/>
                <w:szCs w:val="20"/>
                <w:color w:val="auto"/>
              </w:rPr>
            </w:pPr>
            <w:r>
              <w:rPr>
                <w:rFonts w:ascii="Arial" w:cs="Arial" w:eastAsia="Arial" w:hAnsi="Arial"/>
                <w:sz w:val="18"/>
                <w:szCs w:val="18"/>
                <w:color w:val="auto"/>
                <w:w w:val="90"/>
              </w:rPr>
              <w:t>of incorporation or organization)</w:t>
            </w:r>
          </w:p>
        </w:tc>
        <w:tc>
          <w:tcPr>
            <w:tcW w:w="3300" w:type="dxa"/>
            <w:vAlign w:val="bottom"/>
          </w:tcPr>
          <w:p>
            <w:pPr>
              <w:jc w:val="center"/>
              <w:ind w:left="1952"/>
              <w:spacing w:after="0"/>
              <w:rPr>
                <w:sz w:val="20"/>
                <w:szCs w:val="20"/>
                <w:color w:val="auto"/>
              </w:rPr>
            </w:pPr>
            <w:r>
              <w:rPr>
                <w:rFonts w:ascii="Arial" w:cs="Arial" w:eastAsia="Arial" w:hAnsi="Arial"/>
                <w:sz w:val="18"/>
                <w:szCs w:val="18"/>
                <w:color w:val="auto"/>
                <w:w w:val="92"/>
              </w:rPr>
              <w:t>identification no.)</w:t>
            </w:r>
          </w:p>
        </w:tc>
      </w:tr>
    </w:tbl>
    <w:p>
      <w:pPr>
        <w:spacing w:after="0" w:line="204"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7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3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right="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7" w:lineRule="exact"/>
        <w:rPr>
          <w:sz w:val="24"/>
          <w:szCs w:val="24"/>
          <w:color w:val="auto"/>
        </w:rPr>
      </w:pPr>
    </w:p>
    <w:p>
      <w:pPr>
        <w:spacing w:after="0" w:line="207" w:lineRule="exact"/>
        <w:tabs>
          <w:tab w:leader="none" w:pos="2960" w:val="left"/>
          <w:tab w:leader="none" w:pos="5700" w:val="left"/>
          <w:tab w:leader="none" w:pos="93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51" w:lineRule="exact"/>
        <w:rPr>
          <w:sz w:val="24"/>
          <w:szCs w:val="24"/>
          <w:color w:val="auto"/>
        </w:rPr>
      </w:pPr>
    </w:p>
    <w:p>
      <w:pPr>
        <w:ind w:left="5280"/>
        <w:spacing w:after="0"/>
        <w:rPr>
          <w:sz w:val="20"/>
          <w:szCs w:val="20"/>
          <w:color w:val="auto"/>
        </w:rPr>
      </w:pPr>
      <w:r>
        <w:rPr>
          <w:rFonts w:ascii="Arial" w:cs="Arial" w:eastAsia="Arial" w:hAnsi="Arial"/>
          <w:sz w:val="14"/>
          <w:szCs w:val="14"/>
          <w:color w:val="auto"/>
        </w:rPr>
        <w:t>(Do not check if a smaller reporting company)</w:t>
      </w:r>
    </w:p>
    <w:p>
      <w:pPr>
        <w:spacing w:after="0" w:line="162"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30, 2009, there were 273,513,706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996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9960" w:type="dxa"/>
            <w:vAlign w:val="bottom"/>
            <w:gridSpan w:val="20"/>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340" w:type="dxa"/>
            <w:vAlign w:val="bottom"/>
            <w:tcBorders>
              <w:top w:val="single" w:sz="8" w:color="0000EE"/>
            </w:tcBorders>
            <w:gridSpan w:val="3"/>
          </w:tcPr>
          <w:p>
            <w:pPr>
              <w:spacing w:after="0"/>
              <w:rPr>
                <w:sz w:val="24"/>
                <w:szCs w:val="24"/>
                <w:color w:val="auto"/>
              </w:rPr>
            </w:pPr>
          </w:p>
        </w:tc>
        <w:tc>
          <w:tcPr>
            <w:tcW w:w="210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2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13"/>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March 31, 2009 and December 31, 2008 (unaudited)</w:t>
              </w:r>
            </w:hyperlink>
          </w:p>
        </w:tc>
        <w:tc>
          <w:tcPr>
            <w:tcW w:w="2140" w:type="dxa"/>
            <w:vAlign w:val="bottom"/>
            <w:gridSpan w:val="3"/>
          </w:tcPr>
          <w:p>
            <w:pPr>
              <w:spacing w:after="0"/>
              <w:rPr>
                <w:sz w:val="24"/>
                <w:szCs w:val="24"/>
                <w:color w:val="auto"/>
              </w:rPr>
            </w:pPr>
          </w:p>
        </w:tc>
        <w:tc>
          <w:tcPr>
            <w:tcW w:w="3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Operations for the Three Months Ended March 31, 2009 and 2008 (unaudited)</w:t>
              </w:r>
            </w:hyperlink>
          </w:p>
        </w:tc>
        <w:tc>
          <w:tcPr>
            <w:tcW w:w="3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Cash Flows for the Three Months Ended March 31, 2009 and 2008 (unaudited)</w:t>
              </w:r>
            </w:hyperlink>
          </w:p>
        </w:tc>
        <w:tc>
          <w:tcPr>
            <w:tcW w:w="32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3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760" w:type="dxa"/>
            <w:vAlign w:val="bottom"/>
          </w:tcPr>
          <w:p>
            <w:pPr>
              <w:spacing w:after="0"/>
              <w:rPr>
                <w:sz w:val="24"/>
                <w:szCs w:val="24"/>
                <w:color w:val="auto"/>
              </w:rPr>
            </w:pPr>
          </w:p>
        </w:tc>
        <w:tc>
          <w:tcPr>
            <w:tcW w:w="3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320" w:type="dxa"/>
            <w:vAlign w:val="bottom"/>
            <w:gridSpan w:val="2"/>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32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320" w:type="dxa"/>
            <w:vAlign w:val="bottom"/>
            <w:gridSpan w:val="2"/>
          </w:tcPr>
          <w:p>
            <w:pPr>
              <w:spacing w:after="0"/>
              <w:rPr>
                <w:sz w:val="24"/>
                <w:szCs w:val="24"/>
                <w:color w:val="auto"/>
              </w:rPr>
            </w:pPr>
          </w:p>
        </w:tc>
        <w:tc>
          <w:tcPr>
            <w:tcW w:w="4240" w:type="dxa"/>
            <w:vAlign w:val="bottom"/>
            <w:gridSpan w:val="10"/>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2040" w:type="dxa"/>
            <w:vAlign w:val="bottom"/>
            <w:gridSpan w:val="2"/>
          </w:tcPr>
          <w:p>
            <w:pPr>
              <w:spacing w:after="0"/>
              <w:rPr>
                <w:sz w:val="24"/>
                <w:szCs w:val="24"/>
                <w:color w:val="auto"/>
              </w:rPr>
            </w:pPr>
          </w:p>
        </w:tc>
        <w:tc>
          <w:tcPr>
            <w:tcW w:w="2840" w:type="dxa"/>
            <w:vAlign w:val="bottom"/>
            <w:gridSpan w:val="4"/>
          </w:tcPr>
          <w:p>
            <w:pPr>
              <w:spacing w:after="0"/>
              <w:rPr>
                <w:sz w:val="24"/>
                <w:szCs w:val="24"/>
                <w:color w:val="auto"/>
              </w:rPr>
            </w:pPr>
          </w:p>
        </w:tc>
        <w:tc>
          <w:tcPr>
            <w:tcW w:w="32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4880" w:type="dxa"/>
            <w:vAlign w:val="bottom"/>
            <w:tcBorders>
              <w:left w:val="single" w:sz="8" w:color="0000EE"/>
            </w:tcBorders>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Item 4.</w:t>
              </w:r>
            </w:hyperlink>
          </w:p>
        </w:tc>
        <w:tc>
          <w:tcPr>
            <w:tcW w:w="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4240" w:type="dxa"/>
            <w:vAlign w:val="bottom"/>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880" w:type="dxa"/>
            <w:vAlign w:val="bottom"/>
            <w:gridSpan w:val="6"/>
          </w:tcPr>
          <w:p>
            <w:pPr>
              <w:spacing w:after="0"/>
              <w:rPr>
                <w:sz w:val="24"/>
                <w:szCs w:val="24"/>
                <w:color w:val="auto"/>
              </w:rPr>
            </w:pPr>
          </w:p>
        </w:tc>
        <w:tc>
          <w:tcPr>
            <w:tcW w:w="32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660" w:type="dxa"/>
            <w:vAlign w:val="bottom"/>
            <w:tcBorders>
              <w:bottom w:val="single" w:sz="8" w:color="0000EE"/>
            </w:tcBorders>
            <w:gridSpan w:val="12"/>
          </w:tcPr>
          <w:p>
            <w:pPr>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PART II OTHER INFORMATION</w:t>
              </w:r>
            </w:hyperlink>
          </w:p>
        </w:tc>
        <w:tc>
          <w:tcPr>
            <w:tcW w:w="730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320" w:type="dxa"/>
            <w:vAlign w:val="bottom"/>
            <w:gridSpan w:val="2"/>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32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912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32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32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80" w:type="dxa"/>
            <w:vAlign w:val="bottom"/>
            <w:gridSpan w:val="6"/>
            <w:shd w:val="clear" w:color="auto" w:fill="0000EE"/>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6.</w:t>
              </w:r>
            </w:hyperlink>
          </w:p>
        </w:tc>
        <w:tc>
          <w:tcPr>
            <w:tcW w:w="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4240" w:type="dxa"/>
            <w:vAlign w:val="bottom"/>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4880" w:type="dxa"/>
            <w:vAlign w:val="bottom"/>
            <w:gridSpan w:val="6"/>
          </w:tcPr>
          <w:p>
            <w:pPr>
              <w:spacing w:after="0"/>
              <w:rPr>
                <w:sz w:val="24"/>
                <w:szCs w:val="24"/>
                <w:color w:val="auto"/>
              </w:rPr>
            </w:pPr>
          </w:p>
        </w:tc>
        <w:tc>
          <w:tcPr>
            <w:tcW w:w="32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32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 Index</w:t>
              </w:r>
            </w:hyperlink>
          </w:p>
        </w:tc>
        <w:tc>
          <w:tcPr>
            <w:tcW w:w="32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8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8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21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54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80" w:type="dxa"/>
            <w:vAlign w:val="bottom"/>
          </w:tcPr>
          <w:p>
            <w:pPr>
              <w:jc w:val="right"/>
              <w:ind w:right="179"/>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8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840" w:type="dxa"/>
            <w:vAlign w:val="bottom"/>
          </w:tcPr>
          <w:p>
            <w:pPr>
              <w:spacing w:after="0"/>
              <w:rPr>
                <w:sz w:val="14"/>
                <w:szCs w:val="14"/>
                <w:color w:val="auto"/>
              </w:rPr>
            </w:pPr>
          </w:p>
        </w:tc>
        <w:tc>
          <w:tcPr>
            <w:tcW w:w="20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2009</w:t>
            </w: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129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120"/>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Current assets:</w:t>
            </w: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80" w:type="dxa"/>
            <w:vAlign w:val="bottom"/>
            <w:shd w:val="clear" w:color="auto" w:fill="CCEEFF"/>
          </w:tcPr>
          <w:p>
            <w:pPr>
              <w:jc w:val="right"/>
              <w:ind w:right="163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192,079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20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144,727</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180,786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Accounts receivable, net of allowance for doubtful accounts of</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$1,027 and $1,028 at March 31, 2009 and December 31,</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2008, respectively</w:t>
            </w:r>
          </w:p>
        </w:tc>
        <w:tc>
          <w:tcPr>
            <w:tcW w:w="20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50,576</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75,788</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20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23,786</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22,553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2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7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Litigation settlement escrow</w:t>
            </w:r>
          </w:p>
        </w:tc>
        <w:tc>
          <w:tcPr>
            <w:tcW w:w="20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9,500</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Total current assets</w:t>
            </w:r>
          </w:p>
        </w:tc>
        <w:tc>
          <w:tcPr>
            <w:tcW w:w="2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439,721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416,382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16,533</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w:t>
            </w: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568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Investments</w:t>
            </w:r>
          </w:p>
        </w:tc>
        <w:tc>
          <w:tcPr>
            <w:tcW w:w="20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49,268</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84,965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Other assets</w:t>
            </w:r>
          </w:p>
        </w:tc>
        <w:tc>
          <w:tcPr>
            <w:tcW w:w="2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10,500</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9,182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163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523,101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535,585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Liabilities and stockholders' equity</w:t>
            </w:r>
          </w:p>
        </w:tc>
        <w:tc>
          <w:tcPr>
            <w:tcW w:w="2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vMerge w:val="continue"/>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80" w:type="dxa"/>
            <w:vAlign w:val="bottom"/>
          </w:tcPr>
          <w:p>
            <w:pPr>
              <w:jc w:val="right"/>
              <w:ind w:right="163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6,329</w:t>
            </w:r>
          </w:p>
        </w:tc>
        <w:tc>
          <w:tcPr>
            <w:tcW w:w="180" w:type="dxa"/>
            <w:vAlign w:val="bottom"/>
          </w:tcPr>
          <w:p>
            <w:pPr>
              <w:spacing w:after="0"/>
              <w:rPr>
                <w:sz w:val="18"/>
                <w:szCs w:val="18"/>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9,200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Accrued litigation settlements</w:t>
            </w:r>
          </w:p>
        </w:tc>
        <w:tc>
          <w:tcPr>
            <w:tcW w:w="20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9,600</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9,600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deferred revenue</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2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1,326</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1,301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840" w:type="dxa"/>
            <w:vAlign w:val="bottom"/>
          </w:tcPr>
          <w:p>
            <w:pPr>
              <w:spacing w:after="0"/>
              <w:rPr>
                <w:sz w:val="20"/>
                <w:szCs w:val="20"/>
                <w:color w:val="auto"/>
              </w:rPr>
            </w:pPr>
            <w:r>
              <w:rPr>
                <w:rFonts w:ascii="Arial" w:cs="Arial" w:eastAsia="Arial" w:hAnsi="Arial"/>
                <w:sz w:val="18"/>
                <w:szCs w:val="18"/>
                <w:color w:val="auto"/>
              </w:rPr>
              <w:t>Deferred revenue</w:t>
            </w:r>
          </w:p>
        </w:tc>
        <w:tc>
          <w:tcPr>
            <w:tcW w:w="20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38,017</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37,991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vMerge w:val="restart"/>
          </w:tcPr>
          <w:p>
            <w:pPr>
              <w:ind w:left="380"/>
              <w:spacing w:after="0"/>
              <w:rPr>
                <w:sz w:val="20"/>
                <w:szCs w:val="20"/>
                <w:color w:val="auto"/>
              </w:rPr>
            </w:pPr>
            <w:r>
              <w:rPr>
                <w:rFonts w:ascii="Arial" w:cs="Arial" w:eastAsia="Arial" w:hAnsi="Arial"/>
                <w:sz w:val="18"/>
                <w:szCs w:val="18"/>
                <w:color w:val="auto"/>
              </w:rPr>
              <w:t>Total liabilities</w:t>
            </w:r>
          </w:p>
        </w:tc>
        <w:tc>
          <w:tcPr>
            <w:tcW w:w="2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4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130,358</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129,150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20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840" w:type="dxa"/>
            <w:vAlign w:val="bottom"/>
          </w:tcPr>
          <w:p>
            <w:pPr>
              <w:spacing w:after="0"/>
              <w:rPr>
                <w:sz w:val="20"/>
                <w:szCs w:val="20"/>
                <w:color w:val="auto"/>
              </w:rPr>
            </w:pPr>
            <w:r>
              <w:rPr>
                <w:rFonts w:ascii="Arial" w:cs="Arial" w:eastAsia="Arial" w:hAnsi="Arial"/>
                <w:sz w:val="18"/>
                <w:szCs w:val="18"/>
                <w:color w:val="auto"/>
              </w:rPr>
              <w:t>Stockholders' equity:</w:t>
            </w:r>
          </w:p>
        </w:tc>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Preferred stock, $0.01 par value; 5,000,000 shares authorized,</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none issued and outstanding</w:t>
            </w:r>
          </w:p>
        </w:tc>
        <w:tc>
          <w:tcPr>
            <w:tcW w:w="20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840" w:type="dxa"/>
            <w:vAlign w:val="bottom"/>
          </w:tcPr>
          <w:p>
            <w:pPr>
              <w:ind w:left="120"/>
              <w:spacing w:after="0"/>
              <w:rPr>
                <w:sz w:val="20"/>
                <w:szCs w:val="20"/>
                <w:color w:val="auto"/>
              </w:rPr>
            </w:pPr>
            <w:r>
              <w:rPr>
                <w:rFonts w:ascii="Arial" w:cs="Arial" w:eastAsia="Arial" w:hAnsi="Arial"/>
                <w:sz w:val="18"/>
                <w:szCs w:val="18"/>
                <w:color w:val="auto"/>
              </w:rPr>
              <w:t>Common stock, $0.001 par value; 600,000,000 shares</w:t>
            </w: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00"/>
              <w:spacing w:after="0"/>
              <w:rPr>
                <w:sz w:val="20"/>
                <w:szCs w:val="20"/>
                <w:color w:val="auto"/>
              </w:rPr>
            </w:pPr>
            <w:r>
              <w:rPr>
                <w:rFonts w:ascii="Arial" w:cs="Arial" w:eastAsia="Arial" w:hAnsi="Arial"/>
                <w:sz w:val="18"/>
                <w:szCs w:val="18"/>
                <w:color w:val="auto"/>
                <w:w w:val="99"/>
              </w:rPr>
              <w:t>authorized; 275,806,880 and 275,133,894 shares issued;</w:t>
            </w: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00"/>
              <w:spacing w:after="0"/>
              <w:rPr>
                <w:sz w:val="20"/>
                <w:szCs w:val="20"/>
                <w:color w:val="auto"/>
              </w:rPr>
            </w:pPr>
            <w:r>
              <w:rPr>
                <w:rFonts w:ascii="Arial" w:cs="Arial" w:eastAsia="Arial" w:hAnsi="Arial"/>
                <w:sz w:val="18"/>
                <w:szCs w:val="18"/>
                <w:color w:val="auto"/>
                <w:w w:val="89"/>
              </w:rPr>
              <w:t>273,509,970 and 272,836,984 shares outstanding at March 31,</w:t>
            </w: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300"/>
              <w:spacing w:after="0"/>
              <w:rPr>
                <w:sz w:val="20"/>
                <w:szCs w:val="20"/>
                <w:color w:val="auto"/>
              </w:rPr>
            </w:pPr>
            <w:r>
              <w:rPr>
                <w:rFonts w:ascii="Arial" w:cs="Arial" w:eastAsia="Arial" w:hAnsi="Arial"/>
                <w:sz w:val="18"/>
                <w:szCs w:val="18"/>
                <w:color w:val="auto"/>
              </w:rPr>
              <w:t>2009 and December 31, 2008, respectively</w:t>
            </w:r>
          </w:p>
        </w:tc>
        <w:tc>
          <w:tcPr>
            <w:tcW w:w="2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1,273,376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1,269,790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0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(886,943)</w:t>
            </w:r>
          </w:p>
        </w:tc>
        <w:tc>
          <w:tcPr>
            <w:tcW w:w="760" w:type="dxa"/>
            <w:vAlign w:val="bottom"/>
          </w:tcPr>
          <w:p>
            <w:pPr>
              <w:spacing w:after="0"/>
              <w:rPr>
                <w:sz w:val="18"/>
                <w:szCs w:val="18"/>
                <w:color w:val="auto"/>
              </w:rPr>
            </w:pP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(870,716)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tcPr>
          <w:p>
            <w:pPr>
              <w:ind w:left="120"/>
              <w:spacing w:after="0"/>
              <w:rPr>
                <w:sz w:val="20"/>
                <w:szCs w:val="20"/>
                <w:color w:val="auto"/>
              </w:rPr>
            </w:pPr>
            <w:r>
              <w:rPr>
                <w:rFonts w:ascii="Arial" w:cs="Arial" w:eastAsia="Arial" w:hAnsi="Arial"/>
                <w:sz w:val="18"/>
                <w:szCs w:val="18"/>
                <w:color w:val="auto"/>
              </w:rPr>
              <w:t>Treasury stock, at cost; 2,296,910 common shares</w:t>
            </w:r>
          </w:p>
        </w:tc>
        <w:tc>
          <w:tcPr>
            <w:tcW w:w="20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760" w:type="dxa"/>
            <w:vAlign w:val="bottom"/>
          </w:tcPr>
          <w:p>
            <w:pPr>
              <w:spacing w:after="0"/>
              <w:rPr>
                <w:sz w:val="19"/>
                <w:szCs w:val="19"/>
                <w:color w:val="auto"/>
              </w:rPr>
            </w:pP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392,743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406,435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080" w:type="dxa"/>
            <w:vAlign w:val="bottom"/>
          </w:tcPr>
          <w:p>
            <w:pPr>
              <w:jc w:val="right"/>
              <w:ind w:right="163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523,101</w:t>
            </w:r>
          </w:p>
        </w:tc>
        <w:tc>
          <w:tcPr>
            <w:tcW w:w="180" w:type="dxa"/>
            <w:vAlign w:val="bottom"/>
          </w:tcPr>
          <w:p>
            <w:pPr>
              <w:spacing w:after="0"/>
              <w:rPr>
                <w:sz w:val="18"/>
                <w:szCs w:val="18"/>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535,585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Arial" w:cs="Arial" w:eastAsia="Arial" w:hAnsi="Arial"/>
                <w:sz w:val="18"/>
                <w:szCs w:val="18"/>
                <w:color w:val="auto"/>
              </w:rPr>
              <w:t>Product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19,403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ind w:left="26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73,627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Arial" w:cs="Arial" w:eastAsia="Arial" w:hAnsi="Arial"/>
                <w:sz w:val="18"/>
                <w:szCs w:val="18"/>
                <w:color w:val="auto"/>
              </w:rPr>
              <w:t>Product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5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5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(17,764)</w:t>
            </w: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5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(16,201)</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5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(16,227)</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506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(16,227)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5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6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6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Shares used to compute earnings (loss) per share:</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270,590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273,095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271,222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19"/>
          </w:cols>
          <w:pgMar w:left="240" w:top="131" w:right="1440"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(16,227)</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1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1"/>
              </w:rPr>
              <w:t>Adjustments to reconcile net income (loss) to cash flows provided by (used in) operating</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activities:</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2,502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3,040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8,208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24,885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18,228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(2,615)</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(1,569)</w:t>
            </w:r>
          </w:p>
        </w:tc>
        <w:tc>
          <w:tcPr>
            <w:tcW w:w="0" w:type="dxa"/>
            <w:vAlign w:val="bottom"/>
          </w:tcPr>
          <w:p>
            <w:pPr>
              <w:spacing w:after="0"/>
              <w:rPr>
                <w:sz w:val="1"/>
                <w:szCs w:val="1"/>
                <w:color w:val="auto"/>
              </w:rPr>
            </w:pPr>
          </w:p>
        </w:tc>
      </w:tr>
      <w:tr>
        <w:trPr>
          <w:trHeight w:val="149"/>
        </w:trPr>
        <w:tc>
          <w:tcPr>
            <w:tcW w:w="5120" w:type="dxa"/>
            <w:vAlign w:val="bottom"/>
          </w:tcPr>
          <w:p>
            <w:pPr>
              <w:ind w:left="320"/>
              <w:spacing w:after="0" w:line="149" w:lineRule="exact"/>
              <w:rPr>
                <w:sz w:val="20"/>
                <w:szCs w:val="20"/>
                <w:color w:val="auto"/>
              </w:rPr>
            </w:pPr>
            <w:r>
              <w:rPr>
                <w:rFonts w:ascii="Arial" w:cs="Arial" w:eastAsia="Arial" w:hAnsi="Arial"/>
                <w:sz w:val="14"/>
                <w:szCs w:val="14"/>
                <w:color w:val="auto"/>
              </w:rPr>
              <w:t>Insurance receivable—litigation settlement</w:t>
            </w:r>
          </w:p>
        </w:tc>
        <w:tc>
          <w:tcPr>
            <w:tcW w:w="1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15,328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operating assets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(4,148)</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(3,348)</w:t>
            </w: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(7,384)</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(8,951)</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(17,198)</w:t>
            </w:r>
          </w:p>
        </w:tc>
        <w:tc>
          <w:tcPr>
            <w:tcW w:w="0" w:type="dxa"/>
            <w:vAlign w:val="bottom"/>
          </w:tcPr>
          <w:p>
            <w:pPr>
              <w:spacing w:after="0"/>
              <w:rPr>
                <w:sz w:val="1"/>
                <w:szCs w:val="1"/>
                <w:color w:val="auto"/>
              </w:rPr>
            </w:pPr>
          </w:p>
        </w:tc>
      </w:tr>
      <w:tr>
        <w:trPr>
          <w:trHeight w:val="149"/>
        </w:trPr>
        <w:tc>
          <w:tcPr>
            <w:tcW w:w="5120" w:type="dxa"/>
            <w:vAlign w:val="bottom"/>
          </w:tcPr>
          <w:p>
            <w:pPr>
              <w:ind w:left="320"/>
              <w:spacing w:after="0" w:line="149" w:lineRule="exact"/>
              <w:rPr>
                <w:sz w:val="20"/>
                <w:szCs w:val="20"/>
                <w:color w:val="auto"/>
              </w:rPr>
            </w:pPr>
            <w:r>
              <w:rPr>
                <w:rFonts w:ascii="Arial" w:cs="Arial" w:eastAsia="Arial" w:hAnsi="Arial"/>
                <w:sz w:val="14"/>
                <w:szCs w:val="14"/>
                <w:color w:val="auto"/>
              </w:rPr>
              <w:t>Accrued litigation settlements</w:t>
            </w:r>
          </w:p>
        </w:tc>
        <w:tc>
          <w:tcPr>
            <w:tcW w:w="1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13,712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ind w:left="420"/>
              <w:spacing w:after="0"/>
              <w:rPr>
                <w:sz w:val="20"/>
                <w:szCs w:val="20"/>
                <w:color w:val="auto"/>
              </w:rPr>
            </w:pPr>
            <w:r>
              <w:rPr>
                <w:rFonts w:ascii="Arial" w:cs="Arial" w:eastAsia="Arial" w:hAnsi="Arial"/>
                <w:sz w:val="14"/>
                <w:szCs w:val="14"/>
                <w:color w:val="auto"/>
              </w:rPr>
              <w:t>Net cash provided by (used in) operating activities</w:t>
            </w: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12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8,910</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(10,477)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(770)</w:t>
            </w: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(1,698)</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marketable securities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(11,936)</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(61,319)</w:t>
            </w: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Sale/maturities of marketable securities</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82,895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106,427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(increase) in litigation settlement escrow</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(9,500)</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ind w:left="420"/>
              <w:spacing w:after="0"/>
              <w:rPr>
                <w:sz w:val="20"/>
                <w:szCs w:val="20"/>
                <w:color w:val="auto"/>
              </w:rPr>
            </w:pPr>
            <w:r>
              <w:rPr>
                <w:rFonts w:ascii="Arial" w:cs="Arial" w:eastAsia="Arial" w:hAnsi="Arial"/>
                <w:sz w:val="14"/>
                <w:szCs w:val="14"/>
                <w:color w:val="auto"/>
              </w:rPr>
              <w:t>Net cash provided by investing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1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60,689</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Sale of common stock in connection with employee stock purchase plan</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exercise of stock options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120" w:type="dxa"/>
            <w:vAlign w:val="bottom"/>
          </w:tcPr>
          <w:p>
            <w:pPr>
              <w:ind w:left="100"/>
              <w:spacing w:after="0" w:line="138" w:lineRule="exact"/>
              <w:rPr>
                <w:sz w:val="20"/>
                <w:szCs w:val="20"/>
                <w:color w:val="auto"/>
              </w:rPr>
            </w:pPr>
            <w:r>
              <w:rPr>
                <w:rFonts w:ascii="Arial" w:cs="Arial" w:eastAsia="Arial" w:hAnsi="Arial"/>
                <w:sz w:val="14"/>
                <w:szCs w:val="14"/>
                <w:color w:val="auto"/>
                <w:w w:val="90"/>
              </w:rPr>
              <w:t>Payment of tax withholding obligations related to net share settlements of restricted stock</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120" w:type="dxa"/>
            <w:vAlign w:val="bottom"/>
          </w:tcPr>
          <w:p>
            <w:pPr>
              <w:ind w:left="240"/>
              <w:spacing w:after="0" w:line="159" w:lineRule="exact"/>
              <w:rPr>
                <w:sz w:val="20"/>
                <w:szCs w:val="20"/>
                <w:color w:val="auto"/>
              </w:rPr>
            </w:pPr>
            <w:r>
              <w:rPr>
                <w:rFonts w:ascii="Arial" w:cs="Arial" w:eastAsia="Arial" w:hAnsi="Arial"/>
                <w:sz w:val="14"/>
                <w:szCs w:val="14"/>
                <w:color w:val="auto"/>
              </w:rPr>
              <w:t>awards</w:t>
            </w:r>
          </w:p>
        </w:tc>
        <w:tc>
          <w:tcPr>
            <w:tcW w:w="16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(122)</w:t>
            </w:r>
          </w:p>
        </w:tc>
        <w:tc>
          <w:tcPr>
            <w:tcW w:w="220" w:type="dxa"/>
            <w:vAlign w:val="bottom"/>
          </w:tcPr>
          <w:p>
            <w:pPr>
              <w:spacing w:after="0"/>
              <w:rPr>
                <w:sz w:val="13"/>
                <w:szCs w:val="13"/>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
        </w:trPr>
        <w:tc>
          <w:tcPr>
            <w:tcW w:w="5120" w:type="dxa"/>
            <w:vAlign w:val="bottom"/>
            <w:vMerge w:val="restart"/>
          </w:tcPr>
          <w:p>
            <w:pPr>
              <w:ind w:left="42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1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w:t>
            </w:r>
          </w:p>
        </w:tc>
        <w:tc>
          <w:tcPr>
            <w:tcW w:w="2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2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69,872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60,096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122,207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118,933</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120" w:type="dxa"/>
            <w:vAlign w:val="bottom"/>
            <w:vMerge w:val="continue"/>
          </w:tcPr>
          <w:p>
            <w:pPr>
              <w:spacing w:after="0"/>
              <w:rPr>
                <w:sz w:val="14"/>
                <w:szCs w:val="14"/>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192,079</w:t>
            </w:r>
          </w:p>
        </w:tc>
        <w:tc>
          <w:tcPr>
            <w:tcW w:w="240" w:type="dxa"/>
            <w:vAlign w:val="bottom"/>
          </w:tcPr>
          <w:p>
            <w:pPr>
              <w:spacing w:after="0"/>
              <w:rPr>
                <w:sz w:val="14"/>
                <w:szCs w:val="14"/>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Supplemental disclosure of cash flow information:</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Interest paid</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40" w:type="dxa"/>
            <w:vAlign w:val="bottom"/>
          </w:tcPr>
          <w:p>
            <w:pPr>
              <w:spacing w:after="0"/>
              <w:rPr>
                <w:sz w:val="12"/>
                <w:szCs w:val="12"/>
                <w:color w:val="auto"/>
              </w:rPr>
            </w:pP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taxes paid</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Income tax refunds received</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545</w:t>
            </w:r>
          </w:p>
        </w:tc>
        <w:tc>
          <w:tcPr>
            <w:tcW w:w="240" w:type="dxa"/>
            <w:vAlign w:val="bottom"/>
          </w:tcPr>
          <w:p>
            <w:pPr>
              <w:spacing w:after="0"/>
              <w:rPr>
                <w:sz w:val="12"/>
                <w:szCs w:val="12"/>
                <w:color w:val="auto"/>
              </w:rPr>
            </w:pP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investing activities: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 incurred, but not yet paid</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477</w:t>
            </w:r>
          </w:p>
        </w:tc>
        <w:tc>
          <w:tcPr>
            <w:tcW w:w="240" w:type="dxa"/>
            <w:vAlign w:val="bottom"/>
          </w:tcPr>
          <w:p>
            <w:pPr>
              <w:spacing w:after="0"/>
              <w:rPr>
                <w:sz w:val="12"/>
                <w:szCs w:val="12"/>
                <w:color w:val="auto"/>
              </w:rPr>
            </w:pP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Property and equipment acquired under capital lease</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infrastructure solutions for wireline and wireless service providers. Sonus offers a new generation of carrier-class infrastructure equipment and software that enables voice services to be delivered over Internet Protocol packet-based networks. The Company's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accompanying unaudited condensed consolidated financial statements have been prepared by Sonus pursuant to the rules and regulations of the United States Securities and Exchange Commission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included in Sonus' Annual Report on Form 10-K for the year ended December 31, 2008.</w:t>
      </w:r>
    </w:p>
    <w:p>
      <w:pPr>
        <w:spacing w:after="0" w:line="167"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In the opinion of management, the accompanying unaudited condensed consolidated financial statements have been prepared on the same basis as the audited financial statements, and include all adjustments, consisting only of normal recurring adjustments, necessary for a fair presentation of the results of the interim periods presented. The operating results for the interim periods presented are not necessarily indicative of the results expected for the full fiscal year.</w:t>
      </w:r>
    </w:p>
    <w:p>
      <w:pPr>
        <w:spacing w:after="0" w:line="14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In the third quarter of 2008, the Company committed to a plan to sell its Zynetix Limited ("Zynetix") subsidiary, which the Company had acquired on April 13, 2007. The Company completed the sale of Zynetix on November 26, 2008. The results of operations of Zynetix have been reported as discontinued operations for the three months ended March 31, 2008.</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dates of the financial statements and the reported amounts of revenues and expenses during the reporting periods. Significant estimates and judgments relied upon in preparing these financial statements include revenue recognition for multiple element arrangements, allowances for doubtful accounts, estimated fair value of investments, inventory reserves, expected future cash flows used to evaluate the recoverability of long-lived assets, restructuring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other related charges, contingencies associated with revenue contracts, assumptions used to determine the fair value of stock-based compensation, assumptions used to determine the fair value of intangible assets, contingent liabilities and recoverability of Sonus' net deferred tax assets and related valuation allowance estimate. Sonus regularly assesses these estimates and records changes in estimates in the period in which they become known. Sonus bases its estimates on historical experience and other assumptions that it believes to be reasonable under the circumstances. Actual results could differ from those estimates.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accompanying condensed consolidated financial statements include the accounts of Sonus and its wholly owned subsidiaries. All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replaces SFAS 141. SFAS 141R establishes principles and requirements for how the acquirer recognizes and measures in its financial statements the identifiable assets acquired, the liabilities assumed, and any non-controlling interest in the acquiree and the goodwill acquired. SFAS 141R also establishes disclosure requirements which will enable users to evaluate the nature and financial effects of the business combination. SFAS 141R became effective for the Company on January 1, 2009. The adoption of SFAS 141R will have an impact on accounting for any business combinations consummated after January 1, 2009.</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provides a single definition of fair value, along with a framework for measuring it, and requires additional disclosure about using fair value to measure assets and liabilities. SFAS 157 emphasizes that fair value measurement is market-based, not entity-specific, and establishes a fair value hierarchy in which the highest priority is quoted prices in active markets. Under SFAS 157, fair value measurements are disclosed according to their level within this hierarchy. While SFAS 157 does not add any new fair value measurements, it does change current practice in certain ways, including requiring entities to include their own credit standing when measuring their liabilities. SFAS 157 was effective for us on January 1, 2008. In February 2008, the FASB issued FASB Staff Position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("FSP 157-2"), which delayed the effective date of SFAS 157 for all nonrecurring fair value measurements of nonfinancial assets and nonfinancial liabilities until fiscal years beginning after November 15, 2008. The full adoption of SFAS 157 did not impact the Company's consolidated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Sonus' products are primarily marketed based on the software elements contained therein. In addition, hardware sold generally cannot be used apart from the software. Therefore, Sonus considers its principal products to be software-related. Sonus recognizes revenue from product sales when persuasive evidence of an arrangement exists, delivery has occurred, the sale price is fixed or determinable, and collectibility of the related receivable is probable under customary payment terms.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When Sonus has future obligations, including a requirement to deliver additional elements which are essential to the functionality of the delivered elements or for which vendor-specific objective evidence of fair value ("VSOE") does not exist or when customer acceptance is required, Sonus defers revenue recognition and related costs until those obligations are satisfied. The ordering patterns and sales lead times associated with customer orders may vary significantly from period to period.</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Many of the Company's sales involve complex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revenue for any undelivered elements that are considered not essential to the functionality of the product and for which VSOE has been established is deferred based on the VSOE value, and any remaining arrangement fee is then allocated to, and recognized as, product revenue. VSOE is determined based upon the price charged when the same element is sold separately or established by management having the relevant pricing authority. If Sonus cannot establish VSOE for each undelivered element, including specified upgrades, it defers revenue on the entire arrangement until VSOE for all undelivered elements is known or all elements are delivered and all other revenue recognition criteria are met.</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Revenue from consulting, custom development and other professional services-only engagements is recognized as services are rendered provided all other revenue recognition criteria have been met.</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Sonus records deferred revenue for products delivered or services performed for which collection of the amount billed is either probable or has been collected but other revenue recognition criteria have not been met. Deferred revenue also includes amounts associated with maintenance contracts. Deferred revenue expected to be recognized as revenue more than one year subsequent to the balance sheet date is reported within noncurrent liabilities in the condensed consolidated balance sheets.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Sonus defers recognition of incremental direct costs, such as cost of goods, royalties, commissions and third-party installation costs, until recognition of the related revenue. Such costs are classified as current assets if the deferred revenue is initially classified as current and noncurrent assets if the related deferred revenue is initially classified as noncurrent.</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Sonus sells the majority of its products directly to its service provider customers. For products sold to resellers and distributors, Sonus recognizes revenue on a sell-through basis utilizing information provided to Sonus from its resellers and distributors unless it has at least eight quarters of consistent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history with a reseller, which provides sufficient information regarding potential product returns or refunds, or any other form of concession.</w:t>
      </w:r>
    </w:p>
    <w:p>
      <w:pPr>
        <w:spacing w:after="0" w:line="225"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Beginning in the fourth quarter of fiscal 2008, the Company did not have sufficient evidence of VSOE on maintenance services for one of its largest customers. Therefore, all revenue related to multiple element arrangements for this customer is recognized ratably over the arrangement's remaining maintenance period through the end of 2010. Revenue recognition on multiple element arrangements with this customer will begin when the only undelivered element of the arrangement (that does not have VSOE) is maintenance. At March 31, 2009 and December 31, 2008, Other assets included $1.9 million and $0.4 million, respectively, of deferred product and service costs related to arrangements with this customer in which both the revenue and costs are being recognized ratably.</w:t>
      </w:r>
    </w:p>
    <w:p>
      <w:pPr>
        <w:spacing w:after="0" w:line="15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excludes any taxes assessed by a governmental authority that are directly imposed on a revenue-producing transaction (i.e., sales, use, value added) from its revenue and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Basic earnings (loss) per share is computed by dividing net income (loss) by the weighted average number of shares of common stock outstanding during the period. For periods in which the Company reports net income, diluted net income per share is determined by using the weighted average number of common and dilutive common equivalent shares outstanding during the period unless the effect is antidilutive.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calculation of shares used in computing basic and diluted net earnings (loss) per share is as follows (in thousands):</w:t>
      </w:r>
    </w:p>
    <w:p>
      <w:pPr>
        <w:spacing w:after="0" w:line="208"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5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3960" w:type="dxa"/>
            <w:vAlign w:val="bottom"/>
          </w:tcPr>
          <w:p>
            <w:pPr>
              <w:spacing w:after="0"/>
              <w:rPr>
                <w:sz w:val="14"/>
                <w:szCs w:val="14"/>
                <w:color w:val="auto"/>
              </w:rPr>
            </w:pPr>
          </w:p>
        </w:tc>
        <w:tc>
          <w:tcPr>
            <w:tcW w:w="15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39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273,095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270,590</w:t>
            </w:r>
          </w:p>
        </w:tc>
        <w:tc>
          <w:tcPr>
            <w:tcW w:w="60" w:type="dxa"/>
            <w:vAlign w:val="bottom"/>
            <w:shd w:val="clear" w:color="auto" w:fill="CCEEFF"/>
          </w:tcPr>
          <w:p>
            <w:pPr>
              <w:spacing w:after="0"/>
              <w:rPr>
                <w:sz w:val="18"/>
                <w:szCs w:val="18"/>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60" w:type="dxa"/>
            <w:vAlign w:val="bottom"/>
          </w:tcPr>
          <w:p>
            <w:pPr>
              <w:spacing w:after="0"/>
              <w:rPr>
                <w:sz w:val="19"/>
                <w:szCs w:val="19"/>
                <w:color w:val="auto"/>
              </w:rPr>
            </w:pPr>
          </w:p>
        </w:tc>
      </w:tr>
      <w:tr>
        <w:trPr>
          <w:trHeight w:val="21"/>
        </w:trPr>
        <w:tc>
          <w:tcPr>
            <w:tcW w:w="3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273,095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271,222</w:t>
            </w:r>
          </w:p>
        </w:tc>
        <w:tc>
          <w:tcPr>
            <w:tcW w:w="60" w:type="dxa"/>
            <w:vAlign w:val="bottom"/>
            <w:shd w:val="clear" w:color="auto" w:fill="CCEEFF"/>
          </w:tcPr>
          <w:p>
            <w:pPr>
              <w:spacing w:after="0"/>
              <w:rPr>
                <w:sz w:val="18"/>
                <w:szCs w:val="18"/>
                <w:color w:val="auto"/>
              </w:rPr>
            </w:pPr>
          </w:p>
        </w:tc>
      </w:tr>
      <w:tr>
        <w:trPr>
          <w:trHeight w:val="27"/>
        </w:trPr>
        <w:tc>
          <w:tcPr>
            <w:tcW w:w="39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Options to purchase common stock and unvested shares of restricted stock aggregating approximately 36.5 million have not been included in the computation of diluted net loss per share for the three months ended March 31, 2009, because their effect would have been antidilutive. Options to purchase common stock aggregating approximately 37.3 million have not been included in the computation of diluted net earnings per share for the three months ended March 31, 2008 because the options' exercise prices were greater than the average market price for the common stock and their effect would have been antidilutive.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comprehensive income (loss) for the three months ended March 31, 2009 and 2008 is as follows (in thousands):</w:t>
      </w:r>
    </w:p>
    <w:p>
      <w:pPr>
        <w:spacing w:after="0" w:line="208"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4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1"/>
              </w:rPr>
              <w:t>Three months ended</w:t>
            </w:r>
          </w:p>
        </w:tc>
      </w:tr>
      <w:tr>
        <w:trPr>
          <w:trHeight w:val="161"/>
        </w:trPr>
        <w:tc>
          <w:tcPr>
            <w:tcW w:w="7180" w:type="dxa"/>
            <w:vAlign w:val="bottom"/>
          </w:tcPr>
          <w:p>
            <w:pPr>
              <w:spacing w:after="0"/>
              <w:rPr>
                <w:sz w:val="14"/>
                <w:szCs w:val="14"/>
                <w:color w:val="auto"/>
              </w:rPr>
            </w:pPr>
          </w:p>
        </w:tc>
        <w:tc>
          <w:tcPr>
            <w:tcW w:w="14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7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$(16,227)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w:t>
            </w:r>
          </w:p>
        </w:tc>
      </w:tr>
      <w:tr>
        <w:trPr>
          <w:trHeight w:val="222"/>
        </w:trPr>
        <w:tc>
          <w:tcPr>
            <w:tcW w:w="7180" w:type="dxa"/>
            <w:vAlign w:val="bottom"/>
          </w:tcPr>
          <w:p>
            <w:pPr>
              <w:ind w:left="140"/>
              <w:spacing w:after="0"/>
              <w:rPr>
                <w:sz w:val="20"/>
                <w:szCs w:val="20"/>
                <w:color w:val="auto"/>
              </w:rPr>
            </w:pPr>
            <w:r>
              <w:rPr>
                <w:rFonts w:ascii="Arial" w:cs="Arial" w:eastAsia="Arial" w:hAnsi="Arial"/>
                <w:sz w:val="18"/>
                <w:szCs w:val="18"/>
                <w:color w:val="auto"/>
                <w:w w:val="89"/>
              </w:rPr>
              <w:t>Unrealized loss on marketable debt and equity securities classified as available-for-sale, net of tax</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
        </w:trPr>
        <w:tc>
          <w:tcPr>
            <w:tcW w:w="7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$(17,279)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1,156</w:t>
            </w:r>
          </w:p>
        </w:tc>
      </w:tr>
      <w:tr>
        <w:trPr>
          <w:trHeight w:val="27"/>
        </w:trPr>
        <w:tc>
          <w:tcPr>
            <w:tcW w:w="7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Atreus Systems, Inc.</w:t>
      </w:r>
    </w:p>
    <w:p>
      <w:pPr>
        <w:spacing w:after="0" w:line="225"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On April 18, 2008, the Company completed the acquisition of Atreus Systems, Inc., a privately-held company with its principal office located in Ottawa, Canada (collectively with its subsidiaries, "Atreus"). Atreus is a supplier of service provisioning software for Voice over IP ("VoIP") and IP Multimedia Subsystem ("IMS")-based services. In consideration, the Company paid the selling stockholders $4.7 million and incurred $0.2 million of transaction costs. The Company believes that the addition of Atreus solutions enhances Sonus' service-providing products and associated professional services for operators' growing IP-service portfolios. The operating results of Atreus have been included in the Company's condensed consolidated financial statements for the periods subsequent to its acquisition.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40" w:type="dxa"/>
            <w:vAlign w:val="bottom"/>
            <w:gridSpan w:val="2"/>
          </w:tcPr>
          <w:p>
            <w:pPr>
              <w:jc w:val="right"/>
              <w:ind w:right="3212"/>
              <w:spacing w:after="0"/>
              <w:rPr>
                <w:sz w:val="20"/>
                <w:szCs w:val="20"/>
                <w:color w:val="auto"/>
              </w:rPr>
            </w:pPr>
            <w:r>
              <w:rPr>
                <w:rFonts w:ascii="Arial" w:cs="Arial" w:eastAsia="Arial" w:hAnsi="Arial"/>
                <w:sz w:val="18"/>
                <w:szCs w:val="18"/>
                <w:color w:val="auto"/>
                <w:w w:val="96"/>
              </w:rPr>
              <w:t>A summary of the transaction is as follows (in thousands):</w:t>
            </w:r>
          </w:p>
        </w:tc>
        <w:tc>
          <w:tcPr>
            <w:tcW w:w="6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8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620" w:type="dxa"/>
            <w:vAlign w:val="bottom"/>
            <w:tcBorders>
              <w:right w:val="single" w:sz="8" w:color="CCEEFF"/>
            </w:tcBorders>
            <w:shd w:val="clear" w:color="auto" w:fill="CCEEFF"/>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Cash paid, net of cash acquired of $108</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$ 4,692</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660" w:type="dxa"/>
            <w:vAlign w:val="bottom"/>
            <w:vMerge w:val="restart"/>
          </w:tcPr>
          <w:p>
            <w:pPr>
              <w:ind w:left="26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$ 4,909</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74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80" w:type="dxa"/>
            <w:vAlign w:val="bottom"/>
          </w:tcPr>
          <w:p>
            <w:pPr>
              <w:spacing w:after="0"/>
              <w:rPr>
                <w:sz w:val="24"/>
                <w:szCs w:val="24"/>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Allocation of the purchase consideration:</w:t>
            </w:r>
          </w:p>
        </w:tc>
        <w:tc>
          <w:tcPr>
            <w:tcW w:w="620" w:type="dxa"/>
            <w:vAlign w:val="bottom"/>
            <w:tcBorders>
              <w:right w:val="single" w:sz="8" w:color="CCEEFF"/>
            </w:tcBorders>
            <w:shd w:val="clear" w:color="auto" w:fill="CCEEFF"/>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$ 3,420</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Identifiable intangible assets:</w:t>
            </w:r>
          </w:p>
        </w:tc>
        <w:tc>
          <w:tcPr>
            <w:tcW w:w="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Developed technology</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Order backlog</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620" w:type="dxa"/>
            <w:vAlign w:val="bottom"/>
          </w:tcPr>
          <w:p>
            <w:pPr>
              <w:jc w:val="right"/>
              <w:spacing w:after="0"/>
              <w:rPr>
                <w:sz w:val="20"/>
                <w:szCs w:val="20"/>
                <w:color w:val="auto"/>
              </w:rPr>
            </w:pPr>
            <w:r>
              <w:rPr>
                <w:rFonts w:ascii="Arial" w:cs="Arial" w:eastAsia="Arial" w:hAnsi="Arial"/>
                <w:sz w:val="18"/>
                <w:szCs w:val="18"/>
                <w:color w:val="auto"/>
              </w:rPr>
              <w:t>278</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$ 4,909</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740" w:type="dxa"/>
            <w:vAlign w:val="bottom"/>
            <w:gridSpan w:val="2"/>
            <w:vMerge w:val="restart"/>
          </w:tcPr>
          <w:p>
            <w:pPr>
              <w:jc w:val="right"/>
              <w:ind w:right="1892"/>
              <w:spacing w:after="0"/>
              <w:rPr>
                <w:sz w:val="20"/>
                <w:szCs w:val="20"/>
                <w:color w:val="auto"/>
              </w:rPr>
            </w:pPr>
            <w:r>
              <w:rPr>
                <w:rFonts w:ascii="Arial" w:cs="Arial" w:eastAsia="Arial" w:hAnsi="Arial"/>
                <w:sz w:val="18"/>
                <w:szCs w:val="18"/>
                <w:color w:val="auto"/>
              </w:rPr>
              <w:t>8</w:t>
            </w:r>
          </w:p>
        </w:tc>
        <w:tc>
          <w:tcPr>
            <w:tcW w:w="62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7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80" w:type="dxa"/>
            <w:vAlign w:val="bottom"/>
            <w:tcBorders>
              <w:bottom w:val="single" w:sz="8" w:color="808080"/>
            </w:tcBorders>
          </w:tcPr>
          <w:p>
            <w:pPr>
              <w:spacing w:after="0"/>
              <w:rPr>
                <w:sz w:val="19"/>
                <w:szCs w:val="19"/>
                <w:color w:val="auto"/>
              </w:rPr>
            </w:pPr>
          </w:p>
        </w:tc>
        <w:tc>
          <w:tcPr>
            <w:tcW w:w="46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ACQUISITIONS (Continued)</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Current assets acquired primarily consist of accounts receivable. Other assets acquired primarily consist of noncurrent unbilled accounts receivable. Current liabilities assumed primarily consist of accrued expenses, accounts payable and deferred revenue. Current liabilities assumed included $0.7 million for employee severance costs, of which approximately $28,000 remained unpaid at March 31, 2009. The Company expects the remaining amounts to be paid by the second quarter of fiscal 2009.</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The amounts assigned to identifiable intangible assets acquired were based on their respective fair values determined as of the acquisition date. The Company is amortizing these identifiable intangible assets using the straight-line method over their respective useful lives, which range from one to five years (see Note 9). The excess of the purchase price over net assets acquired was recorded as goodwill. In accordance with SFAS No. 142,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("SFAS 142"), the goodwill will not be amortized, but will instead be tested for impairment at least annually. The goodwill is not deductible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purposes. Pro forma results of operations are not presented as the amounts are not material to the Company's historical results.</w:t>
      </w:r>
    </w:p>
    <w:p>
      <w:pPr>
        <w:spacing w:after="0" w:line="170"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In the fourth quarter of fiscal 2008, the Company performed a review of the intangible assets that were acquired with this acquisition and recorded impairment charges aggregating $2.7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DISCONTINUED OPERATIONS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the third quarter of 2008, the Company committed to a plan to sell its Zynetix subsidiary. The Company completed the sale of Zynetix on November 26, 2008. The results of operations of Zynetix for the three months ended March 31, 2008 have been classified within discontinued operations and include the following (in thousands):</w:t>
      </w:r>
    </w:p>
    <w:p>
      <w:pPr>
        <w:spacing w:after="0" w:line="203"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7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$(482)</w:t>
            </w: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vMerge w:val="restart"/>
          </w:tcPr>
          <w:p>
            <w:pPr>
              <w:spacing w:after="0"/>
              <w:rPr>
                <w:sz w:val="20"/>
                <w:szCs w:val="20"/>
                <w:color w:val="auto"/>
              </w:rPr>
            </w:pPr>
            <w:r>
              <w:rPr>
                <w:rFonts w:ascii="Arial" w:cs="Arial" w:eastAsia="Arial" w:hAnsi="Arial"/>
                <w:sz w:val="18"/>
                <w:szCs w:val="18"/>
                <w:color w:val="auto"/>
              </w:rPr>
              <w:t>Loss from discontinued operations, net of tax</w:t>
            </w:r>
          </w:p>
        </w:tc>
        <w:tc>
          <w:tcPr>
            <w:tcW w:w="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 MARKETABLE SECURITIES AND LONG-TERM INVESTMENTS</w:t>
      </w:r>
    </w:p>
    <w:p>
      <w:pPr>
        <w:spacing w:after="0" w:line="23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credit instruments.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 MARKETABLE SECURITIES AND LONG-TERM INVESTMENTS (Continued)</w:t>
      </w:r>
    </w:p>
    <w:p>
      <w:pPr>
        <w:spacing w:after="0" w:line="231"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At March 31, 2009 and December 31, 2008, the amortized cost, gross unrealized gains and losses and fair value of the Company's marketable debt and equity securities and investments were comprised of the following (in thousands):</w:t>
      </w:r>
    </w:p>
    <w:p>
      <w:pPr>
        <w:spacing w:after="0" w:line="236"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2"/>
              </w:rPr>
              <w:t>March 31, 2009</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Amortized</w:t>
            </w: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4"/>
          </w:tcPr>
          <w:p>
            <w:pPr>
              <w:jc w:val="right"/>
              <w:ind w:right="220"/>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58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163,448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Debt securities available-for-sale: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63,803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63,902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144,303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i w:val="1"/>
                <w:iCs w:val="1"/>
                <w:color w:val="auto"/>
              </w:rPr>
              <w:t>Investments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available-for-sale: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38,541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48,986</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85"/>
              </w:rPr>
              <w:t>December 31, 2008</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Amortized</w:t>
            </w: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4"/>
          </w:tcPr>
          <w:p>
            <w:pPr>
              <w:jc w:val="right"/>
              <w:ind w:right="220"/>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value</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104,953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104,955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gridSpan w:val="2"/>
            <w:vMerge w:val="restart"/>
          </w:tcPr>
          <w:p>
            <w:pPr>
              <w:ind w:left="2240"/>
              <w:spacing w:after="0"/>
              <w:rPr>
                <w:sz w:val="20"/>
                <w:szCs w:val="20"/>
                <w:color w:val="auto"/>
              </w:rPr>
            </w:pPr>
            <w:r>
              <w:rPr>
                <w:rFonts w:ascii="Arial" w:cs="Arial" w:eastAsia="Arial" w:hAnsi="Arial"/>
                <w:sz w:val="18"/>
                <w:szCs w:val="18"/>
                <w:i w:val="1"/>
                <w:iCs w:val="1"/>
                <w:color w:val="auto"/>
              </w:rPr>
              <w:t>Marketable securities</w:t>
            </w:r>
          </w:p>
        </w:tc>
        <w:tc>
          <w:tcPr>
            <w:tcW w:w="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2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4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Debt securities available-for-sale: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obligations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85,851</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24,416</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68,834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69,028</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179,829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180,786</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gridSpan w:val="2"/>
            <w:vMerge w:val="restart"/>
          </w:tcPr>
          <w:p>
            <w:pPr>
              <w:ind w:left="2240"/>
              <w:spacing w:after="0"/>
              <w:rPr>
                <w:sz w:val="20"/>
                <w:szCs w:val="20"/>
                <w:color w:val="auto"/>
              </w:rPr>
            </w:pPr>
            <w:r>
              <w:rPr>
                <w:rFonts w:ascii="Arial" w:cs="Arial" w:eastAsia="Arial" w:hAnsi="Arial"/>
                <w:sz w:val="18"/>
                <w:szCs w:val="18"/>
                <w:i w:val="1"/>
                <w:iCs w:val="1"/>
                <w:color w:val="auto"/>
              </w:rPr>
              <w:t>Investments</w:t>
            </w:r>
          </w:p>
        </w:tc>
        <w:tc>
          <w:tcPr>
            <w:tcW w:w="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2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4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available-for-sale: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54,775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55,360</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84,422</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(167)</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4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 MARKETABLE SECURITIES AND LONG-TERM INVESTMENTS (Continued)</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following table shows the fair value of the Company's financial assets that are carried at fair value at March 31, 2009 and December 31, 2008, comprised of the Company's available-for-sale debt and equity securities, and are reported under the captions Cash and cash equivalents, Marketable securities and Investments in the condensed consolidated balance sheet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7"/>
          </w:tcPr>
          <w:p>
            <w:pPr>
              <w:jc w:val="center"/>
              <w:ind w:right="4"/>
              <w:spacing w:after="0"/>
              <w:rPr>
                <w:sz w:val="20"/>
                <w:szCs w:val="20"/>
                <w:color w:val="auto"/>
              </w:rPr>
            </w:pPr>
            <w:r>
              <w:rPr>
                <w:rFonts w:ascii="Arial" w:cs="Arial" w:eastAsia="Arial" w:hAnsi="Arial"/>
                <w:sz w:val="14"/>
                <w:szCs w:val="14"/>
                <w:b w:val="1"/>
                <w:bCs w:val="1"/>
                <w:color w:val="auto"/>
                <w:w w:val="86"/>
              </w:rPr>
              <w:t>Fair value measurements at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March 31, 2009 using:</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020" w:type="dxa"/>
            <w:vAlign w:val="bottom"/>
            <w:gridSpan w:val="3"/>
          </w:tcPr>
          <w:p>
            <w:pPr>
              <w:jc w:val="center"/>
              <w:ind w:left="97"/>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value at</w:t>
            </w:r>
          </w:p>
        </w:tc>
        <w:tc>
          <w:tcPr>
            <w:tcW w:w="2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2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2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markets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inputs</w:t>
            </w:r>
          </w:p>
        </w:tc>
        <w:tc>
          <w:tcPr>
            <w:tcW w:w="20" w:type="dxa"/>
            <w:vAlign w:val="bottom"/>
          </w:tcPr>
          <w:p>
            <w:pPr>
              <w:spacing w:after="0"/>
              <w:rPr>
                <w:sz w:val="12"/>
                <w:szCs w:val="12"/>
                <w:color w:val="auto"/>
              </w:rPr>
            </w:pPr>
          </w:p>
        </w:tc>
        <w:tc>
          <w:tcPr>
            <w:tcW w:w="58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$ 163,448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$ 163,448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220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Municipal obligations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agency notes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37,416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$ 144,727</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37,444</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38,843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38,843</w:t>
            </w:r>
          </w:p>
        </w:tc>
        <w:tc>
          <w:tcPr>
            <w:tcW w:w="18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49,268</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10,425</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7"/>
          </w:tcPr>
          <w:p>
            <w:pPr>
              <w:jc w:val="center"/>
              <w:ind w:right="4"/>
              <w:spacing w:after="0"/>
              <w:rPr>
                <w:sz w:val="20"/>
                <w:szCs w:val="20"/>
                <w:color w:val="auto"/>
              </w:rPr>
            </w:pPr>
            <w:r>
              <w:rPr>
                <w:rFonts w:ascii="Arial" w:cs="Arial" w:eastAsia="Arial" w:hAnsi="Arial"/>
                <w:sz w:val="14"/>
                <w:szCs w:val="14"/>
                <w:b w:val="1"/>
                <w:bCs w:val="1"/>
                <w:color w:val="auto"/>
                <w:w w:val="86"/>
              </w:rPr>
              <w:t>Fair value measurements at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ind w:right="4"/>
              <w:spacing w:after="0"/>
              <w:rPr>
                <w:sz w:val="20"/>
                <w:szCs w:val="20"/>
                <w:color w:val="auto"/>
              </w:rPr>
            </w:pPr>
            <w:r>
              <w:rPr>
                <w:rFonts w:ascii="Arial" w:cs="Arial" w:eastAsia="Arial" w:hAnsi="Arial"/>
                <w:sz w:val="14"/>
                <w:szCs w:val="14"/>
                <w:b w:val="1"/>
                <w:bCs w:val="1"/>
                <w:color w:val="auto"/>
                <w:w w:val="86"/>
              </w:rPr>
              <w:t>December 31, 2008 using:</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020" w:type="dxa"/>
            <w:vAlign w:val="bottom"/>
            <w:gridSpan w:val="3"/>
          </w:tcPr>
          <w:p>
            <w:pPr>
              <w:jc w:val="center"/>
              <w:ind w:left="97"/>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value at</w:t>
            </w:r>
          </w:p>
        </w:tc>
        <w:tc>
          <w:tcPr>
            <w:tcW w:w="2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2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2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markets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inputs</w:t>
            </w:r>
          </w:p>
        </w:tc>
        <w:tc>
          <w:tcPr>
            <w:tcW w:w="20" w:type="dxa"/>
            <w:vAlign w:val="bottom"/>
          </w:tcPr>
          <w:p>
            <w:pPr>
              <w:spacing w:after="0"/>
              <w:rPr>
                <w:sz w:val="12"/>
                <w:szCs w:val="12"/>
                <w:color w:val="auto"/>
              </w:rPr>
            </w:pPr>
          </w:p>
        </w:tc>
        <w:tc>
          <w:tcPr>
            <w:tcW w:w="58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$ 104,955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90,965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220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Municipal obligations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agency notes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24,416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$ 180,786</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24,461</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55,360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55,360</w:t>
            </w:r>
          </w:p>
        </w:tc>
        <w:tc>
          <w:tcPr>
            <w:tcW w:w="18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29,605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29,605</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ind w:right="96"/>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3820" w:type="dxa"/>
            <w:vAlign w:val="bottom"/>
          </w:tcPr>
          <w:p>
            <w:pPr>
              <w:ind w:left="242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(8) INVENTORY</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Inventory consists of the following (in thousands):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84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On-hand final assemblies and finished goods</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14,697</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13,100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Deferred product costs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Evaluation inventory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820" w:type="dxa"/>
            <w:vAlign w:val="bottom"/>
            <w:vMerge w:val="restart"/>
          </w:tcPr>
          <w:p>
            <w:pPr>
              <w:ind w:left="140"/>
              <w:spacing w:after="0"/>
              <w:rPr>
                <w:sz w:val="20"/>
                <w:szCs w:val="20"/>
                <w:color w:val="auto"/>
              </w:rPr>
            </w:pPr>
            <w:r>
              <w:rPr>
                <w:rFonts w:ascii="Arial" w:cs="Arial" w:eastAsia="Arial" w:hAnsi="Arial"/>
                <w:sz w:val="18"/>
                <w:szCs w:val="18"/>
                <w:color w:val="auto"/>
              </w:rPr>
              <w:t>Inventory, gross</w:t>
            </w: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Evaluation reserve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Excess and obsolescence reserve</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net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(23,786)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(22,553)</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(included in Other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March 31, 2009 and December 31, 2008 consist of the following (in thousands):</w:t>
      </w:r>
    </w:p>
    <w:p>
      <w:pPr>
        <w:spacing w:after="0" w:line="208" w:lineRule="exact"/>
        <w:rPr>
          <w:sz w:val="20"/>
          <w:szCs w:val="20"/>
          <w:color w:val="auto"/>
        </w:rPr>
      </w:pPr>
    </w:p>
    <w:tbl>
      <w:tblPr>
        <w:tblLayout w:type="fixed"/>
        <w:tblInd w:w="2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Accumulated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March 31, 2009</w:t>
            </w:r>
          </w:p>
        </w:tc>
        <w:tc>
          <w:tcPr>
            <w:tcW w:w="6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6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40" w:type="dxa"/>
            <w:vAlign w:val="bottom"/>
            <w:tcBorders>
              <w:left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6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1,240</w:t>
            </w:r>
          </w:p>
        </w:tc>
        <w:tc>
          <w:tcPr>
            <w:tcW w:w="540" w:type="dxa"/>
            <w:vAlign w:val="bottom"/>
            <w:tcBorders>
              <w:left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Accumulated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carrying</w:t>
            </w:r>
          </w:p>
        </w:tc>
        <w:tc>
          <w:tcPr>
            <w:tcW w:w="0" w:type="dxa"/>
            <w:vAlign w:val="bottom"/>
          </w:tcPr>
          <w:p>
            <w:pPr>
              <w:spacing w:after="0"/>
              <w:rPr>
                <w:sz w:val="1"/>
                <w:szCs w:val="1"/>
                <w:color w:val="auto"/>
              </w:rPr>
            </w:pPr>
          </w:p>
        </w:tc>
      </w:tr>
      <w:tr>
        <w:trPr>
          <w:trHeight w:val="161"/>
        </w:trPr>
        <w:tc>
          <w:tcPr>
            <w:tcW w:w="204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2008</w:t>
            </w:r>
          </w:p>
        </w:tc>
        <w:tc>
          <w:tcPr>
            <w:tcW w:w="6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40" w:type="dxa"/>
            <w:vAlign w:val="bottom"/>
            <w:tcBorders>
              <w:left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1280" w:type="dxa"/>
            <w:vAlign w:val="bottom"/>
            <w:gridSpan w:val="2"/>
          </w:tcPr>
          <w:p>
            <w:pPr>
              <w:ind w:left="60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1,246</w:t>
            </w:r>
          </w:p>
        </w:tc>
        <w:tc>
          <w:tcPr>
            <w:tcW w:w="540" w:type="dxa"/>
            <w:vAlign w:val="bottom"/>
            <w:tcBorders>
              <w:left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amortizes its intangible assets over the estimated useful lives of the respective assets, which have a weighted average useful life of 3.8 years.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was $0.1 million in both three month periods ended March 31, 2009 and 2008.</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AND GOODWILL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March 31, 2009 is as follows (in thousands):</w:t>
      </w:r>
    </w:p>
    <w:p>
      <w:pPr>
        <w:spacing w:after="0" w:line="234" w:lineRule="exact"/>
        <w:rPr>
          <w:sz w:val="20"/>
          <w:szCs w:val="20"/>
          <w:color w:val="auto"/>
        </w:rPr>
      </w:pPr>
    </w:p>
    <w:tbl>
      <w:tblPr>
        <w:tblLayout w:type="fixed"/>
        <w:tblInd w:w="364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2010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2012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r>
      <w:tr>
        <w:trPr>
          <w:trHeight w:val="21"/>
        </w:trPr>
        <w:tc>
          <w:tcPr>
            <w:tcW w:w="2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18"/>
                <w:szCs w:val="18"/>
                <w:color w:val="auto"/>
              </w:rPr>
            </w:pPr>
          </w:p>
        </w:tc>
      </w:tr>
      <w:tr>
        <w:trPr>
          <w:trHeight w:val="27"/>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The change in the carrying amount of goodwill during the three months ended March 31, 2009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2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6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w w:val="93"/>
              </w:rPr>
              <w:t>Foreign currency translation adjustment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12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6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0" w:type="dxa"/>
            <w:vAlign w:val="bottom"/>
            <w:gridSpan w:val="3"/>
            <w:vMerge w:val="restart"/>
          </w:tcPr>
          <w:p>
            <w:pPr>
              <w:jc w:val="right"/>
              <w:ind w:right="4332"/>
              <w:spacing w:after="0"/>
              <w:rPr>
                <w:sz w:val="20"/>
                <w:szCs w:val="20"/>
                <w:color w:val="auto"/>
              </w:rPr>
            </w:pPr>
            <w:r>
              <w:rPr>
                <w:rFonts w:ascii="Arial" w:cs="Arial" w:eastAsia="Arial" w:hAnsi="Arial"/>
                <w:sz w:val="18"/>
                <w:szCs w:val="18"/>
                <w:b w:val="1"/>
                <w:bCs w:val="1"/>
                <w:color w:val="auto"/>
                <w:w w:val="94"/>
              </w:rPr>
              <w:t>(10) ACCRUED EXPENSES</w:t>
            </w: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3"/>
          </w:tcPr>
          <w:p>
            <w:pPr>
              <w:jc w:val="right"/>
              <w:ind w:right="2092"/>
              <w:spacing w:after="0"/>
              <w:rPr>
                <w:sz w:val="20"/>
                <w:szCs w:val="20"/>
                <w:color w:val="auto"/>
              </w:rPr>
            </w:pPr>
            <w:r>
              <w:rPr>
                <w:rFonts w:ascii="Arial" w:cs="Arial" w:eastAsia="Arial" w:hAnsi="Arial"/>
                <w:sz w:val="18"/>
                <w:szCs w:val="18"/>
                <w:color w:val="auto"/>
                <w:w w:val="96"/>
              </w:rPr>
              <w:t>Accrued expenses consist of the following (in thousands):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0" w:type="dxa"/>
            <w:vAlign w:val="bottom"/>
            <w:gridSpan w:val="3"/>
          </w:tcPr>
          <w:p>
            <w:pPr>
              <w:jc w:val="center"/>
              <w:ind w:left="94"/>
              <w:spacing w:after="0"/>
              <w:rPr>
                <w:sz w:val="20"/>
                <w:szCs w:val="20"/>
                <w:color w:val="auto"/>
              </w:rPr>
            </w:pPr>
            <w:r>
              <w:rPr>
                <w:rFonts w:ascii="Arial" w:cs="Arial" w:eastAsia="Arial" w:hAnsi="Arial"/>
                <w:sz w:val="14"/>
                <w:szCs w:val="14"/>
                <w:b w:val="1"/>
                <w:bCs w:val="1"/>
                <w:color w:val="auto"/>
                <w:w w:val="89"/>
              </w:rPr>
              <w:t>March 31,</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89"/>
              </w:rPr>
              <w:t>2008</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$ 9,137</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13,190</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Employee stock purchase plan</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1,229</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1,853</w:t>
            </w: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1,809</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1,558</w:t>
            </w: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Sales taxes payable</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2,715</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taxes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567</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3,835</w:t>
            </w: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4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$19,356</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28,231</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0" w:type="dxa"/>
            <w:vAlign w:val="bottom"/>
            <w:gridSpan w:val="3"/>
            <w:vMerge w:val="restart"/>
          </w:tcPr>
          <w:p>
            <w:pPr>
              <w:jc w:val="right"/>
              <w:ind w:right="712"/>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 ACCRUAL</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the three months ended March 31, 2009, the Company recorded restructuring expenses aggregating $2.0 million related to two headcount initiatives implemented as part of the Company's efforts to right-size the business to align with market opportunities while managing costs to position Sonus for profitable growth. The Company recorded $0.9 million of severance and related expenses for its January 9, 2009 restructuring initiative, which reduced the Company's workforce by approximately 40 people, or 4% of employees worldwide. The Company recorded $1.1 million of severance and related expenses for its March 10, 2009 restructuring initiative, which further reduced the Company's workforce by approximately 60 people, or 6% of employees worldwide.</w:t>
      </w:r>
    </w:p>
    <w:p>
      <w:pPr>
        <w:spacing w:after="0" w:line="170"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the fourth quarter of fiscal 2008, the Company recorded $0.7 million of restructuring expense for a headcount reduction initiative which reduced the Company's worldwide workforce by approximately 50 employees, or 5% of the then-current workforce.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expects the payments related to these initiatives to be completed in the second quarter of fiscal 2009.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these initiatives during the three months ended March 31, 2009 is as follows (in thousands):</w:t>
      </w:r>
    </w:p>
    <w:p>
      <w:pPr>
        <w:spacing w:after="0" w:line="208"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New</w:t>
            </w: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Charges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initiatives</w:t>
            </w: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(reversals)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Balance</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charged</w:t>
            </w:r>
          </w:p>
        </w:tc>
        <w:tc>
          <w:tcPr>
            <w:tcW w:w="160" w:type="dxa"/>
            <w:vAlign w:val="bottom"/>
          </w:tcPr>
          <w:p>
            <w:pPr>
              <w:spacing w:after="0"/>
              <w:rPr>
                <w:sz w:val="12"/>
                <w:szCs w:val="12"/>
                <w:color w:val="auto"/>
              </w:rPr>
            </w:pPr>
          </w:p>
        </w:tc>
        <w:tc>
          <w:tcPr>
            <w:tcW w:w="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for</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Balance</w:t>
            </w:r>
          </w:p>
        </w:tc>
      </w:tr>
      <w:tr>
        <w:trPr>
          <w:trHeight w:val="149"/>
        </w:trPr>
        <w:tc>
          <w:tcPr>
            <w:tcW w:w="23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January 1,</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w:t>
            </w:r>
          </w:p>
        </w:tc>
        <w:tc>
          <w:tcPr>
            <w:tcW w:w="8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changes</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Cash</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Foreign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23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expense</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 estimate</w:t>
            </w:r>
          </w:p>
        </w:tc>
        <w:tc>
          <w:tcPr>
            <w:tcW w:w="200" w:type="dxa"/>
            <w:vAlign w:val="bottom"/>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payments</w:t>
            </w:r>
          </w:p>
        </w:tc>
        <w:tc>
          <w:tcPr>
            <w:tcW w:w="20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exchange</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0" w:type="dxa"/>
            <w:vAlign w:val="bottom"/>
          </w:tcPr>
          <w:p>
            <w:pPr>
              <w:spacing w:after="0"/>
              <w:rPr>
                <w:sz w:val="14"/>
                <w:szCs w:val="14"/>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567</w:t>
            </w: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$ 2,014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(1,819)</w:t>
            </w:r>
          </w:p>
        </w:tc>
        <w:tc>
          <w:tcPr>
            <w:tcW w:w="300" w:type="dxa"/>
            <w:vAlign w:val="bottom"/>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736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issues options to purchase its common stock and restricted shares of common stock pursuant to the 2007 Stock Incentive Plan (the "2007 Stock Plan"). The 2007 Stock Plan provides for the award of stock options and restricted stock to employees, officers, directors (including those directors who are not employees or officers of the Company), consultants and advisors of the Company and its subsidiaries.</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accordance with his employment agreement, on January 15, 2009, the Company's President and Chief Executive Officer ("Dr. Nottenburg") was granted an option to purchase 500,000 shares of the Company's common stock at an exercise price per share of $1.28, the closing price of the Company's common stock on that date. Dr. Nottenburg had been appointed to his position effective June 13, 2008 (the "Commencement Date"). Twenty-five percent of the shares subject to the option will vest on the first anniversary of the Commencement Date and the remaining 75% will vest in equal monthly increments thereafter through the fourth anniversary of the Commencement Date. On January 15, 2009, Dr. Nottenburg was also issued 500,000 shares of restricted stock, of which 25% will vest on the first anniversary of the Commencement Date and the remaining 75% in equal increments semi-annually thereafter through the fourth anniversary of the Commencement Date. Because the terms of the award of these shares of restricted stock met the criteria for a grant on June 16, 2008, the Company estimated that the fair value of the shares was $4.75 per share and commenced recognition of expense for these shares on that date. This grant is included in the restricted stock award activity in fiscal 2008. The vesting of these awards is subject to Dr. Nottenburg's continued employment with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condensed consolidated statements of operations for continuing operations include stock-based compensation for the three months ended March 31, 2009 and 2008 as follows (in thousands):</w:t>
      </w:r>
    </w:p>
    <w:p>
      <w:pPr>
        <w:spacing w:after="0" w:line="169" w:lineRule="exact"/>
        <w:rPr>
          <w:sz w:val="20"/>
          <w:szCs w:val="20"/>
          <w:color w:val="auto"/>
        </w:rPr>
      </w:pPr>
    </w:p>
    <w:tbl>
      <w:tblPr>
        <w:tblLayout w:type="fixed"/>
        <w:tblInd w:w="30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2"/>
                <w:szCs w:val="12"/>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1,148</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3,663</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1,876</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1,292</w:t>
            </w:r>
          </w:p>
        </w:tc>
        <w:tc>
          <w:tcPr>
            <w:tcW w:w="60" w:type="dxa"/>
            <w:vAlign w:val="bottom"/>
            <w:shd w:val="clear" w:color="auto" w:fill="CCEEFF"/>
          </w:tcPr>
          <w:p>
            <w:pPr>
              <w:spacing w:after="0"/>
              <w:rPr>
                <w:sz w:val="18"/>
                <w:szCs w:val="18"/>
                <w:color w:val="auto"/>
              </w:rPr>
            </w:pPr>
          </w:p>
        </w:tc>
      </w:tr>
      <w:tr>
        <w:trPr>
          <w:trHeight w:val="27"/>
        </w:trPr>
        <w:tc>
          <w:tcPr>
            <w:tcW w:w="3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3,040</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8,165</w:t>
            </w:r>
          </w:p>
        </w:tc>
        <w:tc>
          <w:tcPr>
            <w:tcW w:w="60" w:type="dxa"/>
            <w:vAlign w:val="bottom"/>
          </w:tcPr>
          <w:p>
            <w:pPr>
              <w:spacing w:after="0"/>
              <w:rPr>
                <w:sz w:val="18"/>
                <w:szCs w:val="18"/>
                <w:color w:val="auto"/>
              </w:rPr>
            </w:pPr>
          </w:p>
        </w:tc>
      </w:tr>
      <w:tr>
        <w:trPr>
          <w:trHeight w:val="21"/>
        </w:trPr>
        <w:tc>
          <w:tcPr>
            <w:tcW w:w="3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included $0.1 million and $0.2 million of stock-based compensation in inventory at March 31, 2009 and December 31, 2008, respectively.</w:t>
      </w:r>
    </w:p>
    <w:p>
      <w:pPr>
        <w:spacing w:after="0" w:line="248"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income tax benefit for employee stock-based compensation expense was $3.8 million for the three months ended March 31, 2008. There was no income tax benefit for employee stock-based compensation expense for the three months ended March 31, 2009 due to the valuation allowance recorded.</w:t>
      </w:r>
    </w:p>
    <w:p>
      <w:pPr>
        <w:spacing w:after="0" w:line="139"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At March 31, 2009, there was $40.7 million, net of expected forfeitures, of unrecognized stock-based compensation expense related to unvested stock option and restricted stock awards, which is expected to be recognized over a weighted average period of approximately three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grant-date fair values of options to purchase common stock granted in the three months ended March 31, 2009 and 2008, excluding the options granted to Dr. Nottenburg on January 15, 2009 as described above, were estimated using the Black-Scholes valuation model with the following assumptions: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4"/>
              </w:rPr>
              <w:t>Three months ended</w:t>
            </w:r>
          </w:p>
        </w:tc>
        <w:tc>
          <w:tcPr>
            <w:tcW w:w="3060" w:type="dxa"/>
            <w:vAlign w:val="bottom"/>
          </w:tcPr>
          <w:p>
            <w:pPr>
              <w:spacing w:after="0"/>
              <w:rPr>
                <w:sz w:val="14"/>
                <w:szCs w:val="14"/>
                <w:color w:val="auto"/>
              </w:rPr>
            </w:pPr>
          </w:p>
        </w:tc>
      </w:tr>
      <w:tr>
        <w:trPr>
          <w:trHeight w:val="161"/>
        </w:trPr>
        <w:tc>
          <w:tcPr>
            <w:tcW w:w="3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3060" w:type="dxa"/>
            <w:vAlign w:val="bottom"/>
          </w:tcPr>
          <w:p>
            <w:pPr>
              <w:spacing w:after="0"/>
              <w:rPr>
                <w:sz w:val="14"/>
                <w:szCs w:val="14"/>
                <w:color w:val="auto"/>
              </w:rPr>
            </w:pPr>
          </w:p>
        </w:tc>
      </w:tr>
      <w:tr>
        <w:trPr>
          <w:trHeight w:val="142"/>
        </w:trPr>
        <w:tc>
          <w:tcPr>
            <w:tcW w:w="30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3060" w:type="dxa"/>
            <w:vAlign w:val="bottom"/>
          </w:tcPr>
          <w:p>
            <w:pPr>
              <w:spacing w:after="0"/>
              <w:rPr>
                <w:sz w:val="12"/>
                <w:szCs w:val="12"/>
                <w:color w:val="auto"/>
              </w:rPr>
            </w:pPr>
          </w:p>
        </w:tc>
      </w:tr>
      <w:tr>
        <w:trPr>
          <w:trHeight w:val="210"/>
        </w:trPr>
        <w:tc>
          <w:tcPr>
            <w:tcW w:w="306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06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6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2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63.67%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3060" w:type="dxa"/>
            <w:vAlign w:val="bottom"/>
          </w:tcPr>
          <w:p>
            <w:pPr>
              <w:spacing w:after="0"/>
              <w:rPr>
                <w:sz w:val="18"/>
                <w:szCs w:val="18"/>
                <w:color w:val="auto"/>
              </w:rPr>
            </w:pPr>
          </w:p>
        </w:tc>
      </w:tr>
      <w:tr>
        <w:trPr>
          <w:trHeight w:val="222"/>
        </w:trPr>
        <w:tc>
          <w:tcPr>
            <w:tcW w:w="306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Expected life (years)</w:t>
            </w:r>
          </w:p>
        </w:tc>
        <w:tc>
          <w:tcPr>
            <w:tcW w:w="2400" w:type="dxa"/>
            <w:vAlign w:val="bottom"/>
            <w:gridSpan w:val="3"/>
          </w:tcPr>
          <w:p>
            <w:pPr>
              <w:jc w:val="right"/>
              <w:ind w:right="200"/>
              <w:spacing w:after="0"/>
              <w:rPr>
                <w:sz w:val="20"/>
                <w:szCs w:val="20"/>
                <w:color w:val="auto"/>
              </w:rPr>
            </w:pPr>
            <w:r>
              <w:rPr>
                <w:rFonts w:ascii="Arial" w:cs="Arial" w:eastAsia="Arial" w:hAnsi="Arial"/>
                <w:sz w:val="18"/>
                <w:szCs w:val="18"/>
                <w:color w:val="auto"/>
              </w:rPr>
              <w:t>4.5</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24"/>
        </w:trPr>
        <w:tc>
          <w:tcPr>
            <w:tcW w:w="3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00" w:type="dxa"/>
            <w:vAlign w:val="bottom"/>
          </w:tcPr>
          <w:p>
            <w:pPr>
              <w:jc w:val="right"/>
              <w:ind w:right="1132"/>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28"/>
        </w:trPr>
        <w:tc>
          <w:tcPr>
            <w:tcW w:w="306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grant date fair value of the option to purchase 500,000 shares of the Company's common stock granted to Dr. Nottenburg was estimated using the Black-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Scholes valuation model with the following assumptions:</w:t>
      </w:r>
    </w:p>
    <w:p>
      <w:pPr>
        <w:spacing w:after="0" w:line="227" w:lineRule="exact"/>
        <w:rPr>
          <w:sz w:val="20"/>
          <w:szCs w:val="20"/>
          <w:color w:val="auto"/>
        </w:rPr>
      </w:pPr>
    </w:p>
    <w:tbl>
      <w:tblPr>
        <w:tblLayout w:type="fixed"/>
        <w:tblInd w:w="300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Expected life (years)</w:t>
            </w:r>
          </w:p>
        </w:tc>
        <w:tc>
          <w:tcPr>
            <w:tcW w:w="2120" w:type="dxa"/>
            <w:vAlign w:val="bottom"/>
          </w:tcPr>
          <w:p>
            <w:pPr>
              <w:jc w:val="right"/>
              <w:ind w:right="52"/>
              <w:spacing w:after="0"/>
              <w:rPr>
                <w:sz w:val="20"/>
                <w:szCs w:val="20"/>
                <w:color w:val="auto"/>
              </w:rPr>
            </w:pPr>
            <w:r>
              <w:rPr>
                <w:rFonts w:ascii="Arial" w:cs="Arial" w:eastAsia="Arial" w:hAnsi="Arial"/>
                <w:sz w:val="18"/>
                <w:szCs w:val="18"/>
                <w:color w:val="auto"/>
              </w:rPr>
              <w:t>6.0</w:t>
            </w:r>
          </w:p>
        </w:tc>
      </w:tr>
    </w:tbl>
    <w:p>
      <w:pPr>
        <w:spacing w:after="0" w:line="20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Based on the above assumptions, the weighted average fair values of stock options granted during the three months ended March 31, 2009 and 2008 were $0.79 and $2.19,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Restricted Stock and Performance Stock Award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three months ended March 31, 2009 is as follows:</w:t>
      </w:r>
    </w:p>
    <w:p>
      <w:pPr>
        <w:spacing w:after="0" w:line="208"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5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Number of</w:t>
            </w: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13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36,875,380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766,000</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(828,234)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(3,477,635)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00" w:type="dxa"/>
            <w:vAlign w:val="bottom"/>
            <w:vMerge w:val="restart"/>
          </w:tcPr>
          <w:p>
            <w:pPr>
              <w:spacing w:after="0"/>
              <w:rPr>
                <w:sz w:val="20"/>
                <w:szCs w:val="20"/>
                <w:color w:val="auto"/>
              </w:rPr>
            </w:pPr>
            <w:r>
              <w:rPr>
                <w:rFonts w:ascii="Arial" w:cs="Arial" w:eastAsia="Arial" w:hAnsi="Arial"/>
                <w:sz w:val="18"/>
                <w:szCs w:val="18"/>
                <w:color w:val="auto"/>
              </w:rPr>
              <w:t>Outstanding at March 31, 2009</w:t>
            </w: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5.09</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5.23</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00" w:type="dxa"/>
            <w:vAlign w:val="bottom"/>
            <w:vMerge w:val="continue"/>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33,324,574</w:t>
            </w: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6"/>
              </w:rPr>
              <w:t>Vested or expected to vest at March 31,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31,891,941</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2009</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100" w:type="dxa"/>
            <w:vAlign w:val="bottom"/>
          </w:tcPr>
          <w:p>
            <w:pPr>
              <w:spacing w:after="0"/>
              <w:rPr>
                <w:sz w:val="20"/>
                <w:szCs w:val="20"/>
                <w:color w:val="auto"/>
              </w:rPr>
            </w:pPr>
            <w:r>
              <w:rPr>
                <w:rFonts w:ascii="Arial" w:cs="Arial" w:eastAsia="Arial" w:hAnsi="Arial"/>
                <w:sz w:val="18"/>
                <w:szCs w:val="18"/>
                <w:color w:val="auto"/>
              </w:rPr>
              <w:t>Exercisable at March 31, 2009</w:t>
            </w:r>
          </w:p>
        </w:tc>
        <w:tc>
          <w:tcPr>
            <w:tcW w:w="1300" w:type="dxa"/>
            <w:vAlign w:val="bottom"/>
          </w:tcPr>
          <w:p>
            <w:pPr>
              <w:jc w:val="right"/>
              <w:spacing w:after="0"/>
              <w:rPr>
                <w:sz w:val="20"/>
                <w:szCs w:val="20"/>
                <w:color w:val="auto"/>
              </w:rPr>
            </w:pPr>
            <w:r>
              <w:rPr>
                <w:rFonts w:ascii="Arial" w:cs="Arial" w:eastAsia="Arial" w:hAnsi="Arial"/>
                <w:sz w:val="18"/>
                <w:szCs w:val="18"/>
                <w:color w:val="auto"/>
              </w:rPr>
              <w:t>25,193,625</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5.18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total intrinsic value of stock options exercised during the three months ended March 31, 2009 and 2008 was approximately $17,000 and $0.1 million,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the Company's nonvested restricted stock awards for the three months ended March 31, 2009 is as follows:</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Grant-</w:t>
            </w:r>
          </w:p>
        </w:tc>
      </w:tr>
      <w:tr>
        <w:trPr>
          <w:trHeight w:val="149"/>
        </w:trPr>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61"/>
        </w:trPr>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Fair Value</w:t>
            </w:r>
          </w:p>
        </w:tc>
        <w:tc>
          <w:tcPr>
            <w:tcW w:w="60" w:type="dxa"/>
            <w:vAlign w:val="bottom"/>
          </w:tcPr>
          <w:p>
            <w:pPr>
              <w:spacing w:after="0"/>
              <w:rPr>
                <w:sz w:val="14"/>
                <w:szCs w:val="14"/>
                <w:color w:val="auto"/>
              </w:rPr>
            </w:pPr>
          </w:p>
        </w:tc>
      </w:tr>
      <w:tr>
        <w:trPr>
          <w:trHeight w:val="210"/>
        </w:trPr>
        <w:tc>
          <w:tcPr>
            <w:tcW w:w="18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at January 1, 2009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3,539,161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r>
      <w:tr>
        <w:trPr>
          <w:trHeight w:val="216"/>
        </w:trPr>
        <w:tc>
          <w:tcPr>
            <w:tcW w:w="18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(252,617)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r>
      <w:tr>
        <w:trPr>
          <w:trHeight w:val="222"/>
        </w:trPr>
        <w:tc>
          <w:tcPr>
            <w:tcW w:w="188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(146,876)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5.40</w:t>
            </w:r>
          </w:p>
        </w:tc>
      </w:tr>
      <w:tr>
        <w:trPr>
          <w:trHeight w:val="21"/>
        </w:trPr>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8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at March 31, 2009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3,139,668</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p>
        </w:tc>
      </w:tr>
      <w:tr>
        <w:trPr>
          <w:trHeight w:val="27"/>
        </w:trPr>
        <w:tc>
          <w:tcPr>
            <w:tcW w:w="1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21" w:lineRule="exact"/>
        <w:rPr>
          <w:sz w:val="20"/>
          <w:szCs w:val="20"/>
          <w:color w:val="auto"/>
        </w:rPr>
      </w:pPr>
    </w:p>
    <w:p>
      <w:pPr>
        <w:ind w:left="1620" w:right="20" w:hanging="532"/>
        <w:spacing w:after="0" w:line="268"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500,000 shares issued to Dr. Nottenburg on January 15, 2009, which were included in 2008 activity, as this grant met the criteria for an award on June 16, 2008.</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 stock awards for the three months ended March 31, 2009 is as follows:</w:t>
      </w:r>
    </w:p>
    <w:p>
      <w:pPr>
        <w:spacing w:after="0" w:line="208"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3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3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Grant-</w:t>
            </w:r>
          </w:p>
        </w:tc>
      </w:tr>
      <w:tr>
        <w:trPr>
          <w:trHeight w:val="149"/>
        </w:trPr>
        <w:tc>
          <w:tcPr>
            <w:tcW w:w="3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r>
      <w:tr>
        <w:trPr>
          <w:trHeight w:val="161"/>
        </w:trPr>
        <w:tc>
          <w:tcPr>
            <w:tcW w:w="3880" w:type="dxa"/>
            <w:vAlign w:val="bottom"/>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Fair Value</w:t>
            </w:r>
          </w:p>
        </w:tc>
        <w:tc>
          <w:tcPr>
            <w:tcW w:w="60" w:type="dxa"/>
            <w:vAlign w:val="bottom"/>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January 1,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3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March 31,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r>
      <w:tr>
        <w:trPr>
          <w:trHeight w:val="27"/>
        </w:trPr>
        <w:tc>
          <w:tcPr>
            <w:tcW w:w="38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Company did not record stock-based compensation expense in the three months ended March 31, 2009 related to performance stock awards, as the Company does not currently believe it is probable that the performance conditions will be achieved.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MAJOR CUSTOMERS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One customer contributed approximately 11% and 36% of the Company's revenue in the three months ended March 31, 2009 and 2008, respectively. No other customer contributed 10% or more of the Company's revenue in either period.</w:t>
      </w:r>
    </w:p>
    <w:p>
      <w:pPr>
        <w:spacing w:after="0" w:line="18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March 31, 2009 and December 31, 2008, two customers and one customer, respectively, each accounted for at least 10% of the Company's accounts receivable balance, representing totals of approximately 24% and 11%, respectively, of total accounts receivable. The Company performs ongoing credit evaluations of its customers and generally does not require collateral on accounts receivable. Sonus maintains an allowance for doubtful accounts and such losses have historically been within management's expectations.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ind w:right="800" w:firstLine="348"/>
        <w:spacing w:after="0" w:line="370" w:lineRule="auto"/>
        <w:rPr>
          <w:sz w:val="20"/>
          <w:szCs w:val="20"/>
          <w:color w:val="auto"/>
        </w:rPr>
      </w:pPr>
      <w:r>
        <w:rPr>
          <w:rFonts w:ascii="Arial" w:cs="Arial" w:eastAsia="Arial" w:hAnsi="Arial"/>
          <w:sz w:val="15"/>
          <w:szCs w:val="15"/>
          <w:color w:val="auto"/>
        </w:rPr>
        <w:t>The Company provides for income taxes at the end of each interim period based on the estimated effective rate for the full fiscal year. Cumulative adjustments to the Company's estimate are recorded in the interim period in which a change in the estimated annual effective rate is determined.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INFORMATION</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where the product is shipped to or where the services are performed. The following table summarizes revenue by geographic area as a percentage of total revenue:</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84"/>
              </w:rPr>
              <w:t>Three months ended</w:t>
            </w:r>
          </w:p>
        </w:tc>
      </w:tr>
      <w:tr>
        <w:trPr>
          <w:trHeight w:val="161"/>
        </w:trPr>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6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2"/>
                <w:szCs w:val="12"/>
                <w:color w:val="auto"/>
              </w:rPr>
            </w:pPr>
          </w:p>
        </w:tc>
      </w:tr>
      <w:tr>
        <w:trPr>
          <w:trHeight w:val="210"/>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w:t>
            </w:r>
          </w:p>
        </w:tc>
      </w:tr>
      <w:tr>
        <w:trPr>
          <w:trHeight w:val="216"/>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Other Asia Pacific</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r>
      <w:tr>
        <w:trPr>
          <w:trHeight w:val="27"/>
        </w:trPr>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r>
      <w:tr>
        <w:trPr>
          <w:trHeight w:val="21"/>
        </w:trPr>
        <w:tc>
          <w:tcPr>
            <w:tcW w:w="3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7"/>
        </w:trPr>
        <w:tc>
          <w:tcPr>
            <w:tcW w:w="3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spacing w:after="0"/>
              <w:rPr>
                <w:sz w:val="17"/>
                <w:szCs w:val="17"/>
                <w:color w:val="auto"/>
              </w:rPr>
            </w:pPr>
          </w:p>
        </w:tc>
        <w:tc>
          <w:tcPr>
            <w:tcW w:w="2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37"/>
        </w:trPr>
        <w:tc>
          <w:tcPr>
            <w:tcW w:w="3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320" w:type="dxa"/>
            <w:vAlign w:val="bottom"/>
            <w:gridSpan w:val="3"/>
          </w:tcPr>
          <w:p>
            <w:pPr>
              <w:ind w:left="220"/>
              <w:spacing w:after="0"/>
              <w:rPr>
                <w:sz w:val="20"/>
                <w:szCs w:val="20"/>
                <w:color w:val="auto"/>
              </w:rPr>
            </w:pPr>
            <w:r>
              <w:rPr>
                <w:rFonts w:ascii="Arial" w:cs="Arial" w:eastAsia="Arial" w:hAnsi="Arial"/>
                <w:sz w:val="18"/>
                <w:szCs w:val="18"/>
                <w:color w:val="auto"/>
              </w:rPr>
              <w:t>Represents less than 1% of revenue.</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LITIGATION SETTLEMENTS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Sprint Patent Litigation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January 24, 2008, Sprint Communications sued two of the Company's customers, Broadvox and Nuvox, in the District of Kansas for patent infringement. By letter dated April 23, 2008, Broadvox requested that the Company assume the defense of the case on its behalf. Pursuant to the indemnification obligation in the Company's agreement with Broadvox, the Company agreed, subject to certain conditions, to assume the defense in this litigation on behalf of Broadvox to the extent the claims result from its use of Sonus products. A settlement has been reached for this claim that requires the Company to pay an amount that does not have a material impact on its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2002 Securities Litigation</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January 6, 2006, a purchaser of the Company's common stock filed a complaint in the United States District Court for the District of Massachusetts that is essentially identical to an amended Consolidated Complaint alleging that Sonus made false and misleading statements about its products and business previously filed against the defendants and dismissed on October 5, 2005. The Court appointed the Public Employees' Retirement System of Mississippi as lead plaintiff. The lead plaintiff filed an Amended Consolidated Class Action Complaint on March 5, 2007 (the "2002 Securities Litigation"). On April 19, 2007, the defendants filed a motion to dismiss the 2002 Securities Litigation. On September 23, 2008 Sonus agreed to settle the litigation and, on October 3, 2008, entered into a Memorandum of Understanding with the plaintiff setting forth the terms of the settlement. Pursuant to</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LITIGATION SETTLEMENTS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settlement, subject to confirmatory discovery and final court approval, the Company agreed to pay $9.5 million to the shareholder class in the case, as well as $0.1 million toward the cost of the class notice process. In addition, the Company expects to incur $0.4 million in incremental legal fees in connection with the confirmatory discovery and settlement approval process. On February 4, 2009, the Court issued an order in which it certified a settlement class, preliminarily approved the settlement, and ordered that notice be sent to the settlement class. The hearing on final court approval of the settlement is scheduled for June 16, 2009. At both March 31, 2009 and December 31, 2008, the Company had accruals aggregating $10.0 million related to this settlement, of which $9.6 million is reported as Accrued litigation settlements and $0.4 million is included as a component of Accrued expenses in the condensed consolidated balance sheets. On February 17, 2009, the Company placed $9.5 million into escrow related to this settlement. This amount is reported as Litigation settlement escrow in the condensed consolidated balance sheet at March 31, 2009. The Company does not have any directors and officers insurance available for this claim.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Company's President and Chief Executive Officer serves on the Board of Directors of Comverse Technology ("Comverse"), a worldwide provider of software and systems. Comverse has several majority-owned subsidiaries, including Ulticom, Inc. and Verint Systems. All three companies are vendors of the Company. The Company had well-established and ongoing business relationships with these vendors prior to the appointment of Dr. Nottenburg as the Company's President and Chief Executive Officer effective June 13, 2008.</w:t>
      </w:r>
    </w:p>
    <w:p>
      <w:pPr>
        <w:spacing w:after="0" w:line="197"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Management believes the contract terms and arrangements with these vendors are customary and in accordance with the Company's normal business practices. Costs incurred for purchases from these companies, in the aggregate, were $2.2 million for the three months ended March 31, 2009. At March 31, 2009 and December 31, 2008, the Company had aggregate outstanding accounts payable balances of $0.3 million and $0.5 million, respectively, to these companies.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IPO on May 24, 2000 and December 6, 2000. An amended complaint was filed in April 2002. The amended complaint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the Company are asserted under Section 10(b) of the Securities Exchange Act of 1934, as amended (the "Exchange Act") and Section 11 of the Securities Act of 1933 (the "Securities Act") and against the individual defendants under Sections 11 and 15 of the Securities Act and Sections 10(b) and 20(a) of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Exchange Act. Other plaintiffs have filed substantially similar class action cases against approximately 300 other publicly traded companies and their IPO underwriters which, along with the actions against the Company, have been transferred to a single federal judge for purposes of coordinated case management. On July 15, 2002, the Company, together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court granted a portion of the motion to dismiss by dismissing the Section 10(b) claims against certain defendants including the Company, but denied the remainder of the motion as to the defendants. In June 2003, a special committee of the Company's Board of Directors authorized Sonus to enter into a proposed settlement with the plaintiffs on terms substantially consistent with the terms of a Memorandum of Understanding negotiated among representatives of the plaintiffs, the issuer defendants and the insurers for the issuer defendants. In October 2004, the court certified the class in a case against certain defendants. On February 15, 2005, the court preliminarily approved the terms of the proposed settlement contingent on modifications to the proposed settlement. On August 31, 2005, the court approved the terms of the proposed settlement, as modified. On April 24, 2006, the court held a hearing on a motion to approve the final settlement and took the matter under advisement. On December 5, 2006, the Court of Appeals for the Second Circuit reversed the court's October 2004 order certifying a class. On June 25, 2007, the court entered an order terminating the settlement. On November 13, 2007, the issuer defendants in certain designated "focus cases" filed a motion to dismiss the second consolidated amended class action complaints that were filed in those cases. On March 26, 2008, the District Court issued an Opinion and Order denying, in large part, the motions to dismiss the amended complaints in the "focus cases." On April 2, 2009, the plaintiffs filed a motion for preliminary approval of a new proposed settlement between plaintiffs, the underwriter defendants, the issuer defendants and the insurers for the issuer defendants. The Company is unable to determine the ultimate outcome or potential range of loss, if any.</w:t>
      </w:r>
    </w:p>
    <w:p>
      <w:pPr>
        <w:spacing w:after="0" w:line="17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October 5, 2007, Vanessa Simmonds, a purported shareholder, filed a complaint in the Western District of Washington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On July 25, 2008, the underwriter and issuer defendants filed motions to dismiss the case. On September 8, 2008, the plaintiff filed oppositions to the motions, and the issuer and underwriters defendants filed replies in support of their motions to dismiss on October 23, 2008. Oral argument on all motions to dismiss was held on January 16, 2009, at which time the Judge took the pending motions to dismiss under advisement. The Judge has stayed discovery until he rules on all motions to dismiss.</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On March 12, 2009, the court entered its judgment and granted the moving issuers' motion to dismiss, finding plaintiff's demand letters were insufficient to put issuers on notice of the claims asserted against them. The judge also granted the underwriters' motion to dismiss, finding plaintiff's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claims were time-barred under the applicable statute of limitations and finding the claims against the non-moving issuers were dismissed on the same grounds.</w:t>
      </w:r>
    </w:p>
    <w:p>
      <w:pPr>
        <w:spacing w:after="0" w:line="24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March 31, 2009, plaintiff-appellant appealed the judgment to the Court of Appeals for the Ninth Circuit, and thereafter filed an amended notice of appeal on April 10, 2009 at the court's request. The briefing schedule currently requires that plaintiff-appellant file her opening brief by July 16, 2009, defendants-appellees file their response briefs by August 17, 2009, and plaintiff-appellant file her reply brief by September 1, 2009. The Company does not expect that this claim will have a material impact on its financial position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Accounting Investigation</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announced on March 19, 2007, the SEC is conducting a formal private investigation into the Company's historical stock option granting practices. If the Company is subject to adverse findings, it could be required to pay damages or penalties or have other remedies imposed, including criminal penalties, which could adversely impact the Company's business, financial position or results of operations. At this time, the Company is unable to determine the ultimate outcome of the investigation.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i w:val="1"/>
          <w:iCs w:val="1"/>
          <w:color w:val="auto"/>
        </w:rPr>
        <w:t>This Quarterly Report on Form 10-Q and, in particular, this Management's Discussion and Analysis of Financial Condition and Results of Operations contains forward-looking statements which are subject to a number of risks and uncertainties. The words "could", "expects", "may", "anticipates", "believes", "intends", "estimates", "plans", "envisions", "seeks", "will" and other similar language whether in the negative or affirmative are intended to identify forward-looking statements, although not all forward-looking statements contain these identifying words. These forward-looking statements are based on our current expectations, assumptions, estimates, forecasts and projections about the operating environment, economies and markets in which we operate, and we do not undertake an obligation to update our forward-looking statements to reflect new information, future events or circumstances. Our actual results could differ materially from those anticipated in these forward-looking statements as a result of various factors, including, but not limited to, the factors set forth in our Annual Report on Form 10-K for the year ended December 31, 2008 and the additional factors set forth in Item 1A. "Risk Factors" of Part II of this Quarterly Report on Form 10-Q. Additional risks and uncertainties not currently known to us or that we currently believe are immaterial also may materially adversely affect our business, results of operations, financial condition and/or liquidity. This discussion should be read in conjunction with the unaudited condensed consolidated financial statements and related notes for the periods specified.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designed years ago to primarily deliver telephone calls.</w:t>
      </w:r>
    </w:p>
    <w:p>
      <w:pPr>
        <w:spacing w:after="0" w:line="17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voice infrastructure solutions allow wireline and wireless service providers to build converged voice over IP ("VoIP") networks. Our products are built on the same distributed, IP-based principles embraced by the IP Multimedia Subsystem ("IMS") architecture, as defined by the Third Generation Partnership Program ("3GPP"). This IMS architecture is being accepted by network operators globally as the common approach for building converged voice, data, wireline and wireless networks. Since the IMS architecture is based primarily on IP packets and the Session Initiation Protocol ("SIP"), which has been the foundation of our products since our formation, we are uniquely positioned to offer an elegant evolution path to our customers.</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sell our products primarily through a direct sales force and, in some markets, through or with the assistance of resellers and distributors. Customers' decisions to purchase our products to deploy in commercial networks involve a significant commitment of resources and a lengthy evaluation, testing and product qualification process. Our revenue and results of operations may vary significantly and unexpectedly from quarter to quarter as a result of long sales cycles, our expectation that customers will tend to sporadically place large orders with short lead times and the application of complex revenue recognition rules to certain transactions, which may result in customer shipments and orders from multiple quarters being recognized as revenue in one quarter. We expect to recognize revenue from a limited number of customers for the foreseeable future.</w:t>
      </w:r>
    </w:p>
    <w:p>
      <w:pPr>
        <w:spacing w:after="0" w:line="174" w:lineRule="exact"/>
        <w:rPr>
          <w:sz w:val="20"/>
          <w:szCs w:val="20"/>
          <w:color w:val="auto"/>
        </w:rPr>
      </w:pPr>
    </w:p>
    <w:p>
      <w:pPr>
        <w:ind w:right="280" w:firstLine="348"/>
        <w:spacing w:after="0" w:line="370" w:lineRule="auto"/>
        <w:rPr>
          <w:sz w:val="20"/>
          <w:szCs w:val="20"/>
          <w:color w:val="auto"/>
        </w:rPr>
      </w:pPr>
      <w:r>
        <w:rPr>
          <w:rFonts w:ascii="Arial" w:cs="Arial" w:eastAsia="Arial" w:hAnsi="Arial"/>
          <w:sz w:val="15"/>
          <w:szCs w:val="15"/>
          <w:color w:val="auto"/>
        </w:rPr>
        <w:t>We incurred net losses in fiscal 2008 and 2007. Operating expenses, including litigation settlements, stock-based compensation and professional services such as legal fees were the main factors in these reported net losses. We recorded $19.1 million and $24.7 million in fiscal 2008 and 2007, respectively,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of operating expense for the settlements of litigation, net of insurance recovery. Additionally, in fiscal 2008 we recorded $87.3 million of income tax expense for a valuation allowance against certain deferred tax assets. We continue to enhance our expense management processes related to our operating expenses. We anticipate, however, that we may incur net losses in future quarters and years. In addition, the current macroeconomic environment may impact our profitability, as we believe the global credit crisis may cause customers to delay or forego capacity and technology purchases.</w:t>
      </w:r>
    </w:p>
    <w:p>
      <w:pPr>
        <w:spacing w:after="0" w:line="16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reported losses from operations of $17.8 million and $2.8 million for the three months ended March 31, 2009 and 2008, respectively. We reported a net loss of $16.2 million for the three months ended March 31, 2009, compared to income from continuing operations of $1.0 million and net income of $0.6 million in the three months ended March 31, 2008. Our lower revenue in the three months ended March 31, 2009, compared to the same prior year period, was a significant factor in our reported net loss in the current year quarter. The lower revenue in the current year quarter resulted in lower gross profit of $23.2 million, compared to $45.9 million in the three months ended March 31, 2008. Operating expenses were $41.0 million in the three months ended March 31, 2009, a decrease of $7.8 million compared to the same prior year quarter. This reduction in the current year period is primarily attributable to lower personnel-related costs as a result of lower stock-based compensation in the current year period and our recent headcount reduction initiatives. During the three months ended March 31, 2009, we implemented two headcount reduction initiatives, and in December 2008 we had implemented one headcount reduction initiative as well. As a result of these initiatives, we reduced our headcount by approximately 150 employees, or approximately 15% of our total worldwide workforce. We recorded $2.0 million of restructuring expense in the three months ended March 31, 2009 related to the 2009 initiatives. However, while we are eliminating jobs in some areas of the business, we continue to hire for select positions in some geographies to support our business plans.</w:t>
      </w:r>
    </w:p>
    <w:p>
      <w:pPr>
        <w:spacing w:after="0" w:line="18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our strong financial foundation;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responding quickly to changes in the macroeconomic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the cost-effectiveness of our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winning new business from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and enhancing our product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our global sales and support capabilities;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channels and markets for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the third quarter of 2008, we committed to a plan to sell our Zynetix Limited ("Zynetix") subsidiary. We completed the sale of Zynetix on November 26, 2008. The results of operations of Zynetix have been reported as discontinued operations in our condensed consolidated statements of operations for the three months ended March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210"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Warranty, royalty, litigation and other loss contingency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For a complete discussion of our critical accounting policies and estimates, refer to our Annual Report on Form 10-K for the fiscal year ended December 31, 2008, which was filed with the SEC on February 26, 2009. There were no significant changes to our critical accounting policies during the three months ended March 31,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2009 and 2008</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months ended March 31, 2009 and 2008 was as follows (in thousands):</w:t>
      </w:r>
    </w:p>
    <w:p>
      <w:pPr>
        <w:spacing w:after="0" w:line="208"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3980" w:type="dxa"/>
            <w:vAlign w:val="bottom"/>
          </w:tcPr>
          <w:p>
            <w:pPr>
              <w:spacing w:after="0"/>
              <w:rPr>
                <w:sz w:val="14"/>
                <w:szCs w:val="14"/>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39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$50,706</w:t>
            </w:r>
          </w:p>
        </w:tc>
        <w:tc>
          <w:tcPr>
            <w:tcW w:w="60" w:type="dxa"/>
            <w:vAlign w:val="bottom"/>
            <w:shd w:val="clear" w:color="auto" w:fill="CCEEFF"/>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Service</w:t>
            </w:r>
          </w:p>
        </w:tc>
        <w:tc>
          <w:tcPr>
            <w:tcW w:w="580" w:type="dxa"/>
            <w:vAlign w:val="bottom"/>
          </w:tcPr>
          <w:p>
            <w:pPr>
              <w:jc w:val="right"/>
              <w:spacing w:after="0"/>
              <w:rPr>
                <w:sz w:val="20"/>
                <w:szCs w:val="20"/>
                <w:color w:val="auto"/>
              </w:rPr>
            </w:pPr>
            <w:r>
              <w:rPr>
                <w:rFonts w:ascii="Arial" w:cs="Arial" w:eastAsia="Arial" w:hAnsi="Arial"/>
                <w:sz w:val="18"/>
                <w:szCs w:val="18"/>
                <w:color w:val="auto"/>
              </w:rPr>
              <w:t>21,609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22,921</w:t>
            </w:r>
          </w:p>
        </w:tc>
        <w:tc>
          <w:tcPr>
            <w:tcW w:w="60" w:type="dxa"/>
            <w:vAlign w:val="bottom"/>
          </w:tcPr>
          <w:p>
            <w:pPr>
              <w:spacing w:after="0"/>
              <w:rPr>
                <w:sz w:val="19"/>
                <w:szCs w:val="19"/>
                <w:color w:val="auto"/>
              </w:rPr>
            </w:pPr>
          </w:p>
        </w:tc>
      </w:tr>
      <w:tr>
        <w:trPr>
          <w:trHeight w:val="21"/>
        </w:trPr>
        <w:tc>
          <w:tcPr>
            <w:tcW w:w="3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$41,012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$73,627</w:t>
            </w:r>
          </w:p>
        </w:tc>
        <w:tc>
          <w:tcPr>
            <w:tcW w:w="60" w:type="dxa"/>
            <w:vAlign w:val="bottom"/>
            <w:shd w:val="clear" w:color="auto" w:fill="CCEEFF"/>
          </w:tcPr>
          <w:p>
            <w:pPr>
              <w:spacing w:after="0"/>
              <w:rPr>
                <w:sz w:val="18"/>
                <w:szCs w:val="18"/>
                <w:color w:val="auto"/>
              </w:rPr>
            </w:pPr>
          </w:p>
        </w:tc>
      </w:tr>
      <w:tr>
        <w:trPr>
          <w:trHeight w:val="27"/>
        </w:trPr>
        <w:tc>
          <w:tcPr>
            <w:tcW w:w="39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Product revenue is comprised of sales of our voice infrastructure products, including our GSX9000™ and GSX4000™ Open Services Switches, NBS™ Network Border Switch, PSX™ Call Routing Server, SGX™ Signaling Gateway, ASX™ Call Feature Server, IMX® Application Platform, Sonus Insight™ Management System and related product offerings. Product revenue for the three months ended March 31, 2009 decreased $31.3 million, or 61.7%, compared to the same period in the prior year. The decrease in the current year period is primarily attributable to lower product sales and shipments, principally resulting from the current macroeconomic environment, coupled with the change in the fourth quarter of fiscal 2008 to ratable recognition of revenue from AT&amp;T on a two-year maintenance contract, which also impacts the timing of the recognition of certain product revenue attributable to this customer.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Service revenue is primarily comprised of hardware and software maintenance and support, network design, installation and other professional services. Service revenue decreased 5.7% in the three months ended March 31, 2009, compared to the same prior year period. The decrease in the current period is primarily attributable to pressure on maintenance pricing, coupled with the change in the fourth quarter of fiscal 2008 to ratable recognition of revenue from AT&amp;T on a two-year maintenance contract.</w:t>
      </w:r>
    </w:p>
    <w:p>
      <w:pPr>
        <w:spacing w:after="0" w:line="197" w:lineRule="exact"/>
        <w:rPr>
          <w:sz w:val="20"/>
          <w:szCs w:val="20"/>
          <w:color w:val="auto"/>
        </w:rPr>
      </w:pPr>
    </w:p>
    <w:p>
      <w:pPr>
        <w:ind w:right="700" w:firstLine="341"/>
        <w:spacing w:after="0" w:line="268" w:lineRule="auto"/>
        <w:rPr>
          <w:sz w:val="20"/>
          <w:szCs w:val="20"/>
          <w:color w:val="auto"/>
        </w:rPr>
      </w:pPr>
      <w:r>
        <w:rPr>
          <w:rFonts w:ascii="Arial" w:cs="Arial" w:eastAsia="Arial" w:hAnsi="Arial"/>
          <w:sz w:val="18"/>
          <w:szCs w:val="18"/>
          <w:color w:val="auto"/>
        </w:rPr>
        <w:t>AT&amp;T contributed more than 10% of our revenue in both three month periods ended March 31, 2009 and 2008. There were no other customers that contributed more than 10% of our revenue in either period.</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International revenue was approximately 29% and 16% of revenue in the three month periods ended March 31, 2009 and 2008, respectively. We expect that international revenue will fluctuate as a percentage of revenue from quarter to quarter.</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deferred product revenue was $42.9 million and $30.7 million at March 31, 2009 and December 31, 2008, respectively. Our deferred service revenue was $49.4 million and $48.3 million at March 31, 2009 and December 31, 2008, respectively. Our deferred revenue balance may fluctuate as a result of the timing of revenue recognition, customer payments, maintenance contract renewals, contractual billing rights, customer creditworthiness and maintenance revenue deferrals included in multiple element arrangements.</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Cost of Revenue/Gross Profit. </w:t>
      </w:r>
      <w:r>
        <w:rPr>
          <w:rFonts w:ascii="Arial" w:cs="Arial" w:eastAsia="Arial" w:hAnsi="Arial"/>
          <w:sz w:val="16"/>
          <w:szCs w:val="16"/>
          <w:color w:val="auto"/>
        </w:rPr>
        <w:t>Our cost of revenue consists primarily of amounts paid to third-party manufacturers for purchased materials and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royalties, manufacturing and professional services personnel and related costs and inventory obsolescence. Our cost of revenue and gross profit as a percentage of revenue for the three and nine months ended March 31, 2009 and 2008 were as follows (in thousands, except percentages):</w:t>
      </w:r>
    </w:p>
    <w:p>
      <w:pPr>
        <w:spacing w:after="0" w:line="144"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2009</w:t>
            </w:r>
          </w:p>
        </w:tc>
        <w:tc>
          <w:tcPr>
            <w:tcW w:w="7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20"/>
              <w:spacing w:after="0"/>
              <w:rPr>
                <w:sz w:val="20"/>
                <w:szCs w:val="20"/>
                <w:color w:val="auto"/>
              </w:rPr>
            </w:pPr>
            <w:r>
              <w:rPr>
                <w:rFonts w:ascii="Arial" w:cs="Arial" w:eastAsia="Arial" w:hAnsi="Arial"/>
                <w:sz w:val="18"/>
                <w:szCs w:val="18"/>
                <w:color w:val="auto"/>
              </w:rPr>
              <w:t>Product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6,134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11,663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0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12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17,797</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$27,678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940" w:type="dxa"/>
        <w:tblCellMar>
          <w:top w:w="0" w:type="dxa"/>
          <w:left w:w="0" w:type="dxa"/>
          <w:bottom w:w="0" w:type="dxa"/>
          <w:right w:w="0" w:type="dxa"/>
        </w:tblCellMar>
      </w:tblPr>
      <w:tr>
        <w:trPr>
          <w:trHeight w:val="40"/>
        </w:trPr>
        <w:tc>
          <w:tcPr>
            <w:tcW w:w="4060" w:type="dxa"/>
            <w:vAlign w:val="bottom"/>
            <w:tcBorders>
              <w:bottom w:val="single" w:sz="8" w:color="CCEEFF"/>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r>
      <w:tr>
        <w:trPr>
          <w:trHeight w:val="197"/>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 margin (% of respective revenue)</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Product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67.2%</w:t>
            </w: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2"/>
        </w:trPr>
        <w:tc>
          <w:tcPr>
            <w:tcW w:w="4060" w:type="dxa"/>
            <w:vAlign w:val="bottom"/>
          </w:tcPr>
          <w:p>
            <w:pPr>
              <w:ind w:left="260"/>
              <w:spacing w:after="0"/>
              <w:rPr>
                <w:sz w:val="20"/>
                <w:szCs w:val="20"/>
                <w:color w:val="auto"/>
              </w:rPr>
            </w:pPr>
            <w:r>
              <w:rPr>
                <w:rFonts w:ascii="Arial" w:cs="Arial" w:eastAsia="Arial" w:hAnsi="Arial"/>
                <w:sz w:val="18"/>
                <w:szCs w:val="18"/>
                <w:color w:val="auto"/>
              </w:rPr>
              <w:t>Total gross profit margin</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62.4%</w:t>
            </w:r>
          </w:p>
        </w:tc>
      </w:tr>
    </w:tbl>
    <w:p>
      <w:pPr>
        <w:spacing w:after="0" w:line="20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increase in product gross profit as a percentage of revenue was primarily due to product mix. The decrease in service gross profit as a percentage of service revenue was primarily due to lower service revenue and downward pressure from customers on maintenance pricing. We believe that our gross margin over time will remain within our long-term financial model of 58% to 62%.</w:t>
      </w:r>
    </w:p>
    <w:p>
      <w:pPr>
        <w:spacing w:after="0" w:line="194"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consist primarily of salaries and related personnel expenses and prototype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costs related to the design, development, testing and enhancement of our products. Research and development expenses were $16.4 million for the three months ended March 31, 2009, a decrease of $3.9 million, or 19.6%, from $20.3 million in the same prior year period. The decrease in the current year period primarily reflects lower employee-related costs, including $2.9 million of lower stock-based compensation expense in the three months ended March 31, 2009, compared to the same prior year period. Some aspects of our research and development efforts require significant short-term expenditures, the timing of which can cause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significant variability in our expenses. We believe that rapid technological innovation is critical to our long-term success, and we are tailoring our investments to meet the requirements of our customers and market. We believe that our research and development expenses in fiscal 2009 will decrease from prior year levels, primarily as a result of the ongoing migration of our development and quality assurance centers to lower-cost geographies.</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consist primarily of salaries and related personnel costs, commissions, travel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expenses, customer evaluations inventory and other marketing and sales support expenses. Sales and marketing expenses were $12.1 million for the three months ended March 31, 2009, a decrease of $6.4 million, or 34.4%, compared to $18.5 million in the three months ended March 31, 2008. The current period decreases are primarily attributable to lower commission, travel and stock-based compensation expenses. We believe that our sales and marketing expenses will decrease from prior year levels, primarily the result of lower personnel and related costs.</w:t>
      </w:r>
    </w:p>
    <w:p>
      <w:pPr>
        <w:spacing w:after="0" w:line="17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consist primarily of salaries and related personnel costs for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technology ("IT") and administrative personnel, recruiting expenses, foreign exchange gains and losses, allowance for doubtful accounts and professional fees. General and administrative expenses were $10.5 million in the three months ended March 31, 2009, an increase of $0.6 million, or 5.6%, compared to $9.9 million in the three months ended March 31, 2008. Higher employee and IT-related costs and an adjustment to increase the Company's foreign consumption tax liability were partially offset by lower stock-based compensation, legal, audit and consulting fees. We believe that our general and administrative expenses will decrease from prior year levels, primarily due to lower employee-related and consulting costs.</w:t>
      </w:r>
    </w:p>
    <w:p>
      <w:pPr>
        <w:spacing w:after="0" w:line="174"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Restructuring. </w:t>
      </w:r>
      <w:r>
        <w:rPr>
          <w:rFonts w:ascii="Arial" w:cs="Arial" w:eastAsia="Arial" w:hAnsi="Arial"/>
          <w:sz w:val="16"/>
          <w:szCs w:val="16"/>
          <w:color w:val="auto"/>
        </w:rPr>
        <w:t>In the three months ended March 31, 2009, we recorded restructuring expenses aggregating $2.0 million related to two headcount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initiatives implemented as part of our efforts to right-size the business to align with market opportunities while managing costs to position Sonus for profitable growth. We recorded $0.9 million of severance and related expenses for our January 9, 2009 restructuring initiative, which reduced our workforce by approximately 40 people, or 4% of employees worldwide. We recorded $1.1 million of severance and related expenses for our March 10, 2009 restructuring initiative, which further reduced our workforce by approximately 60 people, or 6% of employees worldwide.</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consists of interest earned on our cash equivalents, marketable securities and long-term investments. Interest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relates to interest on capital lease obligations in both the three month periods ended March 31, 2009 and 2008. Interest income, net of interest expense, was $1.6 million in the three months ended March 31, 2009, compared to $3.9 million in the same period of the prior year. The reduction in interest income, net, in the current year period reflects lower cash and investment balances, coupled with a lower average portfolio yield.</w:t>
      </w:r>
    </w:p>
    <w:p>
      <w:pPr>
        <w:spacing w:after="0" w:line="16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We recorded $7,000 of other expense and $0.4 million of other income in the three months ended March 31, 2009 and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prior year amount relates to a change in estimate to our loss contingency for the settlement of an employment tax audit by the Internal Revenue Service in 2008.</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provision for income taxes reflects our estimate of the effective rate expected to be applicable for the full fiscal year, adjusted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discrete events, which are recorded in the period that they occur. This estimate is reevaluated each quarter based on our estimated tax expense for the full fiscal year. Our effective tax rates, including discrete items, were 0.2% and 35.9% for the three months ended March 31, 2009 and 2008, respectively. Our effective tax rate for the three months ended March 31, 2009 is less than the statutory federal and state rates primarily due to our inability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recognize tax benefits on losses incurred. The income tax expense of approximately $26,000 and $0.5 million in the three months ended March 31, 2009 and 2008, respectively, primarily reflects a current expense for federal, state and foreign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2009, our cash, cash equivalents, marketable securities and investments totaled $386.1 million.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operating activities provided $8.9 million of cash in the three months ended March 31, 2009. Cash provided by operating activities was the result of lower levels of accounts receivable and higher deferred revenue, coupled with non-cash adjustments for depreciation and amortization of property and equipment, and amortization of intangible assets. These amounts were partially offset by our net loss, lower accrued expenses and accounts payable, and higher levels of operating assets and inventory. The lower accounts receivable levels are primarily the result of lower shipment and billings in the quarter coupled with the focused collection efforts in the quarter as a result of the strong seasonal billings and shipments in late fiscal 2008. The decrease in accrued expenses is primarily attributable to lower employee compensation and related costs, including reductions for the payment of bonuses to our executives and employees under our bonus programs, the completion of an employee stock purchase under our ESPP, and lower taxes payable, accrued royalties and professional fees.</w:t>
      </w:r>
    </w:p>
    <w:p>
      <w:pPr>
        <w:spacing w:after="0" w:line="172"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investing activities provided $60.7 million of cash in the three months ended March 31, 2009, primarily comprised of $71.0 million of net sales and maturities of marketable securities and investments, partially offset by $9.5 million placed into escrow related to the September 16, 2008 agreement to settle the C2 Patent Litigation, as well as $0.8 million for purchases of in property and equipment.</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financing activities provided $0.3 million of cash in the three months ended March 31, 2009, including $0.5 million of proceeds from the sale of common stock in connection with our ESPP, partially offset by $0.1 million used to pay withholding obligations related to the net share settlement of restricted stock awards upon vesting and $0.1 million used for payments on our capital leases for office equipment.</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Based on our current expectations, we believe our cash, cash equivalents, marketable debt securities and long-term investments will be sufficient to meet our anticipated cash needs for working capital and capital expenditures for at least 12 months. Although it is difficult to predict future liquidity requirements with certainty, and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to improve our controls environment and for other general corporate activities, as well as to vigorously defend against existing and potential litigation. See Note 18 to our condensed consolidated financial statements.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replaces SFAS 141. SFAS 141R establishes principles and requirements for how the acquirer recognizes and measures in its financial statements the identifiable assets acquired, the liabilities assumed, and any non-controlling interest in the acquiree and the goodwill acquired. SFAS 141R also establishes disclosure requirements which will enable users to evaluate the nature and financial effects of the business combination. SFAS 141R became effective for us on January 1, 2009. The adoption of SFAS 141R will have an impact on accounting for any business combinations consummated after January 1, 2009.</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provides a single definition of fair value, along with a framework for measuring it, and requires additional disclosure about using fair value to measure assets and liabilities. SFAS 157 emphasizes that fair value measurement is market-based, not entity-specific, and establishes a fair value hierarchy in which the highest priority is quoted prices in active markets. Under SFAS 157, fair value measurements are disclosed according to their level within this hierarchy. While SFAS 157 does not add any new fair value measurements, it does change current practice in certain ways, including requiring entities to include their own credit standing when measuring their liabilities. SFAS 157 was effective for us on January 1, 2008. In February 2008, the FASB issued FASB Staff Position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("FSP 157-2"), which delayed the effective date of SFAS 157 for all nonrecurring fair value measurements of nonfinancial assets and nonfinancial liabilities until fiscal years beginning after November 15, 2008. The full adoption of SFAS 157 did not impact our consolidated results of operations or financial condition.</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than what was disclosed in our Annual Report on Form 10-K for the fiscal year ended December 31, 2008.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the design and operation of our disclosure controls and procedures as of March 31, 2009. The term "disclosure controls and procedures," as defined in Rules 13a-15(e) and 15d-15(e) under the Securities Exchange Act of 1934, as amended (the "Exchange Act"), means controls and procedures of a company that are designed to ensure that information required to be disclosed by a company in the reports that it files or submits under the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desired objectives, and management necessarily applies its judgment in evaluating the cost-benefit relationship of possible controls and procedures.</w:t>
      </w:r>
    </w:p>
    <w:p>
      <w:pPr>
        <w:spacing w:after="0" w:line="17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Based on their evaluation of our disclosure controls and procedures as of March 31, 2009, our Chief Executive Officer and our Chief Financial Officer concluded that, as of such date, our disclosure controls and procedures were effective, at the reasonable assurance level, in ensuring that information required to be disclosed by us in our reports filed or submitted under the Exchange Act (i) is recorded, processed, summarized and reported within the time periods specified in the U.S. Securities and Exchange Commission's rules and forms, and (ii) is accumulated and communicated to our management, including our Chief Executive Officer and our Chief Financial Officer, to allow timely decisions regarding required disclosure.</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were identified in connection with the evaluation as of March 31, 2009 referenced above that has materially affected, or is reasonably likely to materially affect, our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1000" w:firstLine="348"/>
        <w:spacing w:after="0" w:line="370" w:lineRule="auto"/>
        <w:rPr>
          <w:sz w:val="20"/>
          <w:szCs w:val="20"/>
          <w:color w:val="auto"/>
        </w:rPr>
      </w:pPr>
      <w:r>
        <w:rPr>
          <w:rFonts w:ascii="Arial" w:cs="Arial" w:eastAsia="Arial" w:hAnsi="Arial"/>
          <w:sz w:val="15"/>
          <w:szCs w:val="15"/>
          <w:color w:val="auto"/>
        </w:rPr>
        <w:t>We are a party to the legal proceedings described in Part I, Item 3, "Legal Proceedings" of our Annual Report on Form 10-K for the year ended December 31, 2008. There have been no material developments with respect to the legal proceedings during the quarter ended March 31, 2009.</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a more detailed discussion of our legal proceedings, please see Note 16 and Note 18 to our condensed consolidated financial statements.</w:t>
      </w:r>
    </w:p>
    <w:p>
      <w:pPr>
        <w:spacing w:after="0" w:line="24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Set forth below and elsewhere in this report and in other documents we file with the Securities and Exchange Commission are descriptions of certain risks and uncertainties that could cause our actual results to differ materially from the results contemplated by the forward-looking statements contained in this report.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risk factors have been added since the filing of our Annual Report on Form 10-K for the year ended December 31, 2008:</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World-wide efforts to cut capital spending, general economic uncertainty and a weakening global economy could have a material adverse effect on us.</w:t>
      </w:r>
    </w:p>
    <w:p>
      <w:pPr>
        <w:spacing w:after="0" w:line="26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unable to predict the duration and severity of the current economic downturn and disruption in financial markets or their effects on our business and results of operations, but the consequences may be materially adverse and more severe than other recent economic slowdowns. Some of our current or prospective customers may cancel or delay spending on the development or roll-out of capital and technology projects with us due to the economic downturn and, consequently, our results of operations may be adversely affected. In addition, the current negative worldwide economic conditions and market instability make it increasingly difficult for us, our customers and our suppliers to accurately forecast future product demand, which could result in an inability to satisfy demand for our products and a loss of market share.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suffer in the general condition of the telecommunications industry experiences continued downward pressures.</w:t>
      </w:r>
    </w:p>
    <w:p>
      <w:pPr>
        <w:spacing w:after="0" w:line="248" w:lineRule="exact"/>
        <w:rPr>
          <w:sz w:val="20"/>
          <w:szCs w:val="20"/>
          <w:color w:val="auto"/>
        </w:rPr>
      </w:pPr>
    </w:p>
    <w:p>
      <w:pPr>
        <w:ind w:right="540" w:firstLine="348"/>
        <w:spacing w:after="0" w:line="298" w:lineRule="auto"/>
        <w:rPr>
          <w:sz w:val="20"/>
          <w:szCs w:val="20"/>
          <w:color w:val="auto"/>
        </w:rPr>
      </w:pPr>
      <w:r>
        <w:rPr>
          <w:rFonts w:ascii="Arial" w:cs="Arial" w:eastAsia="Arial" w:hAnsi="Arial"/>
          <w:sz w:val="16"/>
          <w:szCs w:val="16"/>
          <w:color w:val="auto"/>
        </w:rPr>
        <w:t>We are subject to the market conditions of the telecommunications industry. Economic conditions worldwide have from time to time contributed to slowdowns in the telecommunications and networking industries. Downturns and pricing pressures may result in reduced demand for our communications products and services. General domestic and foreign economic conditions and other factors that reduce spending by companies in the telecommunications industry may have an adverse effect on our consolidated financial position, results of operations or cash flows.</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have not announced any currently effective authorization to repurchase shares of our common stock. However, upon vesting of restricted stock awards, employees are permitted to return to us a portion of the newly vested shares to satisfy the tax withholding obligations that arise in connection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such vesting. The following table summarizes repurchases of our common stock during the fourth quarter of fiscal 2009, which represent shares returned to satisfy tax withholding obligations:</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2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Dollar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2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2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That</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2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2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2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of Shares</w:t>
            </w: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Price Paid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61"/>
        </w:trPr>
        <w:tc>
          <w:tcPr>
            <w:tcW w:w="208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Period</w:t>
            </w:r>
          </w:p>
        </w:tc>
        <w:tc>
          <w:tcPr>
            <w:tcW w:w="22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20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17"/>
                <w:szCs w:val="17"/>
                <w:color w:val="auto"/>
              </w:rPr>
            </w:pPr>
          </w:p>
        </w:tc>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January 1, 2009 to January 31,</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tcPr>
          <w:p>
            <w:pPr>
              <w:spacing w:after="0"/>
              <w:rPr>
                <w:sz w:val="19"/>
                <w:szCs w:val="19"/>
                <w:color w:val="auto"/>
              </w:rPr>
            </w:pPr>
          </w:p>
        </w:tc>
        <w:tc>
          <w:tcPr>
            <w:tcW w:w="2660" w:type="dxa"/>
            <w:vAlign w:val="bottom"/>
            <w:gridSpan w:val="2"/>
            <w:shd w:val="clear" w:color="auto" w:fill="CCEEFF"/>
          </w:tcPr>
          <w:p>
            <w:pPr>
              <w:jc w:val="right"/>
              <w:ind w:right="2140"/>
              <w:spacing w:after="0"/>
              <w:rPr>
                <w:sz w:val="20"/>
                <w:szCs w:val="20"/>
                <w:color w:val="auto"/>
              </w:rPr>
            </w:pPr>
            <w:r>
              <w:rPr>
                <w:rFonts w:ascii="Arial" w:cs="Arial" w:eastAsia="Arial" w:hAnsi="Arial"/>
                <w:sz w:val="18"/>
                <w:szCs w:val="18"/>
                <w:color w:val="auto"/>
              </w:rPr>
              <w:t>2009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7"/>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99"/>
              </w:rPr>
              <w:t>February 1, 2009 to February 28,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3"/>
          </w:tcPr>
          <w:p>
            <w:pPr>
              <w:jc w:val="right"/>
              <w:ind w:right="2140"/>
              <w:spacing w:after="0"/>
              <w:rPr>
                <w:sz w:val="20"/>
                <w:szCs w:val="20"/>
                <w:color w:val="auto"/>
              </w:rPr>
            </w:pPr>
            <w:r>
              <w:rPr>
                <w:rFonts w:ascii="Arial" w:cs="Arial" w:eastAsia="Arial" w:hAnsi="Arial"/>
                <w:sz w:val="18"/>
                <w:szCs w:val="18"/>
                <w:color w:val="auto"/>
              </w:rPr>
              <w:t>2009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92,201</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840" w:type="dxa"/>
            <w:vAlign w:val="bottom"/>
          </w:tcPr>
          <w:p>
            <w:pPr>
              <w:ind w:left="680"/>
              <w:spacing w:after="0"/>
              <w:rPr>
                <w:sz w:val="20"/>
                <w:szCs w:val="20"/>
                <w:color w:val="auto"/>
              </w:rPr>
            </w:pPr>
            <w:r>
              <w:rPr>
                <w:rFonts w:ascii="Arial" w:cs="Arial" w:eastAsia="Arial" w:hAnsi="Arial"/>
                <w:sz w:val="18"/>
                <w:szCs w:val="18"/>
                <w:color w:val="auto"/>
                <w:w w:val="77"/>
              </w:rPr>
              <w:t>—</w:t>
            </w:r>
          </w:p>
        </w:tc>
        <w:tc>
          <w:tcPr>
            <w:tcW w:w="200" w:type="dxa"/>
            <w:vAlign w:val="bottom"/>
          </w:tcPr>
          <w:p>
            <w:pPr>
              <w:spacing w:after="0"/>
              <w:rPr>
                <w:sz w:val="19"/>
                <w:szCs w:val="19"/>
                <w:color w:val="auto"/>
              </w:rPr>
            </w:pPr>
          </w:p>
        </w:tc>
        <w:tc>
          <w:tcPr>
            <w:tcW w:w="1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March 1, 2009 to March 31, 2009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7"/>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660" w:type="dxa"/>
            <w:vAlign w:val="bottom"/>
            <w:gridSpan w:val="2"/>
            <w:vMerge w:val="restart"/>
          </w:tcPr>
          <w:p>
            <w:pPr>
              <w:jc w:val="right"/>
              <w:ind w:right="2180"/>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spacing w:after="0"/>
              <w:rPr>
                <w:sz w:val="2"/>
                <w:szCs w:val="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1.32</w:t>
            </w:r>
          </w:p>
        </w:tc>
        <w:tc>
          <w:tcPr>
            <w:tcW w:w="840" w:type="dxa"/>
            <w:vAlign w:val="bottom"/>
            <w:vMerge w:val="restart"/>
          </w:tcPr>
          <w:p>
            <w:pPr>
              <w:ind w:left="680"/>
              <w:spacing w:after="0"/>
              <w:rPr>
                <w:sz w:val="20"/>
                <w:szCs w:val="20"/>
                <w:color w:val="auto"/>
              </w:rPr>
            </w:pPr>
            <w:r>
              <w:rPr>
                <w:rFonts w:ascii="Arial" w:cs="Arial" w:eastAsia="Arial" w:hAnsi="Arial"/>
                <w:sz w:val="18"/>
                <w:szCs w:val="18"/>
                <w:color w:val="auto"/>
                <w:w w:val="77"/>
              </w:rPr>
              <w:t>—</w:t>
            </w:r>
          </w:p>
        </w:tc>
        <w:tc>
          <w:tcPr>
            <w:tcW w:w="200" w:type="dxa"/>
            <w:vAlign w:val="bottom"/>
          </w:tcPr>
          <w:p>
            <w:pPr>
              <w:spacing w:after="0"/>
              <w:rPr>
                <w:sz w:val="2"/>
                <w:szCs w:val="2"/>
                <w:color w:val="auto"/>
              </w:rPr>
            </w:pPr>
          </w:p>
        </w:tc>
        <w:tc>
          <w:tcPr>
            <w:tcW w:w="146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660" w:type="dxa"/>
            <w:vAlign w:val="bottom"/>
            <w:gridSpan w:val="2"/>
            <w:vMerge w:val="continue"/>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92,201</w:t>
            </w: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gridSpan w:val="3"/>
            <w:vMerge w:val="restart"/>
          </w:tcPr>
          <w:p>
            <w:pPr>
              <w:jc w:val="right"/>
              <w:ind w:right="3400"/>
              <w:spacing w:after="0"/>
              <w:rPr>
                <w:sz w:val="20"/>
                <w:szCs w:val="20"/>
                <w:color w:val="auto"/>
              </w:rPr>
            </w:pPr>
            <w:r>
              <w:rPr>
                <w:rFonts w:ascii="Arial" w:cs="Arial" w:eastAsia="Arial" w:hAnsi="Arial"/>
                <w:sz w:val="18"/>
                <w:szCs w:val="18"/>
                <w:b w:val="1"/>
                <w:bCs w:val="1"/>
                <w:color w:val="auto"/>
                <w:w w:val="96"/>
              </w:rPr>
              <w:t>Item 6.  Exhibits</w:t>
            </w: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7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740" w:type="dxa"/>
            <w:vAlign w:val="bottom"/>
            <w:gridSpan w:val="3"/>
          </w:tcPr>
          <w:p>
            <w:pPr>
              <w:jc w:val="right"/>
              <w:ind w:right="2160"/>
              <w:spacing w:after="0"/>
              <w:rPr>
                <w:sz w:val="20"/>
                <w:szCs w:val="20"/>
                <w:color w:val="auto"/>
              </w:rPr>
            </w:pPr>
            <w:r>
              <w:rPr>
                <w:rFonts w:ascii="Arial" w:cs="Arial" w:eastAsia="Arial" w:hAnsi="Arial"/>
                <w:sz w:val="14"/>
                <w:szCs w:val="14"/>
                <w:b w:val="1"/>
                <w:bCs w:val="1"/>
                <w:u w:val="single" w:color="auto"/>
                <w:color w:val="auto"/>
              </w:rPr>
              <w:t>Exhibit Number</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Description</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-7620</wp:posOffset>
            </wp:positionV>
            <wp:extent cx="44850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ind w:left="2280"/>
        <w:spacing w:after="0"/>
        <w:tabs>
          <w:tab w:leader="none" w:pos="27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44" w:lineRule="exact"/>
        <w:rPr>
          <w:sz w:val="20"/>
          <w:szCs w:val="20"/>
          <w:color w:val="auto"/>
        </w:rPr>
      </w:pPr>
    </w:p>
    <w:p>
      <w:pPr>
        <w:ind w:left="2280"/>
        <w:spacing w:after="0"/>
        <w:tabs>
          <w:tab w:leader="none" w:pos="27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ind w:left="2280"/>
        <w:spacing w:after="0"/>
        <w:tabs>
          <w:tab w:leader="none" w:pos="27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ind w:left="2280"/>
        <w:spacing w:after="0"/>
        <w:tabs>
          <w:tab w:leader="none" w:pos="27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2340"/>
        <w:spacing w:after="0"/>
        <w:tabs>
          <w:tab w:leader="none" w:pos="5360" w:val="left"/>
        </w:tabs>
        <w:rPr>
          <w:sz w:val="20"/>
          <w:szCs w:val="20"/>
          <w:color w:val="auto"/>
        </w:rPr>
      </w:pPr>
      <w:r>
        <w:rPr>
          <w:rFonts w:ascii="Arial" w:cs="Arial" w:eastAsia="Arial" w:hAnsi="Arial"/>
          <w:sz w:val="18"/>
          <w:szCs w:val="18"/>
          <w:color w:val="auto"/>
        </w:rPr>
        <w:t>Dated: May 4, 2009</w:t>
      </w:r>
      <w:r>
        <w:rPr>
          <w:sz w:val="20"/>
          <w:szCs w:val="20"/>
          <w:color w:val="auto"/>
        </w:rPr>
        <w:tab/>
      </w:r>
      <w:r>
        <w:rPr>
          <w:rFonts w:ascii="Arial" w:cs="Arial" w:eastAsia="Arial" w:hAnsi="Arial"/>
          <w:sz w:val="16"/>
          <w:szCs w:val="16"/>
          <w:color w:val="auto"/>
        </w:rPr>
        <w:t>SONUS NETWORKS, INC.</w:t>
      </w:r>
    </w:p>
    <w:p>
      <w:pPr>
        <w:spacing w:after="0" w:line="252" w:lineRule="exact"/>
        <w:rPr>
          <w:sz w:val="20"/>
          <w:szCs w:val="20"/>
          <w:color w:val="auto"/>
        </w:rPr>
      </w:pPr>
    </w:p>
    <w:p>
      <w:pPr>
        <w:ind w:left="538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71120</wp:posOffset>
            </wp:positionV>
            <wp:extent cx="2101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7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46" w:lineRule="exact"/>
        <w:rPr>
          <w:sz w:val="20"/>
          <w:szCs w:val="20"/>
          <w:color w:val="auto"/>
        </w:rPr>
      </w:pPr>
    </w:p>
    <w:p>
      <w:pPr>
        <w:ind w:left="538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71120</wp:posOffset>
            </wp:positionV>
            <wp:extent cx="2101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7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Vice President, Finance, Corporate Controller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and Principal Accounting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640"/>
        <w:spacing w:after="0"/>
        <w:tabs>
          <w:tab w:leader="none" w:pos="5920" w:val="left"/>
        </w:tabs>
        <w:rPr>
          <w:sz w:val="20"/>
          <w:szCs w:val="20"/>
          <w:color w:val="auto"/>
        </w:rPr>
      </w:pPr>
      <w:r>
        <w:rPr>
          <w:rFonts w:ascii="Arial" w:cs="Arial" w:eastAsia="Arial" w:hAnsi="Arial"/>
          <w:sz w:val="14"/>
          <w:szCs w:val="14"/>
          <w:b w:val="1"/>
          <w:bCs w:val="1"/>
          <w:u w:val="single" w:color="auto"/>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0</wp:posOffset>
            </wp:positionV>
            <wp:extent cx="44850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jc w:val="right"/>
        <w:ind w:right="419"/>
        <w:spacing w:after="0"/>
        <w:tabs>
          <w:tab w:leader="none" w:pos="7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44" w:lineRule="exact"/>
        <w:rPr>
          <w:sz w:val="20"/>
          <w:szCs w:val="20"/>
          <w:color w:val="auto"/>
        </w:rPr>
      </w:pPr>
    </w:p>
    <w:p>
      <w:pPr>
        <w:ind w:left="2280"/>
        <w:spacing w:after="0"/>
        <w:tabs>
          <w:tab w:leader="none" w:pos="27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jc w:val="right"/>
        <w:ind w:right="419"/>
        <w:spacing w:after="0"/>
        <w:tabs>
          <w:tab w:leader="none" w:pos="7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ind w:left="2280"/>
        <w:spacing w:after="0"/>
        <w:tabs>
          <w:tab w:leader="none" w:pos="27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spacing w:after="0"/>
        <w:rPr>
          <w:rFonts w:ascii="Arial" w:cs="Arial" w:eastAsia="Arial" w:hAnsi="Arial"/>
          <w:sz w:val="22"/>
          <w:szCs w:val="22"/>
          <w:color w:val="0000EE"/>
        </w:rPr>
      </w:pPr>
      <w:hyperlink w:anchor="page3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N. Nottenburg, certify that:</w:t>
      </w:r>
    </w:p>
    <w:p>
      <w:pPr>
        <w:spacing w:after="0" w:line="23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4, 2009</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62230</wp:posOffset>
            </wp:positionV>
            <wp:extent cx="1929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38" w:name="page39"/>
    <w:bookmarkEnd w:id="38"/>
    <w:p>
      <w:pPr>
        <w:spacing w:after="0"/>
        <w:rPr>
          <w:rFonts w:ascii="Arial" w:cs="Arial" w:eastAsia="Arial" w:hAnsi="Arial"/>
          <w:sz w:val="22"/>
          <w:szCs w:val="22"/>
          <w:color w:val="0000EE"/>
        </w:rPr>
      </w:pPr>
      <w:hyperlink w:anchor="page4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J. Gaynor, certify that:</w:t>
      </w:r>
    </w:p>
    <w:p>
      <w:pPr>
        <w:spacing w:after="0" w:line="239"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4, 2009</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62230</wp:posOffset>
            </wp:positionV>
            <wp:extent cx="1929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40" w:name="page41"/>
    <w:bookmarkEnd w:id="40"/>
    <w:p>
      <w:pPr>
        <w:spacing w:after="0"/>
        <w:rPr>
          <w:rFonts w:ascii="Arial" w:cs="Arial" w:eastAsia="Arial" w:hAnsi="Arial"/>
          <w:sz w:val="22"/>
          <w:szCs w:val="22"/>
          <w:color w:val="0000EE"/>
        </w:rPr>
      </w:pPr>
      <w:hyperlink w:anchor="page4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In connection with the Quarterly Report on Form 10-Q of Sonus Networks, Inc. (the "Company") for the period ended March 31, 2009 as filed with the Securities and Exchange Commission on the date hereof (the "Report"), the undersigned, Richard N. Nottenburg, President and Chief Executive Officer of the Company, hereby certifies, pursuant to 18 U.S.C. Section 1350, as adopted pursuant to Section 906 of the Sarbanes-Oxley Act of 2002, that to his knowledge:</w:t>
      </w:r>
    </w:p>
    <w:p>
      <w:pPr>
        <w:spacing w:after="0" w:line="156"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160" w:firstLine="548"/>
        <w:spacing w:after="0" w:line="50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4, 2009</w:t>
      </w:r>
    </w:p>
    <w:p>
      <w:pPr>
        <w:ind w:left="580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62230</wp:posOffset>
            </wp:positionV>
            <wp:extent cx="1929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42" w:name="page43"/>
    <w:bookmarkEnd w:id="42"/>
    <w:p>
      <w:pPr>
        <w:spacing w:after="0"/>
        <w:rPr>
          <w:rFonts w:ascii="Arial" w:cs="Arial" w:eastAsia="Arial" w:hAnsi="Arial"/>
          <w:sz w:val="22"/>
          <w:szCs w:val="22"/>
          <w:color w:val="0000EE"/>
        </w:rPr>
      </w:pPr>
      <w:hyperlink w:anchor="page4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March 31, 2009 as filed with the Securities and Exchange Commission on the date hereof (the "Report"), the undersigned, Richard J. Gaynor, Chief Financial Officer of the Company, hereby certifies, pursuant to 18 U.S.C. Section 1350, as adopted pursuant to Section 906 of the Sarbanes-Oxley Act of 2002, that to his knowledge:</w:t>
      </w:r>
    </w:p>
    <w:p>
      <w:pPr>
        <w:spacing w:after="0" w:line="174"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160" w:firstLine="548"/>
        <w:spacing w:after="0" w:line="50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4, 2009</w:t>
      </w:r>
    </w:p>
    <w:p>
      <w:pPr>
        <w:ind w:left="5800"/>
        <w:spacing w:after="0"/>
        <w:rPr>
          <w:sz w:val="20"/>
          <w:szCs w:val="20"/>
          <w:color w:val="auto"/>
        </w:rPr>
      </w:pPr>
      <w:r>
        <w:rPr>
          <w:rFonts w:ascii="Arial" w:cs="Arial" w:eastAsia="Arial" w:hAnsi="Arial"/>
          <w:sz w:val="18"/>
          <w:szCs w:val="18"/>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62230</wp:posOffset>
            </wp:positionV>
            <wp:extent cx="1929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2019-12-10T19:21:59Z</dcterms:created>
  <dcterms:modified xsi:type="dcterms:W3CDTF">2019-12-10T19:21:59Z</dcterms:modified>
</cp:coreProperties>
</file>