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9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9648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McCaffery Stephen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600"/>
        <w:spacing w:after="0" w:line="319" w:lineRule="auto"/>
        <w:rPr>
          <w:sz w:val="20"/>
          <w:szCs w:val="20"/>
          <w:color w:val="auto"/>
        </w:rPr>
      </w:pPr>
      <w:r>
        <w:rPr>
          <w:rFonts w:ascii="Times New Roman" w:cs="Times New Roman" w:eastAsia="Times New Roman" w:hAnsi="Times New Roman"/>
          <w:sz w:val="16"/>
          <w:szCs w:val="16"/>
          <w:color w:val="0000FF"/>
        </w:rPr>
        <w:t>C/O RIBBON COMMUNICATIONS 6500 CHASE OAKS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Ribbon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RBBN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98"/>
        <w:spacing w:after="0"/>
        <w:rPr>
          <w:sz w:val="20"/>
          <w:szCs w:val="20"/>
          <w:color w:val="auto"/>
        </w:rPr>
      </w:pPr>
      <w:r>
        <w:rPr>
          <w:rFonts w:ascii="Times New Roman" w:cs="Times New Roman" w:eastAsia="Times New Roman" w:hAnsi="Times New Roman"/>
          <w:sz w:val="16"/>
          <w:szCs w:val="16"/>
          <w:color w:val="0000FF"/>
        </w:rPr>
        <w:t>EVP, Global Sales</w:t>
      </w:r>
    </w:p>
    <w:p>
      <w:pPr>
        <w:spacing w:after="0" w:line="43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700" w:type="dxa"/>
            <w:vAlign w:val="bottom"/>
            <w:gridSpan w:val="7"/>
          </w:tcPr>
          <w:p>
            <w:pPr>
              <w:ind w:left="160"/>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9"/>
          </w:tcPr>
          <w:p>
            <w:pPr>
              <w:ind w:left="28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PLANO</w:t>
            </w: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75023</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3"/>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9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40" w:type="dxa"/>
            <w:vAlign w:val="bottom"/>
            <w:gridSpan w:val="3"/>
          </w:tcPr>
          <w:p>
            <w:pPr>
              <w:ind w:left="9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5"/>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2"/>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Restructed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 Unites</w:t>
            </w:r>
          </w:p>
        </w:tc>
        <w:tc>
          <w:tcPr>
            <w:tcW w:w="780" w:type="dxa"/>
            <w:vAlign w:val="bottom"/>
            <w:vMerge w:val="continue"/>
          </w:tcPr>
          <w:p>
            <w:pPr>
              <w:spacing w:after="0"/>
              <w:rPr>
                <w:sz w:val="10"/>
                <w:szCs w:val="10"/>
                <w:color w:val="auto"/>
              </w:rPr>
            </w:pPr>
          </w:p>
        </w:tc>
        <w:tc>
          <w:tcPr>
            <w:tcW w:w="88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0000FF"/>
              </w:rPr>
              <w:t>06/15/2026</w:t>
            </w: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200,000</w:t>
            </w:r>
          </w:p>
        </w:tc>
        <w:tc>
          <w:tcPr>
            <w:tcW w:w="2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200,000</w:t>
            </w:r>
          </w:p>
        </w:tc>
        <w:tc>
          <w:tcPr>
            <w:tcW w:w="62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120,000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Based RSUs</w:t>
            </w:r>
          </w:p>
        </w:tc>
        <w:tc>
          <w:tcPr>
            <w:tcW w:w="780" w:type="dxa"/>
            <w:vAlign w:val="bottom"/>
            <w:vMerge w:val="continue"/>
          </w:tcPr>
          <w:p>
            <w:pPr>
              <w:spacing w:after="0"/>
              <w:rPr>
                <w:sz w:val="10"/>
                <w:szCs w:val="10"/>
                <w:color w:val="auto"/>
              </w:rPr>
            </w:pPr>
          </w:p>
        </w:tc>
        <w:tc>
          <w:tcPr>
            <w:tcW w:w="880" w:type="dxa"/>
            <w:vAlign w:val="bottom"/>
          </w:tcPr>
          <w:p>
            <w:pPr>
              <w:jc w:val="right"/>
              <w:ind w:right="17"/>
              <w:spacing w:after="0" w:line="126" w:lineRule="exact"/>
              <w:rPr>
                <w:sz w:val="20"/>
                <w:szCs w:val="20"/>
                <w:color w:val="auto"/>
              </w:rPr>
            </w:pPr>
            <w:r>
              <w:rPr>
                <w:rFonts w:ascii="Times New Roman" w:cs="Times New Roman" w:eastAsia="Times New Roman" w:hAnsi="Times New Roman"/>
                <w:sz w:val="13"/>
                <w:szCs w:val="13"/>
                <w:color w:val="0000FF"/>
              </w:rPr>
              <w:t>06/15/2026</w:t>
            </w: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120,000</w:t>
            </w:r>
          </w:p>
        </w:tc>
        <w:tc>
          <w:tcPr>
            <w:tcW w:w="2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120,000</w:t>
            </w:r>
          </w:p>
        </w:tc>
        <w:tc>
          <w:tcPr>
            <w:tcW w:w="62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(PSUs)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PSUs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0000FF"/>
              </w:rPr>
              <w:t>06/15/2026</w:t>
            </w: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80,000</w:t>
            </w:r>
          </w:p>
        </w:tc>
        <w:tc>
          <w:tcPr>
            <w:tcW w:w="2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80,000</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-2319655</wp:posOffset>
            </wp:positionV>
            <wp:extent cx="28575" cy="2325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537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and PSUs convert to Common Stock on a one-for-one basis.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one-third on June 15, 2027; the remaining two-thirds of the RSUs will vest in four equal semi-annual installments thereafter through June 15, 2029.</w:t>
      </w:r>
    </w:p>
    <w:p>
      <w:pPr>
        <w:spacing w:after="0" w:line="39"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PSUs earned and issuable upon vesting will be determined based on goals (set by the Compensation Committee of the Board of Directors (the "Compensation Committee") on an annual basis) for each of the three fiscal years prior to the vesting date. The aggregate number of shares issued may range from zero shares to 100% of the target number of shares reported in columns 5, 7 and 9 of Table II. The number of PSUs reported in columns 5, 7 and 9 of Table II reflects achievement at the target level of performance. These PSUs will vest on April 15, 2029.</w:t>
      </w:r>
    </w:p>
    <w:p>
      <w:pPr>
        <w:spacing w:after="0" w:line="26" w:lineRule="exact"/>
        <w:rPr>
          <w:rFonts w:ascii="Times New Roman" w:cs="Times New Roman" w:eastAsia="Times New Roman" w:hAnsi="Times New Roman"/>
          <w:sz w:val="13"/>
          <w:szCs w:val="13"/>
          <w:color w:val="008000"/>
        </w:rPr>
      </w:pPr>
    </w:p>
    <w:p>
      <w:pPr>
        <w:ind w:left="40" w:right="28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PSUs earned and issuable upon vesting will be determined based on the Issuer's total shareholder return (TSR) compared to pre-established relative TSR goals, based on the TSR of a peer index of companies (set by the Compensation Committee at the time of grant) over the three fiscal years ending prior to the vesting date. The aggregate number of shares issued may range from zero shares to 125% of the target number of shares reported in columns 5, 7 and 9 of Table II. The number of PSUs reported in columns 5, 7 and 9 of Table II reflects achievement at the target level of performance. These PSUs will vest on April 15, 2029.</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Patrick Macken, By POA from</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06/17/2026</w:t>
            </w:r>
          </w:p>
        </w:tc>
        <w:tc>
          <w:tcPr>
            <w:tcW w:w="0" w:type="dxa"/>
            <w:vAlign w:val="bottom"/>
          </w:tcPr>
          <w:p>
            <w:pPr>
              <w:spacing w:after="0"/>
              <w:rPr>
                <w:sz w:val="1"/>
                <w:szCs w:val="1"/>
                <w:color w:val="auto"/>
              </w:rPr>
            </w:pPr>
          </w:p>
        </w:tc>
      </w:tr>
      <w:tr>
        <w:trPr>
          <w:trHeight w:val="86"/>
        </w:trPr>
        <w:tc>
          <w:tcPr>
            <w:tcW w:w="1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9"/>
              </w:rPr>
              <w:t>Stephen J. McCaffery</w:t>
            </w:r>
          </w:p>
        </w:tc>
        <w:tc>
          <w:tcPr>
            <w:tcW w:w="7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29"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2026-06-17T15:59:59Z</dcterms:created>
  <dcterms:modified xsi:type="dcterms:W3CDTF">2026-06-17T15:59:59Z</dcterms:modified>
</cp:coreProperties>
</file>