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Mair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6500 CHASE OAKS BOULEVARD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PLANO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Ribbon Communications Inc.</w:t>
              </w:r>
            </w:hyperlink>
            <w:r>
              <w:rPr/>
              <w:t xml:space="preserve"> [ </w:t>
            </w:r>
            <w:r>
              <w:rPr>
                <w:rFonts w:ascii="Times;serif" w:hAnsi="Times;serif"/>
                <w:color w:val="0000FF"/>
                <w:sz w:val="24"/>
                <w:shd w:fill="FFFFFF" w:val="clear"/>
              </w:rPr>
              <w:t>RBBN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208,138</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63,197</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63,197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RSUs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will vest on June 15, 2027, subject to the Reporting Person's continued service with the Issuer through such date; provided, however, that if the Issuer's 2027 Annual Meeting of Stockholders (the "2027 Annual Meeting") occurs prior to June 15, 2027, and, at such 2027 Annual Meeting, the Reporting Person either chooses not to stand for re-election to the Issuer's Board of Directors or, after standing for re-election, is not re-elected, then these RSUs will vest as of the date of the 2027 Annual Meeting.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were awarded on June 16, 2025 and vested in full on June 16,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Patrick Macken, By POA from Scott Mair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5175" TargetMode="External"/><Relationship Id="rId5" Type="http://schemas.openxmlformats.org/officeDocument/2006/relationships/hyperlink" Target="http://www.sec.gov/cgi-bin/browse-edgar?action=getcompany&amp;CIK=00017080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710</Words>
  <Characters>3738</Characters>
  <CharactersWithSpaces>4367</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