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October 27, 2026</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RIBBON COMMUNICATIONS INC.</w:t>
      </w:r>
    </w:p>
    <w:p>
      <w:pPr>
        <w:spacing w:after="0" w:line="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754" w:right="499" w:bottom="1440" w:gutter="0" w:footer="0" w:header="0"/>
        </w:sectPr>
      </w:pPr>
    </w:p>
    <w:p>
      <w:pPr>
        <w:spacing w:after="0" w:line="232"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3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001-38267</w:t>
      </w:r>
    </w:p>
    <w:p>
      <w:pPr>
        <w:spacing w:after="0" w:line="36"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82-1669692</w:t>
      </w:r>
    </w:p>
    <w:p>
      <w:pPr>
        <w:spacing w:after="0" w:line="36"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300"/>
          </w:cols>
          <w:pgMar w:left="320" w:top="754" w:right="499" w:bottom="1440"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6500 Chase Oaks Blvd., Suite 100, Plano, TX 75023</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(978) 614-8100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type w:val="continuous"/>
        </w:sectPr>
      </w:pPr>
    </w:p>
    <w:p>
      <w:pPr>
        <w:spacing w:after="0" w:line="200" w:lineRule="exact"/>
        <w:rPr>
          <w:sz w:val="24"/>
          <w:szCs w:val="24"/>
          <w:color w:val="auto"/>
        </w:rPr>
      </w:pPr>
    </w:p>
    <w:p>
      <w:pPr>
        <w:spacing w:after="0" w:line="24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080"/>
          </w:cols>
          <w:pgMar w:left="320" w:top="754" w:right="499" w:bottom="1440" w:gutter="0" w:footer="0" w:header="0"/>
          <w:type w:val="continuous"/>
        </w:sectPr>
      </w:pPr>
    </w:p>
    <w:p>
      <w:pPr>
        <w:spacing w:after="0" w:line="225"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7"/>
          <w:szCs w:val="17"/>
          <w:color w:val="auto"/>
        </w:rPr>
        <w:t>Common Stock, par value $0.0001</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RBBN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The Nasdaq Global Select Market</w:t>
      </w:r>
    </w:p>
    <w:p>
      <w:pPr>
        <w:spacing w:after="0" w:line="200" w:lineRule="exact"/>
        <w:rPr>
          <w:sz w:val="24"/>
          <w:szCs w:val="24"/>
          <w:color w:val="auto"/>
        </w:rPr>
      </w:pPr>
    </w:p>
    <w:p>
      <w:pPr>
        <w:sectPr>
          <w:pgSz w:w="11900" w:h="16838" w:orient="portrait"/>
          <w:cols w:equalWidth="0" w:num="3">
            <w:col w:w="4200" w:space="720"/>
            <w:col w:w="1800" w:space="720"/>
            <w:col w:w="3640"/>
          </w:cols>
          <w:pgMar w:left="320" w:top="754" w:right="499" w:bottom="1440" w:gutter="0" w:footer="0" w:header="0"/>
          <w:type w:val="continuous"/>
        </w:sectPr>
      </w:pPr>
    </w:p>
    <w:p>
      <w:pPr>
        <w:spacing w:after="0" w:line="7"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754"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(the "Current Report"), including Exhibit 99.1 attached hereto, shall not be deemed “filed” for purposes of Section 18 of the Securities Exchange Act of 1934, as amended (the “Exchange Act”), otherwise subject to the liabilities of that Section or incorporated by reference in any filing under the Securities Act of 1933, as amended (the "Securities Act"), or the Exchange Act, except as shall be expressly set forth by specific reference in such a filing.</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On October 27, 2026, Ribbon Communications Inc. (the "Company") issued a press release reporting financial information for the quarter ended September 30, 2026, a copy of which is furnished as Exhibit 99.1 to this Current Report on Form 8-K.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99.1Press Release of Ribbon Communications Inc., dated October 27,2026.</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w:t>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ibbon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ommunications</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Patrick Macken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Patrick W. Macken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Executive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0" w:right="5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499870"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98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Ribbon Communications Inc. Reports</w:t>
      </w:r>
    </w:p>
    <w:p>
      <w:pPr>
        <w:spacing w:after="0" w:line="3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Third Quarter 2026 Financial Results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Revenue increased 14% sequentially and Net Income improved by $18M;</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further significant gains expected in 4Q 2026</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IP Optical Networks Revenue increased 17% QoQ led by new wins in North America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Cloud and Edge Revenue increased 11% QoQ led by U.S. Tier 1 Network Modernization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Growing Pipeline of Data Center and AI-related Opportunities</w:t>
      </w:r>
    </w:p>
    <w:p>
      <w:pPr>
        <w:spacing w:after="0" w:line="22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PLANO, Texas – </w:t>
      </w:r>
      <w:r>
        <w:rPr>
          <w:rFonts w:ascii="Times New Roman" w:cs="Times New Roman" w:eastAsia="Times New Roman" w:hAnsi="Times New Roman"/>
          <w:sz w:val="18"/>
          <w:szCs w:val="18"/>
          <w:u w:val="single" w:color="auto"/>
          <w:color w:val="auto"/>
        </w:rPr>
        <w:t>Ribbon Communications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RBBN), a global leader in real-time communications technology, IP routing, and optical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networking solutions, today announced its financial results for the third quarter of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Results¹:</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Revenue was $219 million, compared to $215 million for the third quarter of 2025</w:t>
      </w:r>
    </w:p>
    <w:p>
      <w:pPr>
        <w:spacing w:after="0" w:line="26"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GAAP Operating Income was $6 million, compared to $3 million for the third quarter of 2025</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Non-GAAP Adjusted EBITDA was $27 million, compared to $29 million for the third quarter of 2025</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GAAP Gross Margin was 48.2%, compared to 50.1% for the third quarter of 2025</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Non-GAAP Gross Margin was 50.3%, compared to 52.6% for the third quarter of 2025</w:t>
      </w:r>
    </w:p>
    <w:p>
      <w:pPr>
        <w:spacing w:after="0" w:line="20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had meaningful sequential increases in revenue and profitability in both of our operating segments again in the third quarter, consistent with our second quarter results commentary. The strong IP Optical Networks bookings trend in the first half of the year translated into a record third quarter sales for the business, growing 5% year over year and included two new U.S. Tier 2 Internet Service Provider customers,” stated Bruce McClelland, President and Chief Executive Officer of Ribbon Communications. “We are also encouraged by increased activity in the Cloud and Edge segment with Service Provider revenue growing 15% sequentially supported by a 50% increase in sales to our largest customer, along with further growth in the Enterprise and Government market segments. This progress clearly supports the second-half improvement we expected, with positive trends in both operating segments and stronger results projected for the fourth quarter. Looking ahead to 2027, we see further growth drivers with the adoption of voice-enabled Enterprise AI applications, new solutions to mitigate AI-generated voice-phishing cyber-attacks, and broader demand for data center fiber infrastructure.”</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Rick Marmurek, Chief Financial Officer of Ribbon Communications, remarked, “Our performance improved significantly in the third quarter, with revenue increasing 14% and Adjusted EBITDA more than doubling to $27 million from $12 million in the second quarter. At the same time, Non-GAAP operating expenses remained at $88 million. We continue to focus on expanding margins, maintaining strong cost discipline, and further strengthening our balance sheet.”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457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9"/>
                <w:szCs w:val="19"/>
                <w:color w:val="auto"/>
              </w:rPr>
            </w:pPr>
          </w:p>
        </w:tc>
        <w:tc>
          <w:tcPr>
            <w:tcW w:w="252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amounts</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Revenue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 (loss)</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 (loss)</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Adjusted EBITDA</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52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diluted earnings (loss) per share</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(0.05)</w:t>
            </w:r>
          </w:p>
        </w:tc>
        <w:tc>
          <w:tcPr>
            <w:tcW w:w="52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earnings (loss) per share</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0.07</w:t>
            </w:r>
          </w:p>
        </w:tc>
        <w:tc>
          <w:tcPr>
            <w:tcW w:w="52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bl>
    <w:p>
      <w:pPr>
        <w:spacing w:after="0" w:line="220" w:lineRule="exact"/>
        <w:rPr>
          <w:sz w:val="20"/>
          <w:szCs w:val="20"/>
          <w:color w:val="auto"/>
        </w:rPr>
      </w:pPr>
    </w:p>
    <w:p>
      <w:pPr>
        <w:ind w:right="320" w:firstLine="8"/>
        <w:spacing w:after="0" w:line="195" w:lineRule="auto"/>
        <w:tabs>
          <w:tab w:leader="none" w:pos="12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Please see the reconciliations of the non-GAAP financial measures to the most directly comparable GAAP measures and additional information about non-GAAP measures in the section entitled “Discussion of Non-GAAP Financial Measures” in the attached schedules.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HubOne Selects Ribbon's PSX to Unify Voice Traffic Across Its Applications</w:t>
      </w:r>
    </w:p>
    <w:p>
      <w:pPr>
        <w:spacing w:after="0" w:line="26" w:lineRule="exact"/>
        <w:rPr>
          <w:rFonts w:ascii="Arial" w:cs="Arial" w:eastAsia="Arial" w:hAnsi="Arial"/>
          <w:sz w:val="18"/>
          <w:szCs w:val="18"/>
          <w:b w:val="1"/>
          <w:bCs w:val="1"/>
          <w:color w:val="auto"/>
        </w:rPr>
      </w:pPr>
    </w:p>
    <w:p>
      <w:pPr>
        <w:ind w:left="660" w:right="180" w:hanging="328"/>
        <w:spacing w:after="0" w:line="249" w:lineRule="auto"/>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Ribbon's Optical and DCI Solutions Enable PT Jala Lintas Media (JLM) to Unlock Subsea and Metro Network Capacity Between Indonesia and Singapore</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Ribbon Bolsters Its Market-Leading Critical Infrastructure Portfolio</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Ribbon and TNS Simplify Legacy Voice Switch Replacement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r>
        <w:rPr>
          <w:rFonts w:ascii="Times New Roman" w:cs="Times New Roman" w:eastAsia="Times New Roman" w:hAnsi="Times New Roman"/>
          <w:sz w:val="29"/>
          <w:szCs w:val="29"/>
          <w:b w:val="1"/>
          <w:bCs w:val="1"/>
          <w:color w:val="auto"/>
          <w:vertAlign w:val="superscript"/>
        </w:rPr>
        <w:t>2</w:t>
      </w:r>
    </w:p>
    <w:p>
      <w:pPr>
        <w:spacing w:after="0" w:line="13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fourth quarter of 2026, the Company projects revenue of $233 million to $247 million. Non-GAAP gross margin is projected in a range of 53.5% to 54.5%. Adjusted EBITDA is projected in a range of $40 million to $47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outlook is based on current indications for its business, which are subject to change.</w:t>
      </w:r>
    </w:p>
    <w:p>
      <w:pPr>
        <w:spacing w:after="0" w:line="266" w:lineRule="exact"/>
        <w:rPr>
          <w:sz w:val="20"/>
          <w:szCs w:val="20"/>
          <w:color w:val="auto"/>
        </w:rPr>
      </w:pPr>
    </w:p>
    <w:p>
      <w:pPr>
        <w:ind w:right="80" w:firstLine="8"/>
        <w:spacing w:after="0" w:line="210" w:lineRule="auto"/>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GAAP earnings guidance is not provided. Please see the reconciliations of the non-GAAP financial measures to the most directly comparable GAAP measures and additional information about the non-GAAP measures in the section entitled “Discussion of Non-GAAP Financial Measures” in the attached schedules.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 Schedule</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November 10-12, 2026:   </w:t>
      </w:r>
      <w:r>
        <w:rPr>
          <w:rFonts w:ascii="Times New Roman" w:cs="Times New Roman" w:eastAsia="Times New Roman" w:hAnsi="Times New Roman"/>
          <w:sz w:val="18"/>
          <w:szCs w:val="18"/>
          <w:b w:val="1"/>
          <w:bCs w:val="1"/>
          <w:color w:val="auto"/>
        </w:rPr>
        <w:t>Ribbon Insights, U.S.</w:t>
      </w:r>
    </w:p>
    <w:p>
      <w:pPr>
        <w:spacing w:after="0" w:line="30"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November 19, 2026:</w:t>
      </w:r>
      <w:r>
        <w:rPr>
          <w:rFonts w:ascii="Times New Roman" w:cs="Times New Roman" w:eastAsia="Times New Roman" w:hAnsi="Times New Roman"/>
          <w:sz w:val="17"/>
          <w:szCs w:val="17"/>
          <w:b w:val="1"/>
          <w:bCs w:val="1"/>
          <w:color w:val="auto"/>
        </w:rPr>
        <w:t>Needham Virtual Technology Conference</w:t>
      </w:r>
    </w:p>
    <w:p>
      <w:pPr>
        <w:spacing w:after="0" w:line="8" w:lineRule="exact"/>
        <w:rPr>
          <w:rFonts w:ascii="Arial" w:cs="Arial" w:eastAsia="Arial" w:hAnsi="Arial"/>
          <w:sz w:val="18"/>
          <w:szCs w:val="18"/>
          <w:b w:val="1"/>
          <w:bCs w:val="1"/>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December 1, 2026:</w:t>
      </w:r>
      <w:r>
        <w:rPr>
          <w:rFonts w:ascii="Times New Roman" w:cs="Times New Roman" w:eastAsia="Times New Roman" w:hAnsi="Times New Roman"/>
          <w:sz w:val="17"/>
          <w:szCs w:val="17"/>
          <w:b w:val="1"/>
          <w:bCs w:val="1"/>
          <w:color w:val="auto"/>
        </w:rPr>
        <w:t>UBS Global Technology &amp; AI Conference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Ribbon Communications will host a conference call to discuss the Company’s financial results at 4:30 p.m. ET on Tuesday, October 27,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Dial-in Information: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US/Canada: 877-407-2991</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International: 201-389-0925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Instant Telephone Access: </w:t>
      </w:r>
      <w:r>
        <w:rPr>
          <w:rFonts w:ascii="Times New Roman" w:cs="Times New Roman" w:eastAsia="Times New Roman" w:hAnsi="Times New Roman"/>
          <w:sz w:val="18"/>
          <w:szCs w:val="18"/>
          <w:u w:val="single" w:color="auto"/>
          <w:color w:val="auto"/>
        </w:rPr>
        <w:t>Call 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(listen-only) webcast and replay will be available on the Company’s Investor Relations website at </w:t>
      </w:r>
      <w:r>
        <w:rPr>
          <w:rFonts w:ascii="Times New Roman" w:cs="Times New Roman" w:eastAsia="Times New Roman" w:hAnsi="Times New Roman"/>
          <w:sz w:val="18"/>
          <w:szCs w:val="18"/>
          <w:u w:val="single" w:color="auto"/>
          <w:color w:val="auto"/>
        </w:rPr>
        <w:t>investors.ribboncommunications.com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(978) 614-8050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ir@rbbn.com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Catherine Berthier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741-1974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cberthier@rbbn.com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Ribbon</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Ribbon Communications (Nasdaq: RBBN) is a global provider of voice communications software, IP routing, and optical networking to mobile and wireline service providers, enterprises, critical infrastructure and defense sectors. We support our customers’ Path to Autonomous Networks by leveraging the latest AIOps automation platforms and Agentic AI technologies, helping them deliver better customer experiences, reduce operational costs, and achieve sustainable growth. To learn more about Ribbon, visit </w:t>
      </w:r>
      <w:r>
        <w:rPr>
          <w:rFonts w:ascii="Times New Roman" w:cs="Times New Roman" w:eastAsia="Times New Roman" w:hAnsi="Times New Roman"/>
          <w:sz w:val="18"/>
          <w:szCs w:val="18"/>
          <w:u w:val="single" w:color="auto"/>
          <w:color w:val="auto"/>
        </w:rPr>
        <w:t>rbbn.com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the U.S. Private Securities Litigation Reform Act of 1995, which are subject to a number of risks and uncertainties. All statements other than statements of historical facts contained in this release, including without limitation, statements regarding Company’s projected financial results for the fourth quarter 2026 and beyond; expected customer bookings, spend and timing; beliefs about the Company’s business strategy, including new product introductions such as the Acumen AIOps platform; beliefs about the accelerating adoption of AI and the shift towards autonomous networking; and the timing of customer network transformation projects, are forward-looking statements. Without limiting the foregoing, the words “anticipates”, “believes”, “could”, “estimates”, “expects”, “expectations”, “intends”, “may”, “plans”, “projects” and other similar language, whether in the negative or affirmative, are intended to identify forward-looking statements, although not all forward-looking statements contain these identifying words.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Forward-looking statements are based on the Company’s current expectations and assumptions regarding its business, the economy and other future conditions. Because forward-looking statements relate to the future, they are subject to inherent uncertainties, risks and changes in circumstances that are unknown and/or difficult to predict and that may cause the Company’s actual results, performance or achievements to be materially different from those expressed or implied by the forward-looking statements. Such risks and uncertainties include, but are not limited to, unpredictable fluctuations in quarterly revenue and operating results; the impact of restructuring and cost-containment activities; impacts from new tariffs, the potential modification of, or loss of benefits under, the USMCA and other trade restrictions or taxes on our products; supply chain disruptions resulting from component availability; impacts from the wars in the Middle East and Ukraine and related economic volatility and uncertainty resulting therefrom; the impact of military call-ups of our employees in Israel; material litigation; the impact of fluctuations in interest rates; material cybersecurity and data intrusion incidents, including any security breaches resulting in the theft, transfer, or unauthorized disclosure of customer, employee, or company information; our ability to comply with applicable domestic and foreign information security and privacy laws, regulations and technology platform rules or other obligations related to data privacy and security; failure to compete successfully against telecommunications equipment and networking companies; failure to grow our customer base or generate recurring business from our existing customers; credit risks; the timing of customer purchasing decisions and our recognition of revenues; macroeconomic conditions, including inflation; our ability to adapt to rapid technological and market changes; our ability to generate positive returns on our research and development; our ability to protect our intellectual property rights and obtain necessary licenses; our ability to maintain partner, reseller, distribution and vendor support and supply relationships; the potential for defects in our products; risks related to the terms of our Credit Agreement, including our ability to comply with the maximum net leverage ratio, our ability to obtain future waivers or amendments to the Credit Agreement, and increases in the applicable interest margin; higher risks in international operations and markets; currency fluctuations; unanticipated adverse changes in legal, regulatory or tax laws; future accounting pronouncements or changes in our accounting policies; and/or failure or circumvention of our controls and procedures. We therefore caution you against relying on any of these forward-looking statements.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 w:name="page7"/>
    <w:bookmarkEnd w:id="6"/>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45770"/>
                    </a:xfrm>
                    <a:prstGeom prst="rect">
                      <a:avLst/>
                    </a:prstGeom>
                    <a:noFill/>
                  </pic:spPr>
                </pic:pic>
              </a:graphicData>
            </a:graphic>
          </wp:anchor>
        </w:drawing>
      </w:r>
    </w:p>
    <w:p>
      <w:pPr>
        <w:ind w:right="100"/>
        <w:spacing w:after="0" w:line="258" w:lineRule="auto"/>
        <w:rPr>
          <w:sz w:val="20"/>
          <w:szCs w:val="20"/>
          <w:color w:val="auto"/>
        </w:rPr>
      </w:pPr>
      <w:r>
        <w:rPr>
          <w:rFonts w:ascii="Times New Roman" w:cs="Times New Roman" w:eastAsia="Times New Roman" w:hAnsi="Times New Roman"/>
          <w:sz w:val="18"/>
          <w:szCs w:val="18"/>
          <w:color w:val="auto"/>
        </w:rPr>
        <w:t>These factors are not intended to be an all-encompassing list of risks and uncertainties that may affect the Company's business and results from operations. Additional information regarding these and other factors can be found in the Company's reports filed with the Securities and Exchange Commission, including, without limitation, its Form 10-K for the year ended December 31, 2025. Any forward-looking statement made by the Company in this release speaks only as of the date on which this release was first issued. The Company undertakes no obligation to update any forward-looking statement publicly or otherwise, whether as a result of new information, future developments or otherwise,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Non-GAAP Financial Measures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Company’s management uses several different financial measures, both GAAP and non-GAAP, in analyzing and assessing the overall performance of its business, making operating decisions, planning and forecasting future periods, and determining payments under compensation programs. The Company considers the use of non-GAAP financial measures helpful in assessing the core performance of its continuing operations and when planning and forecasting future periods. The Company’s annual financial plan is prepared on a non-GAAP basis and is approved by its board of directors. In addition, budgeting and forecasting for revenue and expenses are conducted on a non-GAAP basis, and actual results on a non-GAAP basis are assessed against the annual financial plan. The Company defines continuing operations as the ongoing results of its business adjusted for certain expenses and credits, as described below. The Company believes that providing non-GAAP information to investors allows them to view the Company's financial results in the way its management views them and helps investors to better understand the Company’s core financial and operating performance and evaluate the efficacy of the methodology and information used by its management to evaluate and measure such performance.</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While the Company’s management uses non-GAAP financial measures as tools to enhance its understanding of certain aspects of the Company’s financial performance, management does not consider these measures to be a substitute for, or superior to, GAAP measures. In addition, the Company’s presentations of these measures may not be comparable to similarly titled measures used by other companies. These non-GAAP financial measures should not be considered alternatives for, or in isolation from, the financial information prepared and presented in accordance with GAAP. Investors are cautioned that there are material limitations associated with the use of non-GAAP financial measures. In particular, many of the adjustments to the Company’s financial measures reflect the exclusion of items that are recurring and will be reflected in its financial results for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expense related to stock-based awards is generally not controllable in the short-term and can vary significantly based on the timing, size and nature of awards granted. The Company believes that presenting non-GAAP operating results that exclude stock-based compensation provides investors with visibility and insight into its management’s method of analysis and its core operating performance.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Technology (including software licenses); Amortization of Acquired Intangible Assets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Amortization amounts are inconsistent in frequency and amount and are significantly impacted by the timing and size of acquisitions. Amortization of acquired technology is reported separately within Cost of revenue and Amortization of acquired intangible assets is reported separately within Operating expenses. These items are reported collectively as Amortization of acquired intangible assets in the accompanying reconciliations of non-GAAP and GAAP financial measures. The Company believes that excluding non-cash amortization of these intangible assets facilitates the comparison of its financial results to its historical operating results and to other companies in its industry as if the acquired intangible assets had been developed internally rather than acquired.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Costs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certain ongoing litigation where Ribbon is the defendant (as described in the Company's Commitments and Contingencies footnotes in its Form 10-Qs and Form 10-Ks filed with the SEC), the Company has incurred litigation costs beginning in 2023. These costs are included as a component of general and administrative expense. The Company believes that such costs are not part of its core business or ongoing operations, are unplanned, and generally are not within its control. Accordingly, the Company believes that excluding litigation costs related to these specific legal matters facilitates the comparison of the Company's financial results to its historical operating results and to other companies in its industry.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445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457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Cybersecurity Incident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recorded expenses associated with responding to and remediating a cybersecurity incident, including costs for external legal services, cybersecurity experts, and IT restoration activities. The Company believes that excluding these expenses facilitates the comparison of its financial results to its historical operating performance and to other companies in its industry, as these costs are non-recurring in nature and are not associated with future revenue streams or ongoing operational benefits.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Disposal- and Integration-Related</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considers certain acquisition-, disposal- and integration-related costs to be unrelated to the organic continuing operations of the Company and its acquired businesses. Such costs are generally not relevant to assessing or estimating the long-term performance of the acquired assets. In 2025, the Company recorded expense for legal and professional fees associated with contemplated corporate development activities. The Company excludes such acquisition-, disposal- and integration-related costs to allow more accurate comparisons of its financial results to its historical operations and the financial results of less acquisitive peer companies and allows management and investors to consider the ongoing operations of the business both with and without such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Related</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recorded restructuring and related expense to streamline operations and reduce operating costs by closing and consolidating certain facilities and reducing its worldwide workforce. The Company believes that excluding restructuring and related expense facilitates the comparison of its financial results to its historical operating results and to other companies in its industry, as there are no future revenue streams or other benefits associated with these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and Warrant Liability Mark-to-Market Adjustment</w:t>
      </w:r>
    </w:p>
    <w:p>
      <w:pPr>
        <w:spacing w:after="0" w:line="22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recorded adjustments to the fair value of its Series A Preferred Stock and Warrants to purchase shares of the Company’s common stock in Other (expense) income, net. Both of these instruments were issued in March 2023 in connection with the Company’s private placement and have been classified as liabilities and marked to market each reporting period until the Series A Preferred Stock was fully redeemed on June 25, 2024. The Warrant liability remains outstanding and will continue to be marked to market each reporting period. The Company excluded these gains and losses from the change in the fair value of these liabilities because it believes that such gains or losses were not part of its core business or ongoing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Effect of Non-GAAP Adjustments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Non-GAAP income tax provision is presented based on an estimated tax rate applied against forecasted annual non-GAAP income. The Company computes its non-GAAP estimated tax rate using its estimated GAAP annual effective tax rate for the period and adjusting for the tax effect of pre-tax non-GAAP adjustments. The Company computes a single annual non-GAAP rate for the Company and applies that rate (rather than multiple rates by jurisdiction) to its consolidated quarterly results. The Company expects that this methodology will provide a consistent rate throughout the year and allow investors to better understand the impact of income taxes on its results. Due to the methodology applied to its estimated annual tax rate, the Company’s estimated tax rate on non-GAAP income will differ from its GAAP tax rate and from its actual tax liabilities.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Company uses Adjusted EBITDA as a supplemental measure to review and assess its performance. The Company calculates Adjusted EBITDA by excluding from income (loss) from operations: depreciation; stock-based compensation; amortization of acquired intangible assets; certain litigation costs; expenses related to cybersecurity incidents; acquisition-, disposal- and integration-related expense; and restructuring and related expense. In general, the Company excludes the expenses that it considers to be non-cash and/or not a part of its ongoing operations. The Company may exclude other items in the future that have those characteristics. Adjusted EBITDA is a non-GAAP financial measure that is used by the investing community for comparative and valuation purposes. The Company discloses this metric to support and facilitate dialogue with research analysts and investors. Other companies may calculate Adjusted EBITDA differently than the Company does, limiting its usefulness as a comparative measure.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 w:name="page9"/>
    <w:bookmarkEnd w:id="8"/>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445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457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percentages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5"/>
        </w:trPr>
        <w:tc>
          <w:tcPr>
            <w:tcW w:w="5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42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60" w:type="dxa"/>
            <w:vAlign w:val="bottom"/>
          </w:tcPr>
          <w:p>
            <w:pPr>
              <w:spacing w:after="0"/>
              <w:rPr>
                <w:sz w:val="17"/>
                <w:szCs w:val="17"/>
                <w:color w:val="auto"/>
              </w:rPr>
            </w:pPr>
          </w:p>
        </w:tc>
      </w:tr>
      <w:tr>
        <w:trPr>
          <w:trHeight w:val="234"/>
        </w:trPr>
        <w:tc>
          <w:tcPr>
            <w:tcW w:w="522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2026</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0"/>
                <w:szCs w:val="20"/>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121,322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95,560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109,979</w:t>
            </w:r>
          </w:p>
        </w:tc>
      </w:tr>
      <w:tr>
        <w:trPr>
          <w:trHeight w:val="23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97,388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96,780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105,392</w:t>
            </w:r>
          </w:p>
        </w:tc>
      </w:tr>
      <w:tr>
        <w:trPr>
          <w:trHeight w:val="209"/>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6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192,340</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215,371</w:t>
            </w:r>
          </w:p>
        </w:tc>
        <w:tc>
          <w:tcPr>
            <w:tcW w:w="160" w:type="dxa"/>
            <w:vAlign w:val="bottom"/>
            <w:tcBorders>
              <w:bottom w:val="single" w:sz="8" w:color="CCEEFF"/>
            </w:tcBorders>
          </w:tcPr>
          <w:p>
            <w:pPr>
              <w:spacing w:after="0"/>
              <w:rPr>
                <w:sz w:val="18"/>
                <w:szCs w:val="18"/>
                <w:color w:val="auto"/>
              </w:rPr>
            </w:pPr>
          </w:p>
        </w:tc>
      </w:tr>
      <w:tr>
        <w:trPr>
          <w:trHeight w:val="209"/>
        </w:trPr>
        <w:tc>
          <w:tcPr>
            <w:tcW w:w="5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70,166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58,877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62,037</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38,766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40,311</w:t>
            </w:r>
          </w:p>
        </w:tc>
      </w:tr>
      <w:tr>
        <w:trPr>
          <w:trHeight w:val="22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5,057</w:t>
            </w:r>
          </w:p>
        </w:tc>
      </w:tr>
      <w:tr>
        <w:trPr>
          <w:trHeight w:val="210"/>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revenue</w:t>
            </w:r>
          </w:p>
        </w:tc>
        <w:tc>
          <w:tcPr>
            <w:tcW w:w="164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113,184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101,997</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107,405</w:t>
            </w:r>
          </w:p>
        </w:tc>
        <w:tc>
          <w:tcPr>
            <w:tcW w:w="160" w:type="dxa"/>
            <w:vAlign w:val="bottom"/>
            <w:tcBorders>
              <w:bottom w:val="single" w:sz="8" w:color="CCEEFF"/>
            </w:tcBorders>
          </w:tcPr>
          <w:p>
            <w:pPr>
              <w:spacing w:after="0"/>
              <w:rPr>
                <w:sz w:val="18"/>
                <w:szCs w:val="18"/>
                <w:color w:val="auto"/>
              </w:rPr>
            </w:pPr>
          </w:p>
        </w:tc>
      </w:tr>
      <w:tr>
        <w:trPr>
          <w:trHeight w:val="209"/>
        </w:trPr>
        <w:tc>
          <w:tcPr>
            <w:tcW w:w="5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105,526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90,343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107,966</w:t>
            </w:r>
          </w:p>
        </w:tc>
      </w:tr>
      <w:tr>
        <w:trPr>
          <w:trHeight w:val="210"/>
        </w:trPr>
        <w:tc>
          <w:tcPr>
            <w:tcW w:w="5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5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44,424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45,894</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33,376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33,124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33,063</w:t>
            </w: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15,233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14,643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16,368</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5,933</w:t>
            </w: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related</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3,506</w:t>
            </w:r>
          </w:p>
        </w:tc>
      </w:tr>
      <w:tr>
        <w:trPr>
          <w:trHeight w:val="210"/>
        </w:trPr>
        <w:tc>
          <w:tcPr>
            <w:tcW w:w="5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102,562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105,203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5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2,763</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(11,606)</w:t>
            </w:r>
          </w:p>
        </w:tc>
      </w:tr>
      <w:tr>
        <w:trPr>
          <w:trHeight w:val="23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10"/>
        </w:trPr>
        <w:tc>
          <w:tcPr>
            <w:tcW w:w="5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(25,162)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(8,977)</w:t>
            </w: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(3,132)</w:t>
            </w:r>
          </w:p>
        </w:tc>
      </w:tr>
      <w:tr>
        <w:trPr>
          <w:trHeight w:val="210"/>
        </w:trPr>
        <w:tc>
          <w:tcPr>
            <w:tcW w:w="52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8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(9,117)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(26,871)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(12,109)</w:t>
            </w:r>
          </w:p>
        </w:tc>
      </w:tr>
      <w:tr>
        <w:trPr>
          <w:trHeight w:val="197"/>
        </w:trPr>
        <w:tc>
          <w:tcPr>
            <w:tcW w:w="5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5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earnings (loss) per share:</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178,861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177,251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176,620</w:t>
            </w: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178,861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177,251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176,620</w:t>
            </w:r>
          </w:p>
        </w:tc>
      </w:tr>
      <w:tr>
        <w:trPr>
          <w:trHeight w:val="630"/>
        </w:trPr>
        <w:tc>
          <w:tcPr>
            <w:tcW w:w="5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457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percentages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05"/>
        </w:trPr>
        <w:tc>
          <w:tcPr>
            <w:tcW w:w="83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30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60" w:type="dxa"/>
            <w:vAlign w:val="bottom"/>
          </w:tcPr>
          <w:p>
            <w:pPr>
              <w:spacing w:after="0"/>
              <w:rPr>
                <w:sz w:val="17"/>
                <w:szCs w:val="17"/>
                <w:color w:val="auto"/>
              </w:rPr>
            </w:pPr>
          </w:p>
        </w:tc>
      </w:tr>
      <w:tr>
        <w:trPr>
          <w:trHeight w:val="234"/>
        </w:trPr>
        <w:tc>
          <w:tcPr>
            <w:tcW w:w="83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0"/>
                <w:szCs w:val="20"/>
                <w:color w:val="auto"/>
              </w:rPr>
            </w:pPr>
          </w:p>
        </w:tc>
      </w:tr>
      <w:tr>
        <w:trPr>
          <w:trHeight w:val="20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284,996</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307,027</w:t>
            </w: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288,660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310,206</w:t>
            </w:r>
          </w:p>
        </w:tc>
      </w:tr>
      <w:tr>
        <w:trPr>
          <w:trHeight w:val="209"/>
        </w:trPr>
        <w:tc>
          <w:tcPr>
            <w:tcW w:w="8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573,656</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617,233</w:t>
            </w:r>
          </w:p>
        </w:tc>
        <w:tc>
          <w:tcPr>
            <w:tcW w:w="160" w:type="dxa"/>
            <w:vAlign w:val="bottom"/>
            <w:tcBorders>
              <w:bottom w:val="single" w:sz="8" w:color="CCEEFF"/>
            </w:tcBorders>
          </w:tcPr>
          <w:p>
            <w:pPr>
              <w:spacing w:after="0"/>
              <w:rPr>
                <w:sz w:val="18"/>
                <w:szCs w:val="18"/>
                <w:color w:val="auto"/>
              </w:rPr>
            </w:pPr>
          </w:p>
        </w:tc>
      </w:tr>
      <w:tr>
        <w:trPr>
          <w:trHeight w:val="209"/>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178,468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186,676</w:t>
            </w: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w:t>
            </w:r>
          </w:p>
        </w:tc>
        <w:tc>
          <w:tcPr>
            <w:tcW w:w="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116,359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115,192</w:t>
            </w:r>
          </w:p>
        </w:tc>
      </w:tr>
      <w:tr>
        <w:trPr>
          <w:trHeight w:val="229"/>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13,269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15,722</w:t>
            </w:r>
          </w:p>
        </w:tc>
      </w:tr>
      <w:tr>
        <w:trPr>
          <w:trHeight w:val="210"/>
        </w:trPr>
        <w:tc>
          <w:tcPr>
            <w:tcW w:w="8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 of revenue</w:t>
            </w: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308,096</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317,590</w:t>
            </w:r>
          </w:p>
        </w:tc>
        <w:tc>
          <w:tcPr>
            <w:tcW w:w="160" w:type="dxa"/>
            <w:vAlign w:val="bottom"/>
            <w:tcBorders>
              <w:bottom w:val="single" w:sz="8" w:color="CCEEFF"/>
            </w:tcBorders>
          </w:tcPr>
          <w:p>
            <w:pPr>
              <w:spacing w:after="0"/>
              <w:rPr>
                <w:sz w:val="18"/>
                <w:szCs w:val="18"/>
                <w:color w:val="auto"/>
              </w:rPr>
            </w:pPr>
          </w:p>
        </w:tc>
      </w:tr>
      <w:tr>
        <w:trPr>
          <w:trHeight w:val="209"/>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9"/>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265,560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299,643</w:t>
            </w:r>
          </w:p>
        </w:tc>
      </w:tr>
      <w:tr>
        <w:trPr>
          <w:trHeight w:val="210"/>
        </w:trPr>
        <w:tc>
          <w:tcPr>
            <w:tcW w:w="8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8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133,727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134,158</w:t>
            </w: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98,769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97,387</w:t>
            </w: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46,854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48,126</w:t>
            </w: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18,063</w:t>
            </w: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4,337</w:t>
            </w: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related</w:t>
            </w:r>
          </w:p>
        </w:tc>
        <w:tc>
          <w:tcPr>
            <w:tcW w:w="8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10,193</w:t>
            </w:r>
          </w:p>
        </w:tc>
      </w:tr>
      <w:tr>
        <w:trPr>
          <w:trHeight w:val="210"/>
        </w:trPr>
        <w:tc>
          <w:tcPr>
            <w:tcW w:w="83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303,878</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312,264</w:t>
            </w:r>
          </w:p>
        </w:tc>
        <w:tc>
          <w:tcPr>
            <w:tcW w:w="16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Income (loss) from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income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 (provision)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(38,318)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(12,621)</w:t>
            </w:r>
          </w:p>
        </w:tc>
      </w:tr>
      <w:tr>
        <w:trPr>
          <w:trHeight w:val="216"/>
        </w:trPr>
        <w:tc>
          <w:tcPr>
            <w:tcW w:w="3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(31,714)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(33,083)</w:t>
            </w:r>
          </w:p>
        </w:tc>
      </w:tr>
      <w:tr>
        <w:trPr>
          <w:trHeight w:val="248"/>
        </w:trPr>
        <w:tc>
          <w:tcPr>
            <w:tcW w:w="3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(619)</w:t>
            </w: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836</w:t>
            </w:r>
          </w:p>
        </w:tc>
        <w:tc>
          <w:tcPr>
            <w:tcW w:w="40" w:type="dxa"/>
            <w:vAlign w:val="bottom"/>
          </w:tcPr>
          <w:p>
            <w:pPr>
              <w:spacing w:after="0"/>
              <w:rPr>
                <w:sz w:val="21"/>
                <w:szCs w:val="2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7"/>
        </w:trPr>
        <w:tc>
          <w:tcPr>
            <w:tcW w:w="38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(70,651)</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(44,868)</w:t>
            </w:r>
          </w:p>
        </w:tc>
      </w:tr>
      <w:tr>
        <w:trPr>
          <w:trHeight w:val="248"/>
        </w:trPr>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(4,561)</w:t>
            </w:r>
          </w:p>
        </w:tc>
      </w:tr>
      <w:tr>
        <w:trPr>
          <w:trHeight w:val="20"/>
        </w:trPr>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453"/>
        </w:trPr>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(70,477)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(49,429)</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-1173480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-899795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-607695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-325120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640" w:space="720"/>
            <w:col w:w="28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22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3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52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to compute earnings (loss) per share:</w:t>
            </w:r>
          </w:p>
        </w:tc>
        <w:tc>
          <w:tcPr>
            <w:tcW w:w="3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177,270</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176,366</w:t>
            </w:r>
          </w:p>
        </w:tc>
      </w:tr>
      <w:tr>
        <w:trPr>
          <w:trHeight w:val="234"/>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50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177,270</w:t>
            </w:r>
          </w:p>
        </w:tc>
        <w:tc>
          <w:tcPr>
            <w:tcW w:w="48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176,366</w:t>
            </w:r>
          </w:p>
        </w:tc>
      </w:tr>
      <w:tr>
        <w:trPr>
          <w:trHeight w:val="630"/>
        </w:trPr>
        <w:tc>
          <w:tcPr>
            <w:tcW w:w="52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right"/>
              <w:ind w:right="2970"/>
              <w:spacing w:after="0"/>
              <w:rPr>
                <w:sz w:val="20"/>
                <w:szCs w:val="20"/>
                <w:color w:val="auto"/>
              </w:rPr>
            </w:pPr>
            <w:r>
              <w:rPr>
                <w:rFonts w:ascii="Times New Roman" w:cs="Times New Roman" w:eastAsia="Times New Roman" w:hAnsi="Times New Roman"/>
                <w:sz w:val="18"/>
                <w:szCs w:val="18"/>
                <w:color w:val="auto"/>
              </w:rPr>
              <w:t>7</w:t>
            </w:r>
          </w:p>
        </w:tc>
        <w:tc>
          <w:tcPr>
            <w:tcW w:w="10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type w:val="continuous"/>
        </w:sectPr>
      </w:pPr>
    </w:p>
    <w:bookmarkStart w:id="10" w:name="page11"/>
    <w:bookmarkEnd w:id="10"/>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457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September 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4"/>
        </w:trPr>
        <w:tc>
          <w:tcPr>
            <w:tcW w:w="5560" w:type="dxa"/>
            <w:vAlign w:val="bottom"/>
            <w:tcBorders>
              <w:bottom w:val="single" w:sz="8" w:color="CCEEFF"/>
            </w:tcBorders>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ind w:left="39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40,383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96,405</w:t>
            </w: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1,726</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246,232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231,885</w:t>
            </w: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86,409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78,806</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52,052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45,663</w:t>
            </w:r>
          </w:p>
        </w:tc>
        <w:tc>
          <w:tcPr>
            <w:tcW w:w="0" w:type="dxa"/>
            <w:vAlign w:val="bottom"/>
          </w:tcPr>
          <w:p>
            <w:pPr>
              <w:spacing w:after="0"/>
              <w:rPr>
                <w:sz w:val="1"/>
                <w:szCs w:val="1"/>
                <w:color w:val="auto"/>
              </w:rPr>
            </w:pPr>
          </w:p>
        </w:tc>
      </w:tr>
      <w:tr>
        <w:trPr>
          <w:trHeight w:val="209"/>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58,448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65,559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114,570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143,344</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300,892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300,892</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180,154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174,318</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46,240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27,417</w:t>
            </w: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tcPr>
          <w:p>
            <w:pPr>
              <w:spacing w:after="0"/>
              <w:rPr>
                <w:sz w:val="22"/>
                <w:szCs w:val="22"/>
                <w:color w:val="auto"/>
              </w:rPr>
            </w:pPr>
          </w:p>
        </w:tc>
        <w:tc>
          <w:tcPr>
            <w:tcW w:w="28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1,150,574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1,212,255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780"/>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term debt</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10,938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8,750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94,083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79,840</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78,857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90,759</w:t>
            </w: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112,454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124,425</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316,937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324,525</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55,609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60,159</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36,863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31,654</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5,728</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24,088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23,803</w:t>
            </w:r>
          </w:p>
        </w:tc>
        <w:tc>
          <w:tcPr>
            <w:tcW w:w="0" w:type="dxa"/>
            <w:vAlign w:val="bottom"/>
          </w:tcPr>
          <w:p>
            <w:pPr>
              <w:spacing w:after="0"/>
              <w:rPr>
                <w:sz w:val="1"/>
                <w:szCs w:val="1"/>
                <w:color w:val="auto"/>
              </w:rPr>
            </w:pPr>
          </w:p>
        </w:tc>
      </w:tr>
      <w:tr>
        <w:trPr>
          <w:trHeight w:val="209"/>
        </w:trPr>
        <w:tc>
          <w:tcPr>
            <w:tcW w:w="556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761,856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763,261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1,987,542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1,976,958</w:t>
            </w:r>
          </w:p>
        </w:tc>
        <w:tc>
          <w:tcPr>
            <w:tcW w:w="0" w:type="dxa"/>
            <w:vAlign w:val="bottom"/>
          </w:tcPr>
          <w:p>
            <w:pPr>
              <w:spacing w:after="0"/>
              <w:rPr>
                <w:sz w:val="1"/>
                <w:szCs w:val="1"/>
                <w:color w:val="auto"/>
              </w:rPr>
            </w:pPr>
          </w:p>
        </w:tc>
      </w:tr>
      <w:tr>
        <w:trPr>
          <w:trHeight w:val="216"/>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(1,605,026)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(1,534,549)</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6,184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6,567</w:t>
            </w:r>
          </w:p>
        </w:tc>
        <w:tc>
          <w:tcPr>
            <w:tcW w:w="0" w:type="dxa"/>
            <w:vAlign w:val="bottom"/>
          </w:tcPr>
          <w:p>
            <w:pPr>
              <w:spacing w:after="0"/>
              <w:rPr>
                <w:sz w:val="1"/>
                <w:szCs w:val="1"/>
                <w:color w:val="auto"/>
              </w:rPr>
            </w:pPr>
          </w:p>
        </w:tc>
      </w:tr>
      <w:tr>
        <w:trPr>
          <w:trHeight w:val="210"/>
        </w:trPr>
        <w:tc>
          <w:tcPr>
            <w:tcW w:w="5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388,718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448,994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1,150,574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1,212,255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880" w:type="dxa"/>
            <w:vAlign w:val="bottom"/>
            <w:vMerge w:val="restart"/>
          </w:tcPr>
          <w:p>
            <w:pPr>
              <w:jc w:val="right"/>
              <w:ind w:right="2690"/>
              <w:spacing w:after="0"/>
              <w:rPr>
                <w:sz w:val="20"/>
                <w:szCs w:val="20"/>
                <w:color w:val="auto"/>
              </w:rPr>
            </w:pPr>
            <w:r>
              <w:rPr>
                <w:rFonts w:ascii="Times New Roman" w:cs="Times New Roman" w:eastAsia="Times New Roman" w:hAnsi="Times New Roman"/>
                <w:sz w:val="18"/>
                <w:szCs w:val="18"/>
                <w:color w:val="auto"/>
                <w:w w:val="88"/>
              </w:rPr>
              <w:t>8</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5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445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457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05"/>
        </w:trPr>
        <w:tc>
          <w:tcPr>
            <w:tcW w:w="7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161"/>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7"/>
                <w:szCs w:val="17"/>
                <w:color w:val="auto"/>
              </w:rPr>
            </w:pPr>
          </w:p>
        </w:tc>
      </w:tr>
      <w:tr>
        <w:trPr>
          <w:trHeight w:val="234"/>
        </w:trPr>
        <w:tc>
          <w:tcPr>
            <w:tcW w:w="788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(70,477)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(49,429)</w:t>
            </w:r>
          </w:p>
        </w:tc>
      </w:tr>
      <w:tr>
        <w:trPr>
          <w:trHeight w:val="216"/>
        </w:trPr>
        <w:tc>
          <w:tcPr>
            <w:tcW w:w="7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cash flows (used in) provided by operating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of property and equipment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12,182</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29,881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33,785</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2,102</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16,498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14,619</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(5,985)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(2,811)</w:t>
            </w:r>
          </w:p>
        </w:tc>
      </w:tr>
      <w:tr>
        <w:trPr>
          <w:trHeight w:val="216"/>
        </w:trPr>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exchange (gains) losses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1,698</w:t>
            </w:r>
          </w:p>
        </w:tc>
      </w:tr>
      <w:tr>
        <w:trPr>
          <w:trHeight w:val="216"/>
        </w:trPr>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(15,255)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34,258</w:t>
            </w:r>
          </w:p>
        </w:tc>
      </w:tr>
      <w:tr>
        <w:trPr>
          <w:trHeight w:val="216"/>
        </w:trPr>
        <w:tc>
          <w:tcPr>
            <w:tcW w:w="7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Inventory</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(11,491)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r>
      <w:tr>
        <w:trPr>
          <w:trHeight w:val="216"/>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operating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3,587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r>
      <w:tr>
        <w:trPr>
          <w:trHeight w:val="216"/>
        </w:trPr>
        <w:tc>
          <w:tcPr>
            <w:tcW w:w="7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16,041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(5,017)</w:t>
            </w:r>
          </w:p>
        </w:tc>
      </w:tr>
      <w:tr>
        <w:trPr>
          <w:trHeight w:val="216"/>
        </w:trPr>
        <w:tc>
          <w:tcPr>
            <w:tcW w:w="7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(20,607)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(15,880)</w:t>
            </w:r>
          </w:p>
        </w:tc>
      </w:tr>
      <w:tr>
        <w:trPr>
          <w:trHeight w:val="230"/>
        </w:trPr>
        <w:tc>
          <w:tcPr>
            <w:tcW w:w="7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(6,762)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(3,840)</w:t>
            </w:r>
          </w:p>
        </w:tc>
      </w:tr>
      <w:tr>
        <w:trPr>
          <w:trHeight w:val="210"/>
        </w:trPr>
        <w:tc>
          <w:tcPr>
            <w:tcW w:w="78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5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(47,915</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22,159</w:t>
            </w:r>
          </w:p>
        </w:tc>
        <w:tc>
          <w:tcPr>
            <w:tcW w:w="100" w:type="dxa"/>
            <w:vAlign w:val="bottom"/>
            <w:tcBorders>
              <w:bottom w:val="single" w:sz="8" w:color="CCEEFF"/>
            </w:tcBorders>
          </w:tcPr>
          <w:p>
            <w:pPr>
              <w:spacing w:after="0"/>
              <w:rPr>
                <w:sz w:val="18"/>
                <w:szCs w:val="18"/>
                <w:color w:val="auto"/>
              </w:rPr>
            </w:pPr>
          </w:p>
        </w:tc>
      </w:tr>
      <w:tr>
        <w:trPr>
          <w:trHeight w:val="209"/>
        </w:trPr>
        <w:tc>
          <w:tcPr>
            <w:tcW w:w="7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Purchases of software licenses</w:t>
      </w:r>
    </w:p>
    <w:p>
      <w:pPr>
        <w:spacing w:after="0" w:line="9" w:lineRule="exact"/>
        <w:rPr>
          <w:sz w:val="20"/>
          <w:szCs w:val="20"/>
          <w:color w:val="auto"/>
        </w:rPr>
      </w:pPr>
    </w:p>
    <w:p>
      <w:pPr>
        <w:jc w:val="right"/>
        <w:ind w:right="42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(8,464)</w:t>
      </w:r>
      <w:r>
        <w:rPr>
          <w:sz w:val="20"/>
          <w:szCs w:val="20"/>
          <w:color w:val="auto"/>
        </w:rPr>
        <w:tab/>
      </w:r>
      <w:r>
        <w:rPr>
          <w:rFonts w:ascii="Times New Roman" w:cs="Times New Roman" w:eastAsia="Times New Roman" w:hAnsi="Times New Roman"/>
          <w:sz w:val="18"/>
          <w:szCs w:val="18"/>
          <w:color w:val="auto"/>
        </w:rPr>
        <w:t>(23,368)</w:t>
      </w:r>
    </w:p>
    <w:p>
      <w:pPr>
        <w:spacing w:after="0" w:line="27" w:lineRule="exact"/>
        <w:rPr>
          <w:sz w:val="20"/>
          <w:szCs w:val="20"/>
          <w:color w:val="auto"/>
        </w:rPr>
      </w:pPr>
    </w:p>
    <w:p>
      <w:pPr>
        <w:ind w:left="140"/>
        <w:spacing w:after="0"/>
        <w:tabs>
          <w:tab w:leader="none" w:pos="1840" w:val="left"/>
        </w:tabs>
        <w:rPr>
          <w:sz w:val="20"/>
          <w:szCs w:val="20"/>
          <w:color w:val="auto"/>
        </w:rPr>
      </w:pPr>
      <w:r>
        <w:rPr>
          <w:rFonts w:ascii="Times New Roman" w:cs="Times New Roman" w:eastAsia="Times New Roman" w:hAnsi="Times New Roman"/>
          <w:sz w:val="18"/>
          <w:szCs w:val="18"/>
          <w:color w:val="auto"/>
        </w:rPr>
        <w:t>(553)</w:t>
      </w:r>
      <w:r>
        <w:rPr>
          <w:sz w:val="20"/>
          <w:szCs w:val="20"/>
          <w:color w:val="auto"/>
        </w:rPr>
        <w:tab/>
      </w:r>
      <w:r>
        <w:rPr>
          <w:rFonts w:ascii="Times New Roman" w:cs="Times New Roman" w:eastAsia="Times New Roman" w:hAnsi="Times New Roman"/>
          <w:sz w:val="18"/>
          <w:szCs w:val="18"/>
          <w:color w:val="auto"/>
        </w:rPr>
        <w:t>-</w:t>
      </w:r>
    </w:p>
    <w:p>
      <w:pPr>
        <w:spacing w:after="0" w:line="2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color w:val="auto"/>
        </w:rPr>
        <w:t>(9,017)</w:t>
      </w:r>
      <w:r>
        <w:rPr>
          <w:sz w:val="20"/>
          <w:szCs w:val="20"/>
          <w:color w:val="auto"/>
        </w:rPr>
        <w:tab/>
      </w:r>
      <w:r>
        <w:rPr>
          <w:rFonts w:ascii="Times New Roman" w:cs="Times New Roman" w:eastAsia="Times New Roman" w:hAnsi="Times New Roman"/>
          <w:sz w:val="18"/>
          <w:szCs w:val="18"/>
          <w:color w:val="auto"/>
        </w:rPr>
        <w:t>(23,368)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14605</wp:posOffset>
            </wp:positionV>
            <wp:extent cx="17056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440" w:right="3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under revolving line of credit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50,000</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revolving line of credit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(35,000)</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payments of term debt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(6,562)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(3,938)</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(977)</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tax obligations related to vested stock awards and units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(5,731)</w:t>
            </w:r>
          </w:p>
        </w:tc>
      </w:tr>
      <w:tr>
        <w:trPr>
          <w:trHeight w:val="209"/>
        </w:trPr>
        <w:tc>
          <w:tcPr>
            <w:tcW w:w="84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987</w:t>
            </w:r>
          </w:p>
        </w:tc>
      </w:tr>
      <w:tr>
        <w:trPr>
          <w:trHeight w:val="20"/>
        </w:trPr>
        <w:tc>
          <w:tcPr>
            <w:tcW w:w="84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right="3340"/>
        <w:spacing w:after="0" w:line="276" w:lineRule="auto"/>
        <w:rPr>
          <w:sz w:val="20"/>
          <w:szCs w:val="20"/>
          <w:color w:val="auto"/>
        </w:rPr>
      </w:pPr>
      <w:r>
        <w:rPr>
          <w:rFonts w:ascii="Times New Roman" w:cs="Times New Roman" w:eastAsia="Times New Roman" w:hAnsi="Times New Roman"/>
          <w:sz w:val="18"/>
          <w:szCs w:val="18"/>
          <w:color w:val="auto"/>
        </w:rPr>
        <w:t>Cash, cash equivalents and restricted cash, beginning of year 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(55,776)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(13,712)</w:t>
            </w: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98,131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90,479</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76,767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1440"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445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457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details of stock-based compensation included as components of other line items in the Company's Consolidated Statements of Operations and the line items in which these amounts are reported.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6"/>
          </w:tcPr>
          <w:p>
            <w:pPr>
              <w:ind w:left="54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05"/>
        </w:trPr>
        <w:tc>
          <w:tcPr>
            <w:tcW w:w="3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8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20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7"/>
                <w:szCs w:val="17"/>
                <w:color w:val="auto"/>
              </w:rPr>
            </w:pPr>
          </w:p>
        </w:tc>
      </w:tr>
      <w:tr>
        <w:trPr>
          <w:trHeight w:val="234"/>
        </w:trPr>
        <w:tc>
          <w:tcPr>
            <w:tcW w:w="33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r>
      <w:tr>
        <w:trPr>
          <w:trHeight w:val="20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 product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 - service</w:t>
            </w: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r>
        <w:trPr>
          <w:trHeight w:val="209"/>
        </w:trPr>
        <w:tc>
          <w:tcPr>
            <w:tcW w:w="3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tcPr>
          <w:p>
            <w:pPr>
              <w:spacing w:after="0"/>
              <w:rPr>
                <w:sz w:val="18"/>
                <w:szCs w:val="18"/>
                <w:color w:val="auto"/>
              </w:rPr>
            </w:pPr>
          </w:p>
        </w:tc>
      </w:tr>
      <w:tr>
        <w:trPr>
          <w:trHeight w:val="210"/>
        </w:trPr>
        <w:tc>
          <w:tcPr>
            <w:tcW w:w="3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1,578</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3,732</w:t>
            </w:r>
          </w:p>
        </w:tc>
      </w:tr>
      <w:tr>
        <w:trPr>
          <w:trHeight w:val="22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3,611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3,052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3,784</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8,557</w:t>
            </w:r>
          </w:p>
        </w:tc>
      </w:tr>
      <w:tr>
        <w:trPr>
          <w:trHeight w:val="210"/>
        </w:trPr>
        <w:tc>
          <w:tcPr>
            <w:tcW w:w="3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5,712</w:t>
            </w:r>
          </w:p>
        </w:tc>
        <w:tc>
          <w:tcPr>
            <w:tcW w:w="4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4,829</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16,498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14,619</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8"/>
        </w:trPr>
        <w:tc>
          <w:tcPr>
            <w:tcW w:w="3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445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Gross margin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acquired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Gross margin</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3400"/>
        <w:spacing w:after="0" w:line="263" w:lineRule="auto"/>
        <w:rPr>
          <w:sz w:val="20"/>
          <w:szCs w:val="20"/>
          <w:color w:val="auto"/>
        </w:rPr>
      </w:pPr>
      <w:r>
        <w:rPr>
          <w:rFonts w:ascii="Times New Roman" w:cs="Times New Roman" w:eastAsia="Times New Roman" w:hAnsi="Times New Roman"/>
          <w:sz w:val="18"/>
          <w:szCs w:val="18"/>
          <w:color w:val="auto"/>
        </w:rPr>
        <w:t>RIBBON COMMUNICATIONS INC. Reconciliation of Non-GAAP and GAAP Financial Measures (in thousands, except per share amounts) (unaudited)</w:t>
      </w:r>
    </w:p>
    <w:p>
      <w:pPr>
        <w:spacing w:after="0" w:line="200" w:lineRule="exact"/>
        <w:rPr>
          <w:sz w:val="20"/>
          <w:szCs w:val="20"/>
          <w:color w:val="auto"/>
        </w:rPr>
      </w:pPr>
    </w:p>
    <w:p>
      <w:pPr>
        <w:spacing w:after="0" w:line="21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tbl>
      <w:tblPr>
        <w:tblLayout w:type="fixed"/>
        <w:tblInd w:w="3460" w:type="dxa"/>
        <w:tblCellMar>
          <w:top w:w="0" w:type="dxa"/>
          <w:left w:w="0" w:type="dxa"/>
          <w:bottom w:w="0" w:type="dxa"/>
          <w:right w:w="0" w:type="dxa"/>
        </w:tblCellMar>
      </w:tblPr>
      <w:tr>
        <w:trPr>
          <w:trHeight w:val="205"/>
        </w:trPr>
        <w:tc>
          <w:tcPr>
            <w:tcW w:w="1500" w:type="dxa"/>
            <w:vAlign w:val="bottom"/>
            <w:tcBorders>
              <w:top w:val="single" w:sz="8" w:color="auto"/>
            </w:tcBorders>
            <w:gridSpan w:val="2"/>
          </w:tcPr>
          <w:p>
            <w:pPr>
              <w:jc w:val="right"/>
              <w:ind w:right="290"/>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1480" w:type="dxa"/>
            <w:vAlign w:val="bottom"/>
            <w:tcBorders>
              <w:top w:val="single" w:sz="8" w:color="auto"/>
            </w:tcBorders>
            <w:gridSpan w:val="2"/>
          </w:tcPr>
          <w:p>
            <w:pPr>
              <w:jc w:val="right"/>
              <w:ind w:right="51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240" w:type="dxa"/>
            <w:vAlign w:val="bottom"/>
            <w:tcBorders>
              <w:top w:val="single" w:sz="8" w:color="auto"/>
            </w:tcBorders>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rPr>
              <w:t>September 30,</w:t>
            </w:r>
          </w:p>
        </w:tc>
        <w:tc>
          <w:tcPr>
            <w:tcW w:w="140" w:type="dxa"/>
            <w:vAlign w:val="bottom"/>
            <w:gridSpan w:val="3"/>
          </w:tcPr>
          <w:p>
            <w:pPr>
              <w:spacing w:after="0"/>
              <w:rPr>
                <w:sz w:val="17"/>
                <w:szCs w:val="17"/>
                <w:color w:val="auto"/>
              </w:rPr>
            </w:pPr>
          </w:p>
        </w:tc>
      </w:tr>
      <w:tr>
        <w:trPr>
          <w:trHeight w:val="234"/>
        </w:trPr>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50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48.2%</w:t>
            </w:r>
          </w:p>
        </w:tc>
        <w:tc>
          <w:tcPr>
            <w:tcW w:w="1480" w:type="dxa"/>
            <w:vAlign w:val="bottom"/>
            <w:gridSpan w:val="2"/>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47.0%</w:t>
            </w:r>
          </w:p>
        </w:tc>
        <w:tc>
          <w:tcPr>
            <w:tcW w:w="138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8"/>
                <w:szCs w:val="18"/>
                <w:color w:val="auto"/>
              </w:rPr>
              <w:t>50.1%</w:t>
            </w:r>
          </w:p>
        </w:tc>
      </w:tr>
      <w:tr>
        <w:trPr>
          <w:trHeight w:val="216"/>
        </w:trPr>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0"/>
        </w:trPr>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-607695</wp:posOffset>
            </wp:positionV>
            <wp:extent cx="7132320"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-2153285</wp:posOffset>
            </wp:positionH>
            <wp:positionV relativeFrom="paragraph">
              <wp:posOffset>-325120</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680" w:space="720"/>
            <w:col w:w="78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6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income (loss)</w:t>
            </w:r>
          </w:p>
        </w:tc>
        <w:tc>
          <w:tcPr>
            <w:tcW w:w="9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(9,117)</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(26,871)</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(12,109)</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5,712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5,844</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9,814</w:t>
            </w:r>
          </w:p>
        </w:tc>
        <w:tc>
          <w:tcPr>
            <w:tcW w:w="36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9,849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10,990</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related</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1,436</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3,506</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and warrant liability mark-to-market adjustment</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(909)</w:t>
            </w:r>
          </w:p>
        </w:tc>
        <w:tc>
          <w:tcPr>
            <w:tcW w:w="36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(1,170)</w:t>
            </w:r>
          </w:p>
        </w:tc>
      </w:tr>
      <w:tr>
        <w:trPr>
          <w:trHeight w:val="229"/>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non-GAAP adjustments</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5,440</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(1,501)</w:t>
            </w:r>
          </w:p>
        </w:tc>
      </w:tr>
      <w:tr>
        <w:trPr>
          <w:trHeight w:val="263"/>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5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12,379</w:t>
            </w:r>
          </w:p>
        </w:tc>
        <w:tc>
          <w:tcPr>
            <w:tcW w:w="2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60" w:type="dxa"/>
            <w:vAlign w:val="bottom"/>
            <w:tcBorders>
              <w:bottom w:val="single" w:sz="8" w:color="CCEEFF"/>
            </w:tcBorders>
          </w:tcPr>
          <w:p>
            <w:pPr>
              <w:spacing w:after="0"/>
              <w:rPr>
                <w:sz w:val="22"/>
                <w:szCs w:val="22"/>
                <w:color w:val="auto"/>
              </w:rPr>
            </w:pPr>
          </w:p>
        </w:tc>
      </w:tr>
      <w:tr>
        <w:trPr>
          <w:trHeight w:val="197"/>
        </w:trPr>
        <w:tc>
          <w:tcPr>
            <w:tcW w:w="6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Diluted earnings (loss) per share</w:t>
            </w:r>
          </w:p>
        </w:tc>
        <w:tc>
          <w:tcPr>
            <w:tcW w:w="9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(0.15)</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0.03</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0.06</w:t>
            </w:r>
          </w:p>
        </w:tc>
        <w:tc>
          <w:tcPr>
            <w:tcW w:w="36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related</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and warrant liability mark-to-market adjustment</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non-GAAP adjustments</w:t>
            </w:r>
          </w:p>
        </w:tc>
        <w:tc>
          <w:tcPr>
            <w:tcW w:w="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0.03</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r>
      <w:tr>
        <w:trPr>
          <w:trHeight w:val="263"/>
        </w:trPr>
        <w:tc>
          <w:tcPr>
            <w:tcW w:w="6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Diluted earnings (loss) per share</w:t>
            </w:r>
          </w:p>
        </w:tc>
        <w:tc>
          <w:tcPr>
            <w:tcW w:w="5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8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Borders>
              <w:bottom w:val="single" w:sz="8" w:color="CCEEFF"/>
            </w:tcBorders>
          </w:tcPr>
          <w:p>
            <w:pPr>
              <w:spacing w:after="0"/>
              <w:rPr>
                <w:sz w:val="22"/>
                <w:szCs w:val="22"/>
                <w:color w:val="auto"/>
              </w:rPr>
            </w:pPr>
          </w:p>
        </w:tc>
      </w:tr>
      <w:tr>
        <w:trPr>
          <w:trHeight w:val="197"/>
        </w:trPr>
        <w:tc>
          <w:tcPr>
            <w:tcW w:w="6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used to compute diluted earnings (loss) per share</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Shares used to compute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diluted earnings (loss) per share</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178,861</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177,251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176,620</w:t>
            </w:r>
          </w:p>
        </w:tc>
      </w:tr>
      <w:tr>
        <w:trPr>
          <w:trHeight w:val="216"/>
        </w:trPr>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Shares used to compute </w:t>
            </w:r>
            <w:r>
              <w:rPr>
                <w:rFonts w:ascii="Times New Roman" w:cs="Times New Roman" w:eastAsia="Times New Roman" w:hAnsi="Times New Roman"/>
                <w:sz w:val="18"/>
                <w:szCs w:val="18"/>
                <w:b w:val="1"/>
                <w:bCs w:val="1"/>
                <w:color w:val="auto"/>
              </w:rPr>
              <w:t>Non-GAAP</w:t>
            </w:r>
            <w:r>
              <w:rPr>
                <w:rFonts w:ascii="Times New Roman" w:cs="Times New Roman" w:eastAsia="Times New Roman" w:hAnsi="Times New Roman"/>
                <w:sz w:val="18"/>
                <w:szCs w:val="18"/>
                <w:color w:val="auto"/>
              </w:rPr>
              <w:t xml:space="preserve"> diluted earnings (loss) per share</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179,550</w:t>
            </w:r>
          </w:p>
        </w:tc>
        <w:tc>
          <w:tcPr>
            <w:tcW w:w="36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177,251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181,033</w:t>
            </w:r>
          </w:p>
        </w:tc>
      </w:tr>
      <w:tr>
        <w:trPr>
          <w:trHeight w:val="216"/>
        </w:trPr>
        <w:tc>
          <w:tcPr>
            <w:tcW w:w="6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Income (loss) from operations</w:t>
            </w:r>
          </w:p>
        </w:tc>
        <w:tc>
          <w:tcPr>
            <w:tcW w:w="94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5,596</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(12,219)</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2,763</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4,212</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4,425</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5,712</w:t>
            </w:r>
          </w:p>
        </w:tc>
        <w:tc>
          <w:tcPr>
            <w:tcW w:w="36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5,844</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9,814</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10,990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w:t>
            </w:r>
          </w:p>
        </w:tc>
      </w:tr>
      <w:tr>
        <w:trPr>
          <w:trHeight w:val="23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related</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1,436</w:t>
            </w:r>
          </w:p>
        </w:tc>
        <w:tc>
          <w:tcPr>
            <w:tcW w:w="36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3,506</w:t>
            </w:r>
          </w:p>
        </w:tc>
      </w:tr>
      <w:tr>
        <w:trPr>
          <w:trHeight w:val="223"/>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$0.01 impact on earnings (loss) per share.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4" w:name="page15"/>
    <w:bookmarkEnd w:id="14"/>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445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457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Non-GAAP and 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17145</wp:posOffset>
            </wp:positionV>
            <wp:extent cx="1731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7" w:lineRule="exact"/>
        <w:rPr>
          <w:sz w:val="20"/>
          <w:szCs w:val="20"/>
          <w:color w:val="auto"/>
        </w:rPr>
      </w:pPr>
    </w:p>
    <w:p>
      <w:pPr>
        <w:jc w:val="right"/>
        <w:ind w:right="260"/>
        <w:spacing w:after="0"/>
        <w:tabs>
          <w:tab w:leader="none" w:pos="1020" w:val="left"/>
        </w:tabs>
        <w:rPr>
          <w:sz w:val="20"/>
          <w:szCs w:val="20"/>
          <w:color w:val="auto"/>
        </w:rPr>
      </w:pPr>
      <w:r>
        <w:rPr>
          <w:rFonts w:ascii="Times New Roman" w:cs="Times New Roman" w:eastAsia="Times New Roman" w:hAnsi="Times New Roman"/>
          <w:sz w:val="18"/>
          <w:szCs w:val="18"/>
          <w:color w:val="auto"/>
        </w:rPr>
        <w:t>September 30,</w:t>
      </w:r>
      <w:r>
        <w:rPr>
          <w:sz w:val="20"/>
          <w:szCs w:val="20"/>
          <w:color w:val="auto"/>
        </w:rPr>
        <w:tab/>
      </w:r>
      <w:r>
        <w:rPr>
          <w:rFonts w:ascii="Times New Roman" w:cs="Times New Roman" w:eastAsia="Times New Roman" w:hAnsi="Times New Roman"/>
          <w:sz w:val="17"/>
          <w:szCs w:val="17"/>
          <w:color w:val="auto"/>
        </w:rPr>
        <w:t>September 30,</w:t>
      </w:r>
    </w:p>
    <w:p>
      <w:pPr>
        <w:spacing w:after="0" w:line="23" w:lineRule="exact"/>
        <w:rPr>
          <w:sz w:val="20"/>
          <w:szCs w:val="20"/>
          <w:color w:val="auto"/>
        </w:rPr>
      </w:pPr>
    </w:p>
    <w:p>
      <w:pPr>
        <w:ind w:left="8780"/>
        <w:spacing w:after="0"/>
        <w:tabs>
          <w:tab w:leader="none" w:pos="10260" w:val="left"/>
        </w:tabs>
        <w:rPr>
          <w:sz w:val="20"/>
          <w:szCs w:val="20"/>
          <w:color w:val="auto"/>
        </w:rPr>
      </w:pPr>
      <w:r>
        <w:rPr>
          <w:rFonts w:ascii="Times New Roman" w:cs="Times New Roman" w:eastAsia="Times New Roman" w:hAnsi="Times New Roman"/>
          <w:sz w:val="18"/>
          <w:szCs w:val="18"/>
          <w:color w:val="auto"/>
        </w:rPr>
        <w:t>2026</w:t>
      </w:r>
      <w:r>
        <w:rPr>
          <w:sz w:val="20"/>
          <w:szCs w:val="20"/>
          <w:color w:val="auto"/>
        </w:rPr>
        <w:tab/>
      </w: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GAAP Gross Margin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acquired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Gross Margin</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1"/>
        </w:trPr>
        <w:tc>
          <w:tcPr>
            <w:tcW w:w="1480" w:type="dxa"/>
            <w:vAlign w:val="bottom"/>
            <w:gridSpan w:val="2"/>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46.3%</w:t>
            </w:r>
          </w:p>
        </w:tc>
        <w:tc>
          <w:tcPr>
            <w:tcW w:w="138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8"/>
                <w:szCs w:val="18"/>
                <w:color w:val="auto"/>
              </w:rPr>
              <w:t>48.5%</w:t>
            </w:r>
          </w:p>
        </w:tc>
      </w:tr>
      <w:tr>
        <w:trPr>
          <w:trHeight w:val="216"/>
        </w:trPr>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8"/>
        </w:trPr>
        <w:tc>
          <w:tcPr>
            <w:tcW w:w="1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-325120</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7640" w:space="720"/>
            <w:col w:w="28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Net income (loss)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(70,477)</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(49,429)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16,498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14,619</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29,881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33,785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36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related</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and warrant liability mark-to-market adjustment</w:t>
            </w:r>
          </w:p>
        </w:tc>
        <w:tc>
          <w:tcPr>
            <w:tcW w:w="36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(2,811)</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non-GAAP adjustments</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(2,779)</w:t>
            </w:r>
          </w:p>
        </w:tc>
        <w:tc>
          <w:tcPr>
            <w:tcW w:w="0" w:type="dxa"/>
            <w:vAlign w:val="bottom"/>
          </w:tcPr>
          <w:p>
            <w:pPr>
              <w:spacing w:after="0"/>
              <w:rPr>
                <w:sz w:val="1"/>
                <w:szCs w:val="1"/>
                <w:color w:val="auto"/>
              </w:rPr>
            </w:pPr>
          </w:p>
        </w:tc>
      </w:tr>
      <w:tr>
        <w:trPr>
          <w:trHeight w:val="263"/>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11,981</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Diluted earnings (loss) per share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(0.40)</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36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related</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and warrant liability mark-to-market adjustment</w:t>
            </w:r>
          </w:p>
        </w:tc>
        <w:tc>
          <w:tcPr>
            <w:tcW w:w="36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non-GAAP adjustments</w:t>
            </w:r>
          </w:p>
        </w:tc>
        <w:tc>
          <w:tcPr>
            <w:tcW w:w="3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63"/>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Diluted earnings (loss) per share</w:t>
            </w: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used to compute diluted earnings (loss) per share</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Shares used to compute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diluted earnings (loss) per share</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177,270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176,366</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Shares used to compute </w:t>
            </w:r>
            <w:r>
              <w:rPr>
                <w:rFonts w:ascii="Times New Roman" w:cs="Times New Roman" w:eastAsia="Times New Roman" w:hAnsi="Times New Roman"/>
                <w:sz w:val="18"/>
                <w:szCs w:val="18"/>
                <w:b w:val="1"/>
                <w:bCs w:val="1"/>
                <w:color w:val="auto"/>
              </w:rPr>
              <w:t>Non-GAAP</w:t>
            </w:r>
            <w:r>
              <w:rPr>
                <w:rFonts w:ascii="Times New Roman" w:cs="Times New Roman" w:eastAsia="Times New Roman" w:hAnsi="Times New Roman"/>
                <w:sz w:val="18"/>
                <w:szCs w:val="18"/>
                <w:color w:val="auto"/>
              </w:rPr>
              <w:t xml:space="preserve"> diluted earnings (loss) per share</w:t>
            </w:r>
          </w:p>
        </w:tc>
        <w:tc>
          <w:tcPr>
            <w:tcW w:w="36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177,270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180,512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Income (loss) from operations</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(38,318)</w:t>
            </w: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12,182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16,498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14,619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29,881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33,785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36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4,337</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related</w:t>
            </w:r>
          </w:p>
        </w:tc>
        <w:tc>
          <w:tcPr>
            <w:tcW w:w="36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10,193</w:t>
            </w:r>
          </w:p>
        </w:tc>
        <w:tc>
          <w:tcPr>
            <w:tcW w:w="0" w:type="dxa"/>
            <w:vAlign w:val="bottom"/>
          </w:tcPr>
          <w:p>
            <w:pPr>
              <w:spacing w:after="0"/>
              <w:rPr>
                <w:sz w:val="1"/>
                <w:szCs w:val="1"/>
                <w:color w:val="auto"/>
              </w:rPr>
            </w:pPr>
          </w:p>
        </w:tc>
      </w:tr>
      <w:tr>
        <w:trPr>
          <w:trHeight w:val="223"/>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36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445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457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Non-GAAP and 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center"/>
              <w:ind w:left="930"/>
              <w:spacing w:after="0"/>
              <w:rPr>
                <w:sz w:val="20"/>
                <w:szCs w:val="20"/>
                <w:color w:val="auto"/>
              </w:rPr>
            </w:pPr>
            <w:r>
              <w:rPr>
                <w:rFonts w:ascii="Times New Roman" w:cs="Times New Roman" w:eastAsia="Times New Roman" w:hAnsi="Times New Roman"/>
                <w:sz w:val="18"/>
                <w:szCs w:val="18"/>
                <w:color w:val="auto"/>
                <w:w w:val="98"/>
              </w:rPr>
              <w:t>Trailing Twelve Months</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4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320"/>
              <w:spacing w:after="0" w:line="205" w:lineRule="exact"/>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17"/>
                <w:szCs w:val="17"/>
                <w:color w:val="auto"/>
              </w:rPr>
            </w:pPr>
          </w:p>
        </w:tc>
        <w:tc>
          <w:tcPr>
            <w:tcW w:w="1220" w:type="dxa"/>
            <w:vAlign w:val="bottom"/>
            <w:gridSpan w:val="2"/>
          </w:tcPr>
          <w:p>
            <w:pPr>
              <w:jc w:val="center"/>
              <w:ind w:right="420"/>
              <w:spacing w:after="0" w:line="205" w:lineRule="exact"/>
              <w:rPr>
                <w:sz w:val="20"/>
                <w:szCs w:val="20"/>
                <w:color w:val="auto"/>
              </w:rPr>
            </w:pPr>
            <w:r>
              <w:rPr>
                <w:rFonts w:ascii="Times New Roman" w:cs="Times New Roman" w:eastAsia="Times New Roman" w:hAnsi="Times New Roman"/>
                <w:sz w:val="18"/>
                <w:szCs w:val="18"/>
                <w:color w:val="auto"/>
              </w:rPr>
              <w:t>June 30</w:t>
            </w:r>
          </w:p>
        </w:tc>
        <w:tc>
          <w:tcPr>
            <w:tcW w:w="100" w:type="dxa"/>
            <w:vAlign w:val="bottom"/>
          </w:tcPr>
          <w:p>
            <w:pPr>
              <w:spacing w:after="0"/>
              <w:rPr>
                <w:sz w:val="17"/>
                <w:szCs w:val="17"/>
                <w:color w:val="auto"/>
              </w:rPr>
            </w:pPr>
          </w:p>
        </w:tc>
        <w:tc>
          <w:tcPr>
            <w:tcW w:w="1140" w:type="dxa"/>
            <w:vAlign w:val="bottom"/>
          </w:tcPr>
          <w:p>
            <w:pPr>
              <w:jc w:val="right"/>
              <w:ind w:right="10"/>
              <w:spacing w:after="0" w:line="205" w:lineRule="exact"/>
              <w:rPr>
                <w:sz w:val="20"/>
                <w:szCs w:val="20"/>
                <w:color w:val="auto"/>
              </w:rPr>
            </w:pPr>
            <w:r>
              <w:rPr>
                <w:rFonts w:ascii="Times New Roman" w:cs="Times New Roman" w:eastAsia="Times New Roman" w:hAnsi="Times New Roman"/>
                <w:sz w:val="18"/>
                <w:szCs w:val="18"/>
                <w:color w:val="auto"/>
                <w:w w:val="98"/>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Borders>
              <w:bottom w:val="single" w:sz="8" w:color="CCEEFF"/>
            </w:tcBorders>
          </w:tcPr>
          <w:p>
            <w:pPr>
              <w:spacing w:after="0"/>
              <w:rPr>
                <w:sz w:val="20"/>
                <w:szCs w:val="20"/>
                <w:color w:val="auto"/>
              </w:rPr>
            </w:pPr>
          </w:p>
        </w:tc>
        <w:tc>
          <w:tcPr>
            <w:tcW w:w="25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Income (loss) from operations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17,889</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18,102</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15,590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21,285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21,417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18,644</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40,289</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41,465</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45,570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5,649</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Cybersecurity incident</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disposal- and integration-related</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4,337</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related</w:t>
            </w:r>
          </w:p>
        </w:tc>
        <w:tc>
          <w:tcPr>
            <w:tcW w:w="2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17,381</w:t>
            </w:r>
          </w:p>
        </w:tc>
        <w:tc>
          <w:tcPr>
            <w:tcW w:w="2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19,451</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11,574</w:t>
            </w: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Adjusted EBITDA</w:t>
            </w:r>
          </w:p>
        </w:tc>
        <w:tc>
          <w:tcPr>
            <w:tcW w:w="25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56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4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6" w:name="page17"/>
    <w:bookmarkEnd w:id="16"/>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499870" cy="445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499870" cy="44577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RIBBON COMMUNICATIONS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Non-GAAP and GAAP Financial Measures - Outlook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ending</w:t>
            </w:r>
          </w:p>
        </w:tc>
        <w:tc>
          <w:tcPr>
            <w:tcW w:w="120" w:type="dxa"/>
            <w:vAlign w:val="bottom"/>
          </w:tcPr>
          <w:p>
            <w:pPr>
              <w:spacing w:after="0"/>
              <w:rPr>
                <w:sz w:val="19"/>
                <w:szCs w:val="19"/>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w w:val="97"/>
              </w:rPr>
              <w:t>Year ending</w:t>
            </w:r>
          </w:p>
        </w:tc>
        <w:tc>
          <w:tcPr>
            <w:tcW w:w="940" w:type="dxa"/>
            <w:vAlign w:val="bottom"/>
          </w:tcPr>
          <w:p>
            <w:pPr>
              <w:spacing w:after="0"/>
              <w:rPr>
                <w:sz w:val="19"/>
                <w:szCs w:val="19"/>
                <w:color w:val="auto"/>
              </w:rPr>
            </w:pPr>
          </w:p>
        </w:tc>
      </w:tr>
      <w:tr>
        <w:trPr>
          <w:trHeight w:val="238"/>
        </w:trPr>
        <w:tc>
          <w:tcPr>
            <w:tcW w:w="5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2026</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2026</w:t>
            </w:r>
          </w:p>
        </w:tc>
      </w:tr>
      <w:tr>
        <w:trPr>
          <w:trHeight w:val="250"/>
        </w:trPr>
        <w:tc>
          <w:tcPr>
            <w:tcW w:w="54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1"/>
              <w:spacing w:after="0" w:line="250" w:lineRule="exact"/>
              <w:rPr>
                <w:sz w:val="20"/>
                <w:szCs w:val="20"/>
                <w:color w:val="auto"/>
              </w:rPr>
            </w:pPr>
            <w:r>
              <w:rPr>
                <w:rFonts w:ascii="Times New Roman" w:cs="Times New Roman" w:eastAsia="Times New Roman" w:hAnsi="Times New Roman"/>
                <w:sz w:val="17"/>
                <w:szCs w:val="17"/>
                <w:b w:val="1"/>
                <w:bCs w:val="1"/>
                <w:color w:val="auto"/>
                <w:w w:val="99"/>
              </w:rPr>
              <w:t xml:space="preserve">Midpoint </w:t>
            </w:r>
            <w:r>
              <w:rPr>
                <w:rFonts w:ascii="Times New Roman" w:cs="Times New Roman" w:eastAsia="Times New Roman" w:hAnsi="Times New Roman"/>
                <w:sz w:val="28"/>
                <w:szCs w:val="28"/>
                <w:b w:val="1"/>
                <w:bCs w:val="1"/>
                <w:color w:val="auto"/>
                <w:w w:val="99"/>
                <w:vertAlign w:val="superscript"/>
              </w:rPr>
              <w:t>(1)</w:t>
            </w:r>
          </w:p>
        </w:tc>
        <w:tc>
          <w:tcPr>
            <w:tcW w:w="26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20"/>
              <w:spacing w:after="0" w:line="250" w:lineRule="exact"/>
              <w:rPr>
                <w:sz w:val="20"/>
                <w:szCs w:val="20"/>
                <w:color w:val="auto"/>
              </w:rPr>
            </w:pPr>
            <w:r>
              <w:rPr>
                <w:rFonts w:ascii="Times New Roman" w:cs="Times New Roman" w:eastAsia="Times New Roman" w:hAnsi="Times New Roman"/>
                <w:sz w:val="17"/>
                <w:szCs w:val="17"/>
                <w:b w:val="1"/>
                <w:bCs w:val="1"/>
                <w:color w:val="auto"/>
              </w:rPr>
              <w:t xml:space="preserve">Midpoint </w:t>
            </w:r>
            <w:r>
              <w:rPr>
                <w:rFonts w:ascii="Times New Roman" w:cs="Times New Roman" w:eastAsia="Times New Roman" w:hAnsi="Times New Roman"/>
                <w:sz w:val="28"/>
                <w:szCs w:val="28"/>
                <w:b w:val="1"/>
                <w:bCs w:val="1"/>
                <w:color w:val="auto"/>
                <w:vertAlign w:val="superscript"/>
              </w:rPr>
              <w:t>(1)</w:t>
            </w:r>
          </w:p>
        </w:tc>
        <w:tc>
          <w:tcPr>
            <w:tcW w:w="2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Range</w:t>
            </w:r>
          </w:p>
        </w:tc>
      </w:tr>
      <w:tr>
        <w:trPr>
          <w:trHeight w:val="23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 ($ millions)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+/-$7M</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814</w:t>
            </w: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7"/>
              </w:rPr>
              <w:t>+/-$7M</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GAAP outlook</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Amortization of acquired technology</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Non-GAAP outlook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52.1%</w:t>
            </w:r>
          </w:p>
        </w:tc>
        <w:tc>
          <w:tcPr>
            <w:tcW w:w="1320" w:type="dxa"/>
            <w:vAlign w:val="bottom"/>
          </w:tcPr>
          <w:p>
            <w:pPr>
              <w:spacing w:after="0"/>
              <w:rPr>
                <w:sz w:val="18"/>
                <w:szCs w:val="18"/>
                <w:color w:val="auto"/>
              </w:rPr>
            </w:pPr>
          </w:p>
        </w:tc>
        <w:tc>
          <w:tcPr>
            <w:tcW w:w="1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48.0%</w:t>
            </w:r>
          </w:p>
        </w:tc>
        <w:tc>
          <w:tcPr>
            <w:tcW w:w="820" w:type="dxa"/>
            <w:vAlign w:val="bottom"/>
          </w:tcPr>
          <w:p>
            <w:pPr>
              <w:spacing w:after="0"/>
              <w:rPr>
                <w:sz w:val="18"/>
                <w:szCs w:val="18"/>
                <w:color w:val="auto"/>
              </w:rPr>
            </w:pPr>
          </w:p>
        </w:tc>
      </w:tr>
      <w:tr>
        <w:trPr>
          <w:trHeight w:val="216"/>
        </w:trPr>
        <w:tc>
          <w:tcPr>
            <w:tcW w:w="1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0.1%</w:t>
            </w:r>
          </w:p>
        </w:tc>
        <w:tc>
          <w:tcPr>
            <w:tcW w:w="1320" w:type="dxa"/>
            <w:vAlign w:val="bottom"/>
          </w:tcPr>
          <w:p>
            <w:pPr>
              <w:spacing w:after="0"/>
              <w:rPr>
                <w:sz w:val="18"/>
                <w:szCs w:val="18"/>
                <w:color w:val="auto"/>
              </w:rPr>
            </w:pPr>
          </w:p>
        </w:tc>
        <w:tc>
          <w:tcPr>
            <w:tcW w:w="1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0.1%</w:t>
            </w:r>
          </w:p>
        </w:tc>
        <w:tc>
          <w:tcPr>
            <w:tcW w:w="820" w:type="dxa"/>
            <w:vAlign w:val="bottom"/>
          </w:tcPr>
          <w:p>
            <w:pPr>
              <w:spacing w:after="0"/>
              <w:rPr>
                <w:sz w:val="18"/>
                <w:szCs w:val="18"/>
                <w:color w:val="auto"/>
              </w:rPr>
            </w:pPr>
          </w:p>
        </w:tc>
      </w:tr>
      <w:tr>
        <w:trPr>
          <w:trHeight w:val="248"/>
        </w:trPr>
        <w:tc>
          <w:tcPr>
            <w:tcW w:w="1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c>
          <w:tcPr>
            <w:tcW w:w="1320" w:type="dxa"/>
            <w:vAlign w:val="bottom"/>
          </w:tcPr>
          <w:p>
            <w:pPr>
              <w:spacing w:after="0"/>
              <w:rPr>
                <w:sz w:val="21"/>
                <w:szCs w:val="21"/>
                <w:color w:val="auto"/>
              </w:rPr>
            </w:pPr>
          </w:p>
        </w:tc>
        <w:tc>
          <w:tcPr>
            <w:tcW w:w="1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820" w:type="dxa"/>
            <w:vAlign w:val="bottom"/>
          </w:tcPr>
          <w:p>
            <w:pPr>
              <w:spacing w:after="0"/>
              <w:rPr>
                <w:sz w:val="21"/>
                <w:szCs w:val="21"/>
                <w:color w:val="auto"/>
              </w:rPr>
            </w:pP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+/-0.5%</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-736600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-462280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-179705</wp:posOffset>
            </wp:positionV>
            <wp:extent cx="713232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40" w:space="720"/>
            <w:col w:w="5780"/>
          </w:cols>
          <w:pgMar w:left="320" w:top="1440"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 millions):</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GAAP income (loss) from operations</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20.7</w:t>
            </w:r>
          </w:p>
        </w:tc>
        <w:tc>
          <w:tcPr>
            <w:tcW w:w="142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(18.8)</w:t>
            </w:r>
          </w:p>
        </w:tc>
        <w:tc>
          <w:tcPr>
            <w:tcW w:w="128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1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9.8</w:t>
            </w:r>
          </w:p>
        </w:tc>
        <w:tc>
          <w:tcPr>
            <w:tcW w:w="1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costs</w:t>
            </w:r>
          </w:p>
        </w:tc>
        <w:tc>
          <w:tcPr>
            <w:tcW w:w="5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w:t>
            </w: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related</w:t>
            </w: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14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3"/>
        </w:trPr>
        <w:tc>
          <w:tcPr>
            <w:tcW w:w="54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Non-GAAP outlook</w:t>
            </w: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80" w:type="dxa"/>
            <w:vAlign w:val="bottom"/>
          </w:tcPr>
          <w:p>
            <w:pPr>
              <w:spacing w:after="0"/>
              <w:rPr>
                <w:sz w:val="19"/>
                <w:szCs w:val="19"/>
                <w:color w:val="auto"/>
              </w:rPr>
            </w:pPr>
          </w:p>
        </w:tc>
        <w:tc>
          <w:tcPr>
            <w:tcW w:w="1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+/-$3.5M</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+/-$3.5M</w:t>
            </w:r>
          </w:p>
        </w:tc>
      </w:tr>
      <w:tr>
        <w:trPr>
          <w:trHeight w:val="20"/>
        </w:trPr>
        <w:tc>
          <w:tcPr>
            <w:tcW w:w="5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540" w:right="5420" w:hanging="5532"/>
        <w:spacing w:after="0" w:line="317" w:lineRule="auto"/>
        <w:tabs>
          <w:tab w:leader="none" w:pos="234"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Q4 2026 and FY 2026 outlook represents the midpoint of the expected ranges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2026-10-27T15:31:56Z</dcterms:created>
  <dcterms:modified xsi:type="dcterms:W3CDTF">2026-10-27T15:31:56Z</dcterms:modified>
</cp:coreProperties>
</file>