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1780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260350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1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2"/>
          <w:szCs w:val="1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94615</wp:posOffset>
            </wp:positionV>
            <wp:extent cx="71780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5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15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15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2"/>
          <w:szCs w:val="12"/>
          <w:b w:val="1"/>
          <w:bCs w:val="1"/>
          <w:color w:val="auto"/>
        </w:rPr>
        <w:t>Pursuant to Section 13 or 15(d) of the Securities Exchange Act of 1934</w:t>
      </w:r>
    </w:p>
    <w:p>
      <w:pPr>
        <w:spacing w:after="0" w:line="15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2"/>
          <w:szCs w:val="12"/>
          <w:b w:val="1"/>
          <w:bCs w:val="1"/>
          <w:color w:val="auto"/>
        </w:rPr>
        <w:t>Date of Report (Date of earliest event reported): June 17,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104775</wp:posOffset>
            </wp:positionV>
            <wp:extent cx="71780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7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RIBBON COMMUNICATIONS INC.</w:t>
      </w:r>
    </w:p>
    <w:p>
      <w:pPr>
        <w:spacing w:after="0" w:line="2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ectPr>
          <w:pgSz w:w="11900" w:h="16838" w:orient="portrait"/>
          <w:cols w:equalWidth="0" w:num="1">
            <w:col w:w="11200"/>
          </w:cols>
          <w:pgMar w:left="300" w:top="549" w:right="399" w:bottom="1440" w:gutter="0" w:footer="0" w:header="0"/>
        </w:sectPr>
      </w:pPr>
    </w:p>
    <w:p>
      <w:pPr>
        <w:spacing w:after="0" w:line="156" w:lineRule="exact"/>
        <w:rPr>
          <w:sz w:val="24"/>
          <w:szCs w:val="24"/>
          <w:color w:val="auto"/>
        </w:rPr>
      </w:pPr>
    </w:p>
    <w:p>
      <w:pPr>
        <w:ind w:left="1580"/>
        <w:spacing w:after="0"/>
        <w:rPr>
          <w:sz w:val="20"/>
          <w:szCs w:val="20"/>
          <w:color w:val="auto"/>
        </w:rPr>
      </w:pPr>
      <w:r>
        <w:rPr>
          <w:rFonts w:ascii="Times New Roman" w:cs="Times New Roman" w:eastAsia="Times New Roman" w:hAnsi="Times New Roman"/>
          <w:sz w:val="12"/>
          <w:szCs w:val="12"/>
          <w:color w:val="auto"/>
        </w:rPr>
        <w:t>Delaware</w:t>
      </w:r>
    </w:p>
    <w:p>
      <w:pPr>
        <w:spacing w:after="0" w:line="24"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11"/>
          <w:szCs w:val="11"/>
          <w:color w:val="auto"/>
        </w:rPr>
        <w:t>(State or Other Jurisdiction</w:t>
      </w:r>
    </w:p>
    <w:p>
      <w:pPr>
        <w:spacing w:after="0" w:line="28" w:lineRule="exact"/>
        <w:rPr>
          <w:sz w:val="24"/>
          <w:szCs w:val="24"/>
          <w:color w:val="auto"/>
        </w:rPr>
      </w:pPr>
    </w:p>
    <w:p>
      <w:pPr>
        <w:ind w:left="1400"/>
        <w:spacing w:after="0"/>
        <w:rPr>
          <w:sz w:val="20"/>
          <w:szCs w:val="20"/>
          <w:color w:val="auto"/>
        </w:rPr>
      </w:pPr>
      <w:r>
        <w:rPr>
          <w:rFonts w:ascii="Times New Roman" w:cs="Times New Roman" w:eastAsia="Times New Roman" w:hAnsi="Times New Roman"/>
          <w:sz w:val="12"/>
          <w:szCs w:val="12"/>
          <w:color w:val="auto"/>
        </w:rPr>
        <w:t>of Incorporation)</w:t>
      </w:r>
    </w:p>
    <w:p>
      <w:pPr>
        <w:spacing w:after="0" w:line="20" w:lineRule="exact"/>
        <w:rPr>
          <w:sz w:val="24"/>
          <w:szCs w:val="24"/>
          <w:color w:val="auto"/>
        </w:rPr>
      </w:pPr>
      <w:r>
        <w:rPr>
          <w:sz w:val="24"/>
          <w:szCs w:val="24"/>
          <w:color w:val="auto"/>
        </w:rPr>
        <w:br w:type="column"/>
      </w:r>
    </w:p>
    <w:p>
      <w:pPr>
        <w:spacing w:after="0" w:line="136"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12"/>
          <w:szCs w:val="12"/>
          <w:color w:val="auto"/>
        </w:rPr>
        <w:t>001-38267</w:t>
      </w:r>
    </w:p>
    <w:p>
      <w:pPr>
        <w:spacing w:after="0" w:line="24"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11"/>
          <w:szCs w:val="11"/>
          <w:color w:val="auto"/>
        </w:rPr>
        <w:t>(Commission File Number)</w:t>
      </w:r>
    </w:p>
    <w:p>
      <w:pPr>
        <w:spacing w:after="0" w:line="20" w:lineRule="exact"/>
        <w:rPr>
          <w:sz w:val="24"/>
          <w:szCs w:val="24"/>
          <w:color w:val="auto"/>
        </w:rPr>
      </w:pPr>
      <w:r>
        <w:rPr>
          <w:sz w:val="24"/>
          <w:szCs w:val="24"/>
          <w:color w:val="auto"/>
        </w:rPr>
        <w:br w:type="column"/>
      </w:r>
    </w:p>
    <w:p>
      <w:pPr>
        <w:spacing w:after="0" w:line="136" w:lineRule="exact"/>
        <w:rPr>
          <w:sz w:val="24"/>
          <w:szCs w:val="24"/>
          <w:color w:val="auto"/>
        </w:rPr>
      </w:pPr>
    </w:p>
    <w:p>
      <w:pPr>
        <w:jc w:val="center"/>
        <w:ind w:right="1260"/>
        <w:spacing w:after="0"/>
        <w:rPr>
          <w:sz w:val="20"/>
          <w:szCs w:val="20"/>
          <w:color w:val="auto"/>
        </w:rPr>
      </w:pPr>
      <w:r>
        <w:rPr>
          <w:rFonts w:ascii="Times New Roman" w:cs="Times New Roman" w:eastAsia="Times New Roman" w:hAnsi="Times New Roman"/>
          <w:sz w:val="12"/>
          <w:szCs w:val="12"/>
          <w:color w:val="auto"/>
        </w:rPr>
        <w:t>82-1669692</w:t>
      </w:r>
    </w:p>
    <w:p>
      <w:pPr>
        <w:spacing w:after="0" w:line="24" w:lineRule="exact"/>
        <w:rPr>
          <w:sz w:val="24"/>
          <w:szCs w:val="24"/>
          <w:color w:val="auto"/>
        </w:rPr>
      </w:pPr>
    </w:p>
    <w:p>
      <w:pPr>
        <w:jc w:val="center"/>
        <w:ind w:right="1260"/>
        <w:spacing w:after="0"/>
        <w:rPr>
          <w:sz w:val="20"/>
          <w:szCs w:val="20"/>
          <w:color w:val="auto"/>
        </w:rPr>
      </w:pPr>
      <w:r>
        <w:rPr>
          <w:rFonts w:ascii="Times New Roman" w:cs="Times New Roman" w:eastAsia="Times New Roman" w:hAnsi="Times New Roman"/>
          <w:sz w:val="12"/>
          <w:szCs w:val="12"/>
          <w:color w:val="auto"/>
        </w:rPr>
        <w:t>(IRS Employer</w:t>
      </w:r>
    </w:p>
    <w:p>
      <w:pPr>
        <w:spacing w:after="0" w:line="17" w:lineRule="exact"/>
        <w:rPr>
          <w:sz w:val="24"/>
          <w:szCs w:val="24"/>
          <w:color w:val="auto"/>
        </w:rPr>
      </w:pPr>
    </w:p>
    <w:p>
      <w:pPr>
        <w:jc w:val="center"/>
        <w:ind w:right="1260"/>
        <w:spacing w:after="0"/>
        <w:rPr>
          <w:sz w:val="20"/>
          <w:szCs w:val="20"/>
          <w:color w:val="auto"/>
        </w:rPr>
      </w:pPr>
      <w:r>
        <w:rPr>
          <w:rFonts w:ascii="Times New Roman" w:cs="Times New Roman" w:eastAsia="Times New Roman" w:hAnsi="Times New Roman"/>
          <w:sz w:val="12"/>
          <w:szCs w:val="12"/>
          <w:color w:val="auto"/>
        </w:rPr>
        <w:t>Identification No.)</w:t>
      </w:r>
    </w:p>
    <w:p>
      <w:pPr>
        <w:spacing w:after="0" w:line="153" w:lineRule="exact"/>
        <w:rPr>
          <w:sz w:val="24"/>
          <w:szCs w:val="24"/>
          <w:color w:val="auto"/>
        </w:rPr>
      </w:pPr>
    </w:p>
    <w:p>
      <w:pPr>
        <w:sectPr>
          <w:pgSz w:w="11900" w:h="16838" w:orient="portrait"/>
          <w:cols w:equalWidth="0" w:num="3">
            <w:col w:w="4280" w:space="720"/>
            <w:col w:w="3320" w:space="720"/>
            <w:col w:w="2160"/>
          </w:cols>
          <w:pgMar w:left="300" w:top="549" w:right="399" w:bottom="1440" w:gutter="0" w:footer="0" w:header="0"/>
          <w:type w:val="continuous"/>
        </w:sectPr>
      </w:pPr>
    </w:p>
    <w:p>
      <w:pPr>
        <w:jc w:val="center"/>
        <w:ind w:right="-79"/>
        <w:spacing w:after="0"/>
        <w:rPr>
          <w:sz w:val="20"/>
          <w:szCs w:val="20"/>
          <w:color w:val="auto"/>
        </w:rPr>
      </w:pPr>
      <w:r>
        <w:rPr>
          <w:rFonts w:ascii="Times New Roman" w:cs="Times New Roman" w:eastAsia="Times New Roman" w:hAnsi="Times New Roman"/>
          <w:sz w:val="12"/>
          <w:szCs w:val="12"/>
          <w:b w:val="1"/>
          <w:bCs w:val="1"/>
          <w:color w:val="auto"/>
        </w:rPr>
        <w:t>6500 Chase Oaks Blvd., Suite 100, Plano, TX 75023</w:t>
      </w:r>
    </w:p>
    <w:p>
      <w:pPr>
        <w:spacing w:after="0" w:line="2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2"/>
          <w:szCs w:val="12"/>
          <w:color w:val="auto"/>
        </w:rPr>
        <w:t>(Address of Principal Executive Offices) (Zip Code)</w:t>
      </w:r>
    </w:p>
    <w:p>
      <w:pPr>
        <w:spacing w:after="0" w:line="13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2"/>
          <w:szCs w:val="12"/>
          <w:b w:val="1"/>
          <w:bCs w:val="1"/>
          <w:color w:val="auto"/>
        </w:rPr>
        <w:t>(978) 614-8100</w:t>
      </w:r>
    </w:p>
    <w:p>
      <w:pPr>
        <w:spacing w:after="0" w:line="2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2"/>
          <w:szCs w:val="12"/>
          <w:color w:val="auto"/>
        </w:rPr>
        <w:t>(Registrant’s telephone number, including area code)</w:t>
      </w:r>
    </w:p>
    <w:p>
      <w:pPr>
        <w:spacing w:after="0" w:line="13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2"/>
          <w:szCs w:val="12"/>
          <w:b w:val="1"/>
          <w:bCs w:val="1"/>
          <w:color w:val="auto"/>
        </w:rPr>
        <w:t>N/A</w:t>
      </w:r>
    </w:p>
    <w:p>
      <w:pPr>
        <w:spacing w:after="0" w:line="2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1"/>
          <w:szCs w:val="1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102870</wp:posOffset>
            </wp:positionV>
            <wp:extent cx="71780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00"/>
          </w:cols>
          <w:pgMar w:left="300" w:top="549" w:right="399" w:bottom="1440" w:gutter="0" w:footer="0" w:header="0"/>
          <w:type w:val="continuous"/>
        </w:sectPr>
      </w:pPr>
    </w:p>
    <w:p>
      <w:pPr>
        <w:spacing w:after="0" w:line="304"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640" w:hanging="216"/>
        <w:spacing w:after="0"/>
        <w:tabs>
          <w:tab w:leader="none" w:pos="64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8" w:lineRule="exact"/>
        <w:rPr>
          <w:rFonts w:ascii="MS PGothic" w:cs="MS PGothic" w:eastAsia="MS PGothic" w:hAnsi="MS PGothic"/>
          <w:sz w:val="12"/>
          <w:szCs w:val="12"/>
          <w:color w:val="auto"/>
        </w:rPr>
      </w:pPr>
    </w:p>
    <w:p>
      <w:pPr>
        <w:ind w:left="640" w:hanging="216"/>
        <w:spacing w:after="0"/>
        <w:tabs>
          <w:tab w:leader="none" w:pos="64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6" w:lineRule="exact"/>
        <w:rPr>
          <w:rFonts w:ascii="MS PGothic" w:cs="MS PGothic" w:eastAsia="MS PGothic" w:hAnsi="MS PGothic"/>
          <w:sz w:val="12"/>
          <w:szCs w:val="12"/>
          <w:color w:val="auto"/>
        </w:rPr>
      </w:pPr>
    </w:p>
    <w:p>
      <w:pPr>
        <w:ind w:left="640" w:hanging="216"/>
        <w:spacing w:after="0"/>
        <w:tabs>
          <w:tab w:leader="none" w:pos="64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6" w:lineRule="exact"/>
        <w:rPr>
          <w:rFonts w:ascii="MS PGothic" w:cs="MS PGothic" w:eastAsia="MS PGothic" w:hAnsi="MS PGothic"/>
          <w:sz w:val="12"/>
          <w:szCs w:val="12"/>
          <w:color w:val="auto"/>
        </w:rPr>
      </w:pPr>
    </w:p>
    <w:p>
      <w:pPr>
        <w:ind w:left="640" w:hanging="216"/>
        <w:spacing w:after="0"/>
        <w:tabs>
          <w:tab w:leader="none" w:pos="64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3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2"/>
          <w:szCs w:val="12"/>
          <w:b w:val="1"/>
          <w:bCs w:val="1"/>
          <w:color w:val="auto"/>
        </w:rPr>
        <w:t>Securities registered pursuant to Section 12(b) of the Act:</w:t>
      </w:r>
    </w:p>
    <w:p>
      <w:pPr>
        <w:sectPr>
          <w:pgSz w:w="11900" w:h="16838" w:orient="portrait"/>
          <w:cols w:equalWidth="0" w:num="1">
            <w:col w:w="11200"/>
          </w:cols>
          <w:pgMar w:left="300" w:top="549" w:right="399" w:bottom="1440" w:gutter="0" w:footer="0" w:header="0"/>
          <w:type w:val="continuous"/>
        </w:sectPr>
      </w:pPr>
    </w:p>
    <w:p>
      <w:pPr>
        <w:spacing w:after="0" w:line="168"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11"/>
          <w:szCs w:val="11"/>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48"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Trading Symbol(s)</w:t>
      </w:r>
    </w:p>
    <w:p>
      <w:pPr>
        <w:spacing w:after="0" w:line="20" w:lineRule="exact"/>
        <w:rPr>
          <w:sz w:val="24"/>
          <w:szCs w:val="24"/>
          <w:color w:val="auto"/>
        </w:rPr>
      </w:pPr>
      <w:r>
        <w:rPr>
          <w:sz w:val="24"/>
          <w:szCs w:val="24"/>
          <w:color w:val="auto"/>
        </w:rPr>
        <w:br w:type="column"/>
      </w:r>
    </w:p>
    <w:p>
      <w:pPr>
        <w:spacing w:after="0" w:line="148"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Name of each exchange on which registered</w:t>
      </w:r>
    </w:p>
    <w:p>
      <w:pPr>
        <w:spacing w:after="0" w:line="40" w:lineRule="exact"/>
        <w:rPr>
          <w:sz w:val="24"/>
          <w:szCs w:val="24"/>
          <w:color w:val="auto"/>
        </w:rPr>
      </w:pPr>
    </w:p>
    <w:p>
      <w:pPr>
        <w:sectPr>
          <w:pgSz w:w="11900" w:h="16838" w:orient="portrait"/>
          <w:cols w:equalWidth="0" w:num="3">
            <w:col w:w="4460" w:space="720"/>
            <w:col w:w="2140" w:space="720"/>
            <w:col w:w="3160"/>
          </w:cols>
          <w:pgMar w:left="300" w:top="549" w:right="399" w:bottom="1440" w:gutter="0" w:footer="0" w:header="0"/>
          <w:type w:val="continuous"/>
        </w:sectPr>
      </w:pPr>
    </w:p>
    <w:p>
      <w:pPr>
        <w:ind w:left="1300"/>
        <w:spacing w:after="0"/>
        <w:rPr>
          <w:sz w:val="20"/>
          <w:szCs w:val="20"/>
          <w:color w:val="auto"/>
        </w:rPr>
      </w:pPr>
      <w:r>
        <w:rPr>
          <w:rFonts w:ascii="Times New Roman" w:cs="Times New Roman" w:eastAsia="Times New Roman" w:hAnsi="Times New Roman"/>
          <w:sz w:val="12"/>
          <w:szCs w:val="12"/>
          <w:color w:val="auto"/>
        </w:rPr>
        <w:t>Common Stock, par value $0.0001</w:t>
      </w:r>
    </w:p>
    <w:p>
      <w:pPr>
        <w:spacing w:after="0" w:line="20" w:lineRule="exact"/>
        <w:rPr>
          <w:sz w:val="24"/>
          <w:szCs w:val="24"/>
          <w:color w:val="auto"/>
        </w:rPr>
      </w:pPr>
      <w:r>
        <w:rPr>
          <w:sz w:val="24"/>
          <w:szCs w:val="24"/>
          <w:color w:val="auto"/>
        </w:rPr>
        <w:br w:type="column"/>
      </w:r>
    </w:p>
    <w:p>
      <w:pPr>
        <w:jc w:val="center"/>
        <w:ind w:right="1800"/>
        <w:spacing w:after="0"/>
        <w:rPr>
          <w:sz w:val="20"/>
          <w:szCs w:val="20"/>
          <w:color w:val="auto"/>
        </w:rPr>
      </w:pPr>
      <w:r>
        <w:rPr>
          <w:rFonts w:ascii="Times New Roman" w:cs="Times New Roman" w:eastAsia="Times New Roman" w:hAnsi="Times New Roman"/>
          <w:sz w:val="12"/>
          <w:szCs w:val="12"/>
          <w:color w:val="auto"/>
        </w:rPr>
        <w:t>RBBN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color w:val="auto"/>
        </w:rPr>
        <w:t>The Nasdaq Global Select Market</w:t>
      </w:r>
    </w:p>
    <w:p>
      <w:pPr>
        <w:spacing w:after="0" w:line="168" w:lineRule="exact"/>
        <w:rPr>
          <w:sz w:val="24"/>
          <w:szCs w:val="24"/>
          <w:color w:val="auto"/>
        </w:rPr>
      </w:pPr>
    </w:p>
    <w:p>
      <w:pPr>
        <w:sectPr>
          <w:pgSz w:w="11900" w:h="16838" w:orient="portrait"/>
          <w:cols w:equalWidth="0" w:num="3">
            <w:col w:w="4760" w:space="720"/>
            <w:col w:w="2140" w:space="720"/>
            <w:col w:w="2860"/>
          </w:cols>
          <w:pgMar w:left="300" w:top="549" w:right="399" w:bottom="1440" w:gutter="0" w:footer="0" w:header="0"/>
          <w:type w:val="continuous"/>
        </w:sectPr>
      </w:pPr>
    </w:p>
    <w:p>
      <w:pPr>
        <w:ind w:right="8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3"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78" w:lineRule="exact"/>
        <w:rPr>
          <w:sz w:val="24"/>
          <w:szCs w:val="24"/>
          <w:color w:val="auto"/>
        </w:rPr>
      </w:pPr>
    </w:p>
    <w:p>
      <w:pPr>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80645</wp:posOffset>
            </wp:positionV>
            <wp:extent cx="717804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97790</wp:posOffset>
            </wp:positionV>
            <wp:extent cx="7178040" cy="114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394970</wp:posOffset>
            </wp:positionV>
            <wp:extent cx="71780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00"/>
          </w:cols>
          <w:pgMar w:left="300" w:top="549" w:right="399" w:bottom="1440" w:gutter="0" w:footer="0" w:header="0"/>
          <w:type w:val="continuous"/>
        </w:sectPr>
      </w:pPr>
    </w:p>
    <w:bookmarkStart w:id="1" w:name="page2"/>
    <w:bookmarkEnd w:id="1"/>
    <w:p>
      <w:pPr>
        <w:ind w:left="8"/>
        <w:spacing w:after="0"/>
        <w:tabs>
          <w:tab w:leader="none" w:pos="628" w:val="left"/>
        </w:tabs>
        <w:rPr>
          <w:sz w:val="20"/>
          <w:szCs w:val="20"/>
          <w:color w:val="auto"/>
        </w:rPr>
      </w:pPr>
      <w:r>
        <w:rPr>
          <w:rFonts w:ascii="Times New Roman" w:cs="Times New Roman" w:eastAsia="Times New Roman" w:hAnsi="Times New Roman"/>
          <w:sz w:val="12"/>
          <w:szCs w:val="12"/>
          <w:b w:val="1"/>
          <w:bCs w:val="1"/>
          <w:color w:val="auto"/>
        </w:rPr>
        <w:t>Item 7.01.</w:t>
      </w:r>
      <w:r>
        <w:rPr>
          <w:sz w:val="20"/>
          <w:szCs w:val="20"/>
          <w:color w:val="auto"/>
        </w:rPr>
        <w:tab/>
      </w:r>
      <w:r>
        <w:rPr>
          <w:rFonts w:ascii="Times New Roman" w:cs="Times New Roman" w:eastAsia="Times New Roman" w:hAnsi="Times New Roman"/>
          <w:sz w:val="11"/>
          <w:szCs w:val="11"/>
          <w:b w:val="1"/>
          <w:bCs w:val="1"/>
          <w:color w:val="auto"/>
        </w:rPr>
        <w:t>Regulation FD Disclosure.</w:t>
      </w:r>
    </w:p>
    <w:p>
      <w:pPr>
        <w:spacing w:after="0" w:line="154" w:lineRule="exact"/>
        <w:rPr>
          <w:sz w:val="20"/>
          <w:szCs w:val="20"/>
          <w:color w:val="auto"/>
        </w:rPr>
      </w:pPr>
    </w:p>
    <w:p>
      <w:pPr>
        <w:ind w:left="8" w:right="340"/>
        <w:spacing w:after="0" w:line="279" w:lineRule="auto"/>
        <w:rPr>
          <w:sz w:val="20"/>
          <w:szCs w:val="20"/>
          <w:color w:val="auto"/>
        </w:rPr>
      </w:pPr>
      <w:r>
        <w:rPr>
          <w:rFonts w:ascii="Times New Roman" w:cs="Times New Roman" w:eastAsia="Times New Roman" w:hAnsi="Times New Roman"/>
          <w:sz w:val="12"/>
          <w:szCs w:val="12"/>
          <w:color w:val="auto"/>
        </w:rPr>
        <w:t>In connection with its participation in a previously announced investor conference on June 17, 2026, Ribbon Communications Inc. intends to present certain information that may not have been previously publicly available. Such information is furnished herewith as Exhibit 99.1 and is incorporated by reference into this Item 7.01.</w:t>
      </w:r>
    </w:p>
    <w:p>
      <w:pPr>
        <w:spacing w:after="0" w:line="107" w:lineRule="exact"/>
        <w:rPr>
          <w:sz w:val="20"/>
          <w:szCs w:val="20"/>
          <w:color w:val="auto"/>
        </w:rPr>
      </w:pPr>
    </w:p>
    <w:p>
      <w:pPr>
        <w:ind w:left="8"/>
        <w:spacing w:after="0"/>
        <w:tabs>
          <w:tab w:leader="none" w:pos="628" w:val="left"/>
        </w:tabs>
        <w:rPr>
          <w:sz w:val="20"/>
          <w:szCs w:val="20"/>
          <w:color w:val="auto"/>
        </w:rPr>
      </w:pPr>
      <w:r>
        <w:rPr>
          <w:rFonts w:ascii="Times New Roman" w:cs="Times New Roman" w:eastAsia="Times New Roman" w:hAnsi="Times New Roman"/>
          <w:sz w:val="12"/>
          <w:szCs w:val="12"/>
          <w:b w:val="1"/>
          <w:bCs w:val="1"/>
          <w:color w:val="auto"/>
        </w:rPr>
        <w:t>Item 9.01.</w:t>
      </w:r>
      <w:r>
        <w:rPr>
          <w:sz w:val="20"/>
          <w:szCs w:val="20"/>
          <w:color w:val="auto"/>
        </w:rPr>
        <w:tab/>
      </w:r>
      <w:r>
        <w:rPr>
          <w:rFonts w:ascii="Times New Roman" w:cs="Times New Roman" w:eastAsia="Times New Roman" w:hAnsi="Times New Roman"/>
          <w:sz w:val="11"/>
          <w:szCs w:val="11"/>
          <w:b w:val="1"/>
          <w:bCs w:val="1"/>
          <w:color w:val="auto"/>
        </w:rPr>
        <w:t>Financial Statements and Exhibits.</w:t>
      </w:r>
    </w:p>
    <w:p>
      <w:pPr>
        <w:spacing w:after="0" w:line="154" w:lineRule="exact"/>
        <w:rPr>
          <w:sz w:val="20"/>
          <w:szCs w:val="20"/>
          <w:color w:val="auto"/>
        </w:rPr>
      </w:pPr>
    </w:p>
    <w:p>
      <w:pPr>
        <w:ind w:left="428" w:hanging="428"/>
        <w:spacing w:after="0"/>
        <w:tabs>
          <w:tab w:leader="none" w:pos="428"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Exhibits.</w:t>
      </w:r>
    </w:p>
    <w:p>
      <w:pPr>
        <w:spacing w:after="0" w:line="150"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u w:val="single" w:color="auto"/>
          <w:color w:val="0000EE"/>
        </w:rPr>
        <w:t>99.1</w:t>
      </w:r>
      <w:r>
        <w:rPr>
          <w:sz w:val="20"/>
          <w:szCs w:val="20"/>
          <w:color w:val="auto"/>
        </w:rPr>
        <w:tab/>
      </w:r>
      <w:r>
        <w:rPr>
          <w:rFonts w:ascii="Times New Roman" w:cs="Times New Roman" w:eastAsia="Times New Roman" w:hAnsi="Times New Roman"/>
          <w:sz w:val="11"/>
          <w:szCs w:val="11"/>
          <w:u w:val="single" w:color="auto"/>
          <w:color w:val="0000EE"/>
        </w:rPr>
        <w:t>Ribbon Communications Inc. Investor Presentation dated June 17, 2026.</w:t>
      </w:r>
    </w:p>
    <w:p>
      <w:pPr>
        <w:spacing w:after="0" w:line="14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SIGNATURE</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46"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3300" w:type="dxa"/>
            <w:vAlign w:val="bottom"/>
          </w:tcPr>
          <w:p>
            <w:pPr>
              <w:spacing w:after="0"/>
              <w:rPr>
                <w:sz w:val="20"/>
                <w:szCs w:val="20"/>
                <w:color w:val="auto"/>
              </w:rPr>
            </w:pPr>
            <w:r>
              <w:rPr>
                <w:rFonts w:ascii="Times New Roman" w:cs="Times New Roman" w:eastAsia="Times New Roman" w:hAnsi="Times New Roman"/>
                <w:sz w:val="12"/>
                <w:szCs w:val="12"/>
                <w:color w:val="auto"/>
              </w:rPr>
              <w:t>Date: June 17, 2026</w:t>
            </w:r>
          </w:p>
        </w:tc>
        <w:tc>
          <w:tcPr>
            <w:tcW w:w="8000" w:type="dxa"/>
            <w:vAlign w:val="bottom"/>
            <w:gridSpan w:val="3"/>
          </w:tcPr>
          <w:p>
            <w:pPr>
              <w:ind w:left="2360"/>
              <w:spacing w:after="0"/>
              <w:rPr>
                <w:sz w:val="20"/>
                <w:szCs w:val="20"/>
                <w:color w:val="auto"/>
              </w:rPr>
            </w:pPr>
            <w:r>
              <w:rPr>
                <w:rFonts w:ascii="Times New Roman" w:cs="Times New Roman" w:eastAsia="Times New Roman" w:hAnsi="Times New Roman"/>
                <w:sz w:val="12"/>
                <w:szCs w:val="12"/>
                <w:b w:val="1"/>
                <w:bCs w:val="1"/>
                <w:color w:val="auto"/>
              </w:rPr>
              <w:t>R</w:t>
            </w:r>
            <w:r>
              <w:rPr>
                <w:rFonts w:ascii="Times New Roman" w:cs="Times New Roman" w:eastAsia="Times New Roman" w:hAnsi="Times New Roman"/>
                <w:sz w:val="8"/>
                <w:szCs w:val="8"/>
                <w:b w:val="1"/>
                <w:bCs w:val="1"/>
                <w:color w:val="auto"/>
              </w:rPr>
              <w:t>ibbon</w:t>
            </w:r>
            <w:r>
              <w:rPr>
                <w:rFonts w:ascii="Times New Roman" w:cs="Times New Roman" w:eastAsia="Times New Roman" w:hAnsi="Times New Roman"/>
                <w:sz w:val="12"/>
                <w:szCs w:val="12"/>
                <w:b w:val="1"/>
                <w:bCs w:val="1"/>
                <w:color w:val="auto"/>
              </w:rPr>
              <w:t xml:space="preserve"> C</w:t>
            </w:r>
            <w:r>
              <w:rPr>
                <w:rFonts w:ascii="Times New Roman" w:cs="Times New Roman" w:eastAsia="Times New Roman" w:hAnsi="Times New Roman"/>
                <w:sz w:val="8"/>
                <w:szCs w:val="8"/>
                <w:b w:val="1"/>
                <w:bCs w:val="1"/>
                <w:color w:val="auto"/>
              </w:rPr>
              <w:t>ommunications</w:t>
            </w:r>
            <w:r>
              <w:rPr>
                <w:rFonts w:ascii="Times New Roman" w:cs="Times New Roman" w:eastAsia="Times New Roman" w:hAnsi="Times New Roman"/>
                <w:sz w:val="12"/>
                <w:szCs w:val="12"/>
                <w:b w:val="1"/>
                <w:bCs w:val="1"/>
                <w:color w:val="auto"/>
              </w:rPr>
              <w:t xml:space="preserve"> I</w:t>
            </w:r>
            <w:r>
              <w:rPr>
                <w:rFonts w:ascii="Times New Roman" w:cs="Times New Roman" w:eastAsia="Times New Roman" w:hAnsi="Times New Roman"/>
                <w:sz w:val="8"/>
                <w:szCs w:val="8"/>
                <w:b w:val="1"/>
                <w:bCs w:val="1"/>
                <w:color w:val="auto"/>
              </w:rPr>
              <w:t>nc</w:t>
            </w:r>
            <w:r>
              <w:rPr>
                <w:rFonts w:ascii="Times New Roman" w:cs="Times New Roman" w:eastAsia="Times New Roman" w:hAnsi="Times New Roman"/>
                <w:sz w:val="12"/>
                <w:szCs w:val="12"/>
                <w:b w:val="1"/>
                <w:bCs w:val="1"/>
                <w:color w:val="auto"/>
              </w:rPr>
              <w:t>.</w:t>
            </w:r>
          </w:p>
        </w:tc>
      </w:tr>
      <w:tr>
        <w:trPr>
          <w:trHeight w:val="288"/>
        </w:trPr>
        <w:tc>
          <w:tcPr>
            <w:tcW w:w="3300" w:type="dxa"/>
            <w:vAlign w:val="bottom"/>
          </w:tcPr>
          <w:p>
            <w:pPr>
              <w:spacing w:after="0"/>
              <w:rPr>
                <w:sz w:val="24"/>
                <w:szCs w:val="24"/>
                <w:color w:val="auto"/>
              </w:rPr>
            </w:pPr>
          </w:p>
        </w:tc>
        <w:tc>
          <w:tcPr>
            <w:tcW w:w="8000" w:type="dxa"/>
            <w:vAlign w:val="bottom"/>
            <w:gridSpan w:val="3"/>
          </w:tcPr>
          <w:p>
            <w:pPr>
              <w:ind w:left="2360"/>
              <w:spacing w:after="0"/>
              <w:rPr>
                <w:sz w:val="20"/>
                <w:szCs w:val="20"/>
                <w:color w:val="auto"/>
              </w:rPr>
            </w:pPr>
            <w:r>
              <w:rPr>
                <w:rFonts w:ascii="Times New Roman" w:cs="Times New Roman" w:eastAsia="Times New Roman" w:hAnsi="Times New Roman"/>
                <w:sz w:val="12"/>
                <w:szCs w:val="12"/>
                <w:color w:val="auto"/>
              </w:rPr>
              <w:t>By:   /s/ Patrick Macken</w:t>
            </w:r>
          </w:p>
        </w:tc>
      </w:tr>
      <w:tr>
        <w:trPr>
          <w:trHeight w:val="122"/>
        </w:trPr>
        <w:tc>
          <w:tcPr>
            <w:tcW w:w="330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440" w:type="dxa"/>
            <w:vAlign w:val="bottom"/>
            <w:tcBorders>
              <w:top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Name:</w:t>
            </w:r>
          </w:p>
        </w:tc>
        <w:tc>
          <w:tcPr>
            <w:tcW w:w="4860" w:type="dxa"/>
            <w:vAlign w:val="bottom"/>
            <w:tcBorders>
              <w:top w:val="single" w:sz="8" w:color="auto"/>
            </w:tcBorders>
          </w:tcPr>
          <w:p>
            <w:pPr>
              <w:ind w:left="120"/>
              <w:spacing w:after="0" w:line="122" w:lineRule="exact"/>
              <w:rPr>
                <w:sz w:val="20"/>
                <w:szCs w:val="20"/>
                <w:color w:val="auto"/>
              </w:rPr>
            </w:pPr>
            <w:r>
              <w:rPr>
                <w:rFonts w:ascii="Times New Roman" w:cs="Times New Roman" w:eastAsia="Times New Roman" w:hAnsi="Times New Roman"/>
                <w:sz w:val="12"/>
                <w:szCs w:val="12"/>
                <w:color w:val="auto"/>
              </w:rPr>
              <w:t>Patrick W. Macken</w:t>
            </w:r>
          </w:p>
        </w:tc>
      </w:tr>
      <w:tr>
        <w:trPr>
          <w:trHeight w:val="155"/>
        </w:trPr>
        <w:tc>
          <w:tcPr>
            <w:tcW w:w="330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48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Executive Vice President, Chief Legal Officer and Secretary</w:t>
            </w:r>
          </w:p>
        </w:tc>
      </w:tr>
      <w:tr>
        <w:trPr>
          <w:trHeight w:val="450"/>
        </w:trPr>
        <w:tc>
          <w:tcPr>
            <w:tcW w:w="33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r>
    </w:tbl>
    <w:p>
      <w:pPr>
        <w:sectPr>
          <w:pgSz w:w="11900" w:h="16838" w:orient="portrait"/>
          <w:cols w:equalWidth="0" w:num="1">
            <w:col w:w="11308"/>
          </w:cols>
          <w:pgMar w:left="292" w:top="647" w:right="299" w:bottom="1440" w:gutter="0" w:footer="0" w:header="0"/>
        </w:sectPr>
      </w:pPr>
    </w:p>
    <w:bookmarkStart w:id="2" w:name="page3"/>
    <w:bookmarkEnd w:id="2"/>
    <w:p>
      <w:pPr>
        <w:ind w:left="9420"/>
        <w:spacing w:after="0"/>
        <w:rPr>
          <w:sz w:val="20"/>
          <w:szCs w:val="20"/>
          <w:color w:val="auto"/>
        </w:rPr>
      </w:pPr>
      <w:r>
        <w:rPr>
          <w:rFonts w:ascii="Times New Roman" w:cs="Times New Roman" w:eastAsia="Times New Roman" w:hAnsi="Times New Roman"/>
          <w:sz w:val="14"/>
          <w:szCs w:val="14"/>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116205</wp:posOffset>
            </wp:positionV>
            <wp:extent cx="7218680" cy="43205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8680" cy="4320540"/>
                    </a:xfrm>
                    <a:prstGeom prst="rect">
                      <a:avLst/>
                    </a:prstGeom>
                    <a:noFill/>
                  </pic:spPr>
                </pic:pic>
              </a:graphicData>
            </a:graphic>
          </wp:anchor>
        </w:drawing>
      </w:r>
    </w:p>
    <w:p>
      <w:pPr>
        <w:sectPr>
          <w:pgSz w:w="11900" w:h="16838" w:orient="portrait"/>
          <w:cols w:equalWidth="0" w:num="1">
            <w:col w:w="10160"/>
          </w:cols>
          <w:pgMar w:left="1440" w:top="120" w:right="299" w:bottom="1440"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26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8680" cy="4326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205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8680" cy="43205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205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8680" cy="43205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205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8680" cy="43205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205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8680" cy="43205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205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8680" cy="43205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205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8680" cy="43205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205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8680" cy="43205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205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8680" cy="43205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205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8680" cy="43205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205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8680" cy="43205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205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8680" cy="43205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205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8680" cy="43205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205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8680" cy="43205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205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8680" cy="43205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205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8680" cy="43205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205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8680" cy="43205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205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8680" cy="43205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205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8680" cy="43205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205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8680" cy="43205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205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8680" cy="432054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2026-06-17T08:21:35Z</dcterms:created>
  <dcterms:modified xsi:type="dcterms:W3CDTF">2026-06-17T08:21:35Z</dcterms:modified>
</cp:coreProperties>
</file>