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611505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570230</wp:posOffset>
            </wp:positionV>
            <wp:extent cx="71367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16510"/>
                    </a:xfrm>
                    <a:prstGeom prst="rect">
                      <a:avLst/>
                    </a:prstGeom>
                    <a:noFill/>
                  </pic:spPr>
                </pic:pic>
              </a:graphicData>
            </a:graphic>
          </wp:anchor>
        </w:drawing>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115570</wp:posOffset>
            </wp:positionV>
            <wp:extent cx="1767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5" w:lineRule="exact"/>
        <w:rPr>
          <w:sz w:val="24"/>
          <w:szCs w:val="24"/>
          <w:color w:val="auto"/>
        </w:rPr>
      </w:pPr>
    </w:p>
    <w:p>
      <w:pPr>
        <w:ind w:left="480" w:hanging="384"/>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6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12" w:lineRule="exact"/>
        <w:rPr>
          <w:sz w:val="24"/>
          <w:szCs w:val="24"/>
          <w:color w:val="auto"/>
        </w:rPr>
      </w:pPr>
    </w:p>
    <w:p>
      <w:pPr>
        <w:ind w:left="480" w:hanging="384"/>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2"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For the transition period from to</w:t>
      </w:r>
    </w:p>
    <w:p>
      <w:pPr>
        <w:spacing w:after="0" w:line="18" w:lineRule="exact"/>
        <w:rPr>
          <w:sz w:val="24"/>
          <w:szCs w:val="24"/>
          <w:color w:val="auto"/>
        </w:rPr>
      </w:pPr>
    </w:p>
    <w:tbl>
      <w:tblPr>
        <w:tblLayout w:type="fixed"/>
        <w:tblInd w:w="94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4340" w:type="dxa"/>
            <w:vAlign w:val="bottom"/>
          </w:tcPr>
          <w:p>
            <w:pPr>
              <w:jc w:val="center"/>
              <w:ind w:left="275"/>
              <w:spacing w:after="0"/>
              <w:rPr>
                <w:sz w:val="20"/>
                <w:szCs w:val="20"/>
                <w:color w:val="auto"/>
              </w:rPr>
            </w:pPr>
            <w:r>
              <w:rPr>
                <w:rFonts w:ascii="Arial" w:cs="Arial" w:eastAsia="Arial" w:hAnsi="Arial"/>
                <w:sz w:val="17"/>
                <w:szCs w:val="17"/>
                <w:b w:val="1"/>
                <w:bCs w:val="1"/>
                <w:color w:val="auto"/>
                <w:w w:val="92"/>
              </w:rPr>
              <w:t>Commission File Number 001-38267</w:t>
            </w:r>
          </w:p>
        </w:tc>
        <w:tc>
          <w:tcPr>
            <w:tcW w:w="3060" w:type="dxa"/>
            <w:vAlign w:val="bottom"/>
          </w:tcPr>
          <w:p>
            <w:pPr>
              <w:spacing w:after="0"/>
              <w:rPr>
                <w:sz w:val="16"/>
                <w:szCs w:val="16"/>
                <w:color w:val="auto"/>
              </w:rPr>
            </w:pPr>
          </w:p>
        </w:tc>
      </w:tr>
      <w:tr>
        <w:trPr>
          <w:trHeight w:val="395"/>
        </w:trPr>
        <w:tc>
          <w:tcPr>
            <w:tcW w:w="9740" w:type="dxa"/>
            <w:vAlign w:val="bottom"/>
            <w:gridSpan w:val="3"/>
          </w:tcPr>
          <w:p>
            <w:pPr>
              <w:jc w:val="center"/>
              <w:ind w:right="297"/>
              <w:spacing w:after="0"/>
              <w:rPr>
                <w:sz w:val="20"/>
                <w:szCs w:val="20"/>
                <w:color w:val="auto"/>
              </w:rPr>
            </w:pPr>
            <w:r>
              <w:rPr>
                <w:rFonts w:ascii="Arial" w:cs="Arial" w:eastAsia="Arial" w:hAnsi="Arial"/>
                <w:sz w:val="31"/>
                <w:szCs w:val="31"/>
                <w:b w:val="1"/>
                <w:bCs w:val="1"/>
                <w:color w:val="auto"/>
              </w:rPr>
              <w:t>RIBBON COMMUNICATIONS INC.</w:t>
            </w:r>
          </w:p>
        </w:tc>
      </w:tr>
      <w:tr>
        <w:trPr>
          <w:trHeight w:val="221"/>
        </w:trPr>
        <w:tc>
          <w:tcPr>
            <w:tcW w:w="2340" w:type="dxa"/>
            <w:vAlign w:val="bottom"/>
          </w:tcPr>
          <w:p>
            <w:pPr>
              <w:spacing w:after="0"/>
              <w:rPr>
                <w:sz w:val="19"/>
                <w:szCs w:val="19"/>
                <w:color w:val="auto"/>
              </w:rPr>
            </w:pPr>
          </w:p>
        </w:tc>
        <w:tc>
          <w:tcPr>
            <w:tcW w:w="4340" w:type="dxa"/>
            <w:vAlign w:val="bottom"/>
          </w:tcPr>
          <w:p>
            <w:pPr>
              <w:jc w:val="center"/>
              <w:ind w:left="275"/>
              <w:spacing w:after="0"/>
              <w:rPr>
                <w:sz w:val="20"/>
                <w:szCs w:val="20"/>
                <w:color w:val="auto"/>
              </w:rPr>
            </w:pPr>
            <w:r>
              <w:rPr>
                <w:rFonts w:ascii="Arial" w:cs="Arial" w:eastAsia="Arial" w:hAnsi="Arial"/>
                <w:sz w:val="17"/>
                <w:szCs w:val="17"/>
                <w:color w:val="auto"/>
                <w:w w:val="92"/>
              </w:rPr>
              <w:t>(Exact name of Registrant as specified in its charter)</w:t>
            </w:r>
          </w:p>
        </w:tc>
        <w:tc>
          <w:tcPr>
            <w:tcW w:w="3060" w:type="dxa"/>
            <w:vAlign w:val="bottom"/>
          </w:tcPr>
          <w:p>
            <w:pPr>
              <w:spacing w:after="0"/>
              <w:rPr>
                <w:sz w:val="19"/>
                <w:szCs w:val="19"/>
                <w:color w:val="auto"/>
              </w:rPr>
            </w:pPr>
          </w:p>
        </w:tc>
      </w:tr>
      <w:tr>
        <w:trPr>
          <w:trHeight w:val="340"/>
        </w:trPr>
        <w:tc>
          <w:tcPr>
            <w:tcW w:w="2340" w:type="dxa"/>
            <w:vAlign w:val="bottom"/>
          </w:tcPr>
          <w:p>
            <w:pPr>
              <w:jc w:val="center"/>
              <w:ind w:right="65"/>
              <w:spacing w:after="0"/>
              <w:rPr>
                <w:sz w:val="20"/>
                <w:szCs w:val="20"/>
                <w:color w:val="auto"/>
              </w:rPr>
            </w:pPr>
            <w:r>
              <w:rPr>
                <w:rFonts w:ascii="Arial" w:cs="Arial" w:eastAsia="Arial" w:hAnsi="Arial"/>
                <w:sz w:val="17"/>
                <w:szCs w:val="17"/>
                <w:b w:val="1"/>
                <w:bCs w:val="1"/>
                <w:color w:val="auto"/>
                <w:w w:val="93"/>
              </w:rPr>
              <w:t>Delaware</w:t>
            </w:r>
          </w:p>
        </w:tc>
        <w:tc>
          <w:tcPr>
            <w:tcW w:w="4340" w:type="dxa"/>
            <w:vAlign w:val="bottom"/>
          </w:tcPr>
          <w:p>
            <w:pPr>
              <w:spacing w:after="0"/>
              <w:rPr>
                <w:sz w:val="24"/>
                <w:szCs w:val="24"/>
                <w:color w:val="auto"/>
              </w:rPr>
            </w:pPr>
          </w:p>
        </w:tc>
        <w:tc>
          <w:tcPr>
            <w:tcW w:w="3060" w:type="dxa"/>
            <w:vAlign w:val="bottom"/>
          </w:tcPr>
          <w:p>
            <w:pPr>
              <w:jc w:val="center"/>
              <w:ind w:left="57"/>
              <w:spacing w:after="0"/>
              <w:rPr>
                <w:sz w:val="20"/>
                <w:szCs w:val="20"/>
                <w:color w:val="auto"/>
              </w:rPr>
            </w:pPr>
            <w:r>
              <w:rPr>
                <w:rFonts w:ascii="Arial" w:cs="Arial" w:eastAsia="Arial" w:hAnsi="Arial"/>
                <w:sz w:val="17"/>
                <w:szCs w:val="17"/>
                <w:b w:val="1"/>
                <w:bCs w:val="1"/>
                <w:color w:val="auto"/>
                <w:w w:val="92"/>
              </w:rPr>
              <w:t>82-1669692</w:t>
            </w:r>
          </w:p>
        </w:tc>
      </w:tr>
      <w:tr>
        <w:trPr>
          <w:trHeight w:val="171"/>
        </w:trPr>
        <w:tc>
          <w:tcPr>
            <w:tcW w:w="2340" w:type="dxa"/>
            <w:vAlign w:val="bottom"/>
          </w:tcPr>
          <w:p>
            <w:pPr>
              <w:jc w:val="center"/>
              <w:ind w:right="65"/>
              <w:spacing w:after="0" w:line="171" w:lineRule="exact"/>
              <w:rPr>
                <w:sz w:val="20"/>
                <w:szCs w:val="20"/>
                <w:color w:val="auto"/>
              </w:rPr>
            </w:pPr>
            <w:r>
              <w:rPr>
                <w:rFonts w:ascii="Arial" w:cs="Arial" w:eastAsia="Arial" w:hAnsi="Arial"/>
                <w:sz w:val="17"/>
                <w:szCs w:val="17"/>
                <w:color w:val="auto"/>
                <w:w w:val="94"/>
              </w:rPr>
              <w:t>(State or other jurisdiction of</w:t>
            </w:r>
          </w:p>
        </w:tc>
        <w:tc>
          <w:tcPr>
            <w:tcW w:w="4340" w:type="dxa"/>
            <w:vAlign w:val="bottom"/>
          </w:tcPr>
          <w:p>
            <w:pPr>
              <w:spacing w:after="0"/>
              <w:rPr>
                <w:sz w:val="14"/>
                <w:szCs w:val="14"/>
                <w:color w:val="auto"/>
              </w:rPr>
            </w:pPr>
          </w:p>
        </w:tc>
        <w:tc>
          <w:tcPr>
            <w:tcW w:w="3060" w:type="dxa"/>
            <w:vAlign w:val="bottom"/>
          </w:tcPr>
          <w:p>
            <w:pPr>
              <w:jc w:val="center"/>
              <w:ind w:left="57"/>
              <w:spacing w:after="0" w:line="171" w:lineRule="exact"/>
              <w:rPr>
                <w:sz w:val="20"/>
                <w:szCs w:val="20"/>
                <w:color w:val="auto"/>
              </w:rPr>
            </w:pPr>
            <w:r>
              <w:rPr>
                <w:rFonts w:ascii="Arial" w:cs="Arial" w:eastAsia="Arial" w:hAnsi="Arial"/>
                <w:sz w:val="17"/>
                <w:szCs w:val="17"/>
                <w:color w:val="auto"/>
                <w:w w:val="96"/>
              </w:rPr>
              <w:t>(I.R.S. Employer Identification No.)</w:t>
            </w:r>
          </w:p>
        </w:tc>
      </w:tr>
      <w:tr>
        <w:trPr>
          <w:trHeight w:val="221"/>
        </w:trPr>
        <w:tc>
          <w:tcPr>
            <w:tcW w:w="2340" w:type="dxa"/>
            <w:vAlign w:val="bottom"/>
          </w:tcPr>
          <w:p>
            <w:pPr>
              <w:jc w:val="center"/>
              <w:ind w:right="65"/>
              <w:spacing w:after="0"/>
              <w:rPr>
                <w:sz w:val="20"/>
                <w:szCs w:val="20"/>
                <w:color w:val="auto"/>
              </w:rPr>
            </w:pPr>
            <w:r>
              <w:rPr>
                <w:rFonts w:ascii="Arial" w:cs="Arial" w:eastAsia="Arial" w:hAnsi="Arial"/>
                <w:sz w:val="17"/>
                <w:szCs w:val="17"/>
                <w:color w:val="auto"/>
                <w:w w:val="94"/>
              </w:rPr>
              <w:t>incorporation or organization)</w:t>
            </w:r>
          </w:p>
        </w:tc>
        <w:tc>
          <w:tcPr>
            <w:tcW w:w="43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537"/>
        </w:trPr>
        <w:tc>
          <w:tcPr>
            <w:tcW w:w="2340" w:type="dxa"/>
            <w:vAlign w:val="bottom"/>
          </w:tcPr>
          <w:p>
            <w:pPr>
              <w:spacing w:after="0"/>
              <w:rPr>
                <w:sz w:val="24"/>
                <w:szCs w:val="24"/>
                <w:color w:val="auto"/>
              </w:rPr>
            </w:pPr>
          </w:p>
        </w:tc>
        <w:tc>
          <w:tcPr>
            <w:tcW w:w="7400" w:type="dxa"/>
            <w:vAlign w:val="bottom"/>
            <w:gridSpan w:val="2"/>
          </w:tcPr>
          <w:p>
            <w:pPr>
              <w:jc w:val="center"/>
              <w:ind w:right="2637"/>
              <w:spacing w:after="0"/>
              <w:rPr>
                <w:sz w:val="20"/>
                <w:szCs w:val="20"/>
                <w:color w:val="auto"/>
              </w:rPr>
            </w:pPr>
            <w:r>
              <w:rPr>
                <w:rFonts w:ascii="Arial" w:cs="Arial" w:eastAsia="Arial" w:hAnsi="Arial"/>
                <w:sz w:val="17"/>
                <w:szCs w:val="17"/>
                <w:b w:val="1"/>
                <w:bCs w:val="1"/>
                <w:color w:val="auto"/>
                <w:w w:val="91"/>
              </w:rPr>
              <w:t>6500 Chase Oaks Boulevard, Suite 100, Plano, Texas 75023</w:t>
            </w:r>
          </w:p>
        </w:tc>
      </w:tr>
      <w:tr>
        <w:trPr>
          <w:trHeight w:val="221"/>
        </w:trPr>
        <w:tc>
          <w:tcPr>
            <w:tcW w:w="2340" w:type="dxa"/>
            <w:vAlign w:val="bottom"/>
          </w:tcPr>
          <w:p>
            <w:pPr>
              <w:spacing w:after="0"/>
              <w:rPr>
                <w:sz w:val="19"/>
                <w:szCs w:val="19"/>
                <w:color w:val="auto"/>
              </w:rPr>
            </w:pPr>
          </w:p>
        </w:tc>
        <w:tc>
          <w:tcPr>
            <w:tcW w:w="4340" w:type="dxa"/>
            <w:vAlign w:val="bottom"/>
          </w:tcPr>
          <w:p>
            <w:pPr>
              <w:jc w:val="center"/>
              <w:ind w:left="275"/>
              <w:spacing w:after="0"/>
              <w:rPr>
                <w:sz w:val="20"/>
                <w:szCs w:val="20"/>
                <w:color w:val="auto"/>
              </w:rPr>
            </w:pPr>
            <w:r>
              <w:rPr>
                <w:rFonts w:ascii="Arial" w:cs="Arial" w:eastAsia="Arial" w:hAnsi="Arial"/>
                <w:sz w:val="17"/>
                <w:szCs w:val="17"/>
                <w:color w:val="auto"/>
                <w:w w:val="95"/>
              </w:rPr>
              <w:t>(Address of principal executive offices) (Zip code)</w:t>
            </w:r>
          </w:p>
        </w:tc>
        <w:tc>
          <w:tcPr>
            <w:tcW w:w="3060" w:type="dxa"/>
            <w:vAlign w:val="bottom"/>
          </w:tcPr>
          <w:p>
            <w:pPr>
              <w:spacing w:after="0"/>
              <w:rPr>
                <w:sz w:val="19"/>
                <w:szCs w:val="19"/>
                <w:color w:val="auto"/>
              </w:rPr>
            </w:pPr>
          </w:p>
        </w:tc>
      </w:tr>
      <w:tr>
        <w:trPr>
          <w:trHeight w:val="249"/>
        </w:trPr>
        <w:tc>
          <w:tcPr>
            <w:tcW w:w="2340" w:type="dxa"/>
            <w:vAlign w:val="bottom"/>
          </w:tcPr>
          <w:p>
            <w:pPr>
              <w:spacing w:after="0"/>
              <w:rPr>
                <w:sz w:val="21"/>
                <w:szCs w:val="21"/>
                <w:color w:val="auto"/>
              </w:rPr>
            </w:pPr>
          </w:p>
        </w:tc>
        <w:tc>
          <w:tcPr>
            <w:tcW w:w="4340" w:type="dxa"/>
            <w:vAlign w:val="bottom"/>
          </w:tcPr>
          <w:p>
            <w:pPr>
              <w:jc w:val="center"/>
              <w:ind w:left="255"/>
              <w:spacing w:after="0"/>
              <w:rPr>
                <w:sz w:val="20"/>
                <w:szCs w:val="20"/>
                <w:color w:val="auto"/>
              </w:rPr>
            </w:pPr>
            <w:r>
              <w:rPr>
                <w:rFonts w:ascii="Arial" w:cs="Arial" w:eastAsia="Arial" w:hAnsi="Arial"/>
                <w:sz w:val="17"/>
                <w:szCs w:val="17"/>
                <w:b w:val="1"/>
                <w:bCs w:val="1"/>
                <w:color w:val="auto"/>
                <w:w w:val="92"/>
              </w:rPr>
              <w:t>(978) 614-8100</w:t>
            </w:r>
          </w:p>
        </w:tc>
        <w:tc>
          <w:tcPr>
            <w:tcW w:w="3060" w:type="dxa"/>
            <w:vAlign w:val="bottom"/>
          </w:tcPr>
          <w:p>
            <w:pPr>
              <w:spacing w:after="0"/>
              <w:rPr>
                <w:sz w:val="21"/>
                <w:szCs w:val="21"/>
                <w:color w:val="auto"/>
              </w:rPr>
            </w:pPr>
          </w:p>
        </w:tc>
      </w:tr>
      <w:tr>
        <w:trPr>
          <w:trHeight w:val="221"/>
        </w:trPr>
        <w:tc>
          <w:tcPr>
            <w:tcW w:w="2340" w:type="dxa"/>
            <w:vAlign w:val="bottom"/>
          </w:tcPr>
          <w:p>
            <w:pPr>
              <w:spacing w:after="0"/>
              <w:rPr>
                <w:sz w:val="19"/>
                <w:szCs w:val="19"/>
                <w:color w:val="auto"/>
              </w:rPr>
            </w:pPr>
          </w:p>
        </w:tc>
        <w:tc>
          <w:tcPr>
            <w:tcW w:w="4340" w:type="dxa"/>
            <w:vAlign w:val="bottom"/>
          </w:tcPr>
          <w:p>
            <w:pPr>
              <w:jc w:val="center"/>
              <w:ind w:left="255"/>
              <w:spacing w:after="0"/>
              <w:rPr>
                <w:sz w:val="20"/>
                <w:szCs w:val="20"/>
                <w:color w:val="auto"/>
              </w:rPr>
            </w:pPr>
            <w:r>
              <w:rPr>
                <w:rFonts w:ascii="Arial" w:cs="Arial" w:eastAsia="Arial" w:hAnsi="Arial"/>
                <w:sz w:val="17"/>
                <w:szCs w:val="17"/>
                <w:color w:val="auto"/>
                <w:w w:val="92"/>
              </w:rPr>
              <w:t>(Registrant's telephone number, including area code)</w:t>
            </w:r>
          </w:p>
        </w:tc>
        <w:tc>
          <w:tcPr>
            <w:tcW w:w="3060" w:type="dxa"/>
            <w:vAlign w:val="bottom"/>
          </w:tcPr>
          <w:p>
            <w:pPr>
              <w:spacing w:after="0"/>
              <w:rPr>
                <w:sz w:val="19"/>
                <w:szCs w:val="19"/>
                <w:color w:val="auto"/>
              </w:rPr>
            </w:pPr>
          </w:p>
        </w:tc>
      </w:tr>
      <w:tr>
        <w:trPr>
          <w:trHeight w:val="249"/>
        </w:trPr>
        <w:tc>
          <w:tcPr>
            <w:tcW w:w="2340" w:type="dxa"/>
            <w:vAlign w:val="bottom"/>
          </w:tcPr>
          <w:p>
            <w:pPr>
              <w:spacing w:after="0"/>
              <w:rPr>
                <w:sz w:val="21"/>
                <w:szCs w:val="21"/>
                <w:color w:val="auto"/>
              </w:rPr>
            </w:pPr>
          </w:p>
        </w:tc>
        <w:tc>
          <w:tcPr>
            <w:tcW w:w="4340" w:type="dxa"/>
            <w:vAlign w:val="bottom"/>
          </w:tcPr>
          <w:p>
            <w:pPr>
              <w:jc w:val="center"/>
              <w:ind w:left="275"/>
              <w:spacing w:after="0"/>
              <w:rPr>
                <w:sz w:val="20"/>
                <w:szCs w:val="20"/>
                <w:color w:val="auto"/>
              </w:rPr>
            </w:pPr>
            <w:r>
              <w:rPr>
                <w:rFonts w:ascii="Arial" w:cs="Arial" w:eastAsia="Arial" w:hAnsi="Arial"/>
                <w:sz w:val="17"/>
                <w:szCs w:val="17"/>
                <w:color w:val="auto"/>
              </w:rPr>
              <w:t>N/A</w:t>
            </w:r>
          </w:p>
        </w:tc>
        <w:tc>
          <w:tcPr>
            <w:tcW w:w="3060" w:type="dxa"/>
            <w:vAlign w:val="bottom"/>
          </w:tcPr>
          <w:p>
            <w:pPr>
              <w:spacing w:after="0"/>
              <w:rPr>
                <w:sz w:val="21"/>
                <w:szCs w:val="21"/>
                <w:color w:val="auto"/>
              </w:rPr>
            </w:pPr>
          </w:p>
        </w:tc>
      </w:tr>
      <w:tr>
        <w:trPr>
          <w:trHeight w:val="221"/>
        </w:trPr>
        <w:tc>
          <w:tcPr>
            <w:tcW w:w="9740" w:type="dxa"/>
            <w:vAlign w:val="bottom"/>
            <w:gridSpan w:val="3"/>
          </w:tcPr>
          <w:p>
            <w:pPr>
              <w:jc w:val="center"/>
              <w:ind w:right="297"/>
              <w:spacing w:after="0"/>
              <w:rPr>
                <w:sz w:val="20"/>
                <w:szCs w:val="20"/>
                <w:color w:val="auto"/>
              </w:rPr>
            </w:pPr>
            <w:r>
              <w:rPr>
                <w:rFonts w:ascii="Arial" w:cs="Arial" w:eastAsia="Arial" w:hAnsi="Arial"/>
                <w:sz w:val="17"/>
                <w:szCs w:val="17"/>
                <w:color w:val="auto"/>
                <w:w w:val="92"/>
              </w:rPr>
              <w:t>(Former name, former address and former fiscal year, if changed since last report)</w:t>
            </w:r>
          </w:p>
        </w:tc>
      </w:tr>
      <w:tr>
        <w:trPr>
          <w:trHeight w:val="444"/>
        </w:trPr>
        <w:tc>
          <w:tcPr>
            <w:tcW w:w="2340" w:type="dxa"/>
            <w:vAlign w:val="bottom"/>
          </w:tcPr>
          <w:p>
            <w:pPr>
              <w:spacing w:after="0"/>
              <w:rPr>
                <w:sz w:val="24"/>
                <w:szCs w:val="24"/>
                <w:color w:val="auto"/>
              </w:rPr>
            </w:pPr>
          </w:p>
        </w:tc>
        <w:tc>
          <w:tcPr>
            <w:tcW w:w="7400" w:type="dxa"/>
            <w:vAlign w:val="bottom"/>
            <w:gridSpan w:val="2"/>
          </w:tcPr>
          <w:p>
            <w:pPr>
              <w:ind w:left="440"/>
              <w:spacing w:after="0"/>
              <w:rPr>
                <w:sz w:val="20"/>
                <w:szCs w:val="20"/>
                <w:color w:val="auto"/>
              </w:rPr>
            </w:pPr>
            <w:r>
              <w:rPr>
                <w:rFonts w:ascii="Arial" w:cs="Arial" w:eastAsia="Arial" w:hAnsi="Arial"/>
                <w:sz w:val="17"/>
                <w:szCs w:val="17"/>
                <w:b w:val="1"/>
                <w:bCs w:val="1"/>
                <w:color w:val="auto"/>
              </w:rPr>
              <w:t>Securities registered pursuant to Section 12(b) of the Act:</w:t>
            </w:r>
          </w:p>
        </w:tc>
      </w:tr>
      <w:tr>
        <w:trPr>
          <w:trHeight w:val="308"/>
        </w:trPr>
        <w:tc>
          <w:tcPr>
            <w:tcW w:w="2340" w:type="dxa"/>
            <w:vAlign w:val="bottom"/>
          </w:tcPr>
          <w:p>
            <w:pPr>
              <w:jc w:val="center"/>
              <w:ind w:right="65"/>
              <w:spacing w:after="0"/>
              <w:rPr>
                <w:sz w:val="20"/>
                <w:szCs w:val="20"/>
                <w:color w:val="auto"/>
              </w:rPr>
            </w:pPr>
            <w:r>
              <w:rPr>
                <w:rFonts w:ascii="Arial" w:cs="Arial" w:eastAsia="Arial" w:hAnsi="Arial"/>
                <w:sz w:val="16"/>
                <w:szCs w:val="16"/>
                <w:b w:val="1"/>
                <w:bCs w:val="1"/>
                <w:color w:val="auto"/>
                <w:w w:val="85"/>
              </w:rPr>
              <w:t>Title of each class</w:t>
            </w:r>
          </w:p>
        </w:tc>
        <w:tc>
          <w:tcPr>
            <w:tcW w:w="4340" w:type="dxa"/>
            <w:vAlign w:val="bottom"/>
          </w:tcPr>
          <w:p>
            <w:pPr>
              <w:jc w:val="center"/>
              <w:ind w:left="255"/>
              <w:spacing w:after="0"/>
              <w:rPr>
                <w:sz w:val="20"/>
                <w:szCs w:val="20"/>
                <w:color w:val="auto"/>
              </w:rPr>
            </w:pPr>
            <w:r>
              <w:rPr>
                <w:rFonts w:ascii="Arial" w:cs="Arial" w:eastAsia="Arial" w:hAnsi="Arial"/>
                <w:sz w:val="16"/>
                <w:szCs w:val="16"/>
                <w:b w:val="1"/>
                <w:bCs w:val="1"/>
                <w:color w:val="auto"/>
                <w:w w:val="88"/>
              </w:rPr>
              <w:t>Trading Symbol(s)</w:t>
            </w:r>
          </w:p>
        </w:tc>
        <w:tc>
          <w:tcPr>
            <w:tcW w:w="3060" w:type="dxa"/>
            <w:vAlign w:val="bottom"/>
          </w:tcPr>
          <w:p>
            <w:pPr>
              <w:jc w:val="center"/>
              <w:ind w:left="57"/>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9"/>
        </w:trPr>
        <w:tc>
          <w:tcPr>
            <w:tcW w:w="2340" w:type="dxa"/>
            <w:vAlign w:val="bottom"/>
          </w:tcPr>
          <w:p>
            <w:pPr>
              <w:jc w:val="center"/>
              <w:ind w:right="65"/>
              <w:spacing w:after="0"/>
              <w:rPr>
                <w:sz w:val="20"/>
                <w:szCs w:val="20"/>
                <w:color w:val="auto"/>
              </w:rPr>
            </w:pPr>
            <w:r>
              <w:rPr>
                <w:rFonts w:ascii="Arial" w:cs="Arial" w:eastAsia="Arial" w:hAnsi="Arial"/>
                <w:sz w:val="16"/>
                <w:szCs w:val="16"/>
                <w:color w:val="auto"/>
                <w:w w:val="88"/>
              </w:rPr>
              <w:t>Common Stock, par value $0.0001</w:t>
            </w:r>
          </w:p>
        </w:tc>
        <w:tc>
          <w:tcPr>
            <w:tcW w:w="4340" w:type="dxa"/>
            <w:vAlign w:val="bottom"/>
          </w:tcPr>
          <w:p>
            <w:pPr>
              <w:jc w:val="center"/>
              <w:ind w:left="275"/>
              <w:spacing w:after="0"/>
              <w:rPr>
                <w:sz w:val="20"/>
                <w:szCs w:val="20"/>
                <w:color w:val="auto"/>
              </w:rPr>
            </w:pPr>
            <w:r>
              <w:rPr>
                <w:rFonts w:ascii="Arial" w:cs="Arial" w:eastAsia="Arial" w:hAnsi="Arial"/>
                <w:sz w:val="16"/>
                <w:szCs w:val="16"/>
                <w:color w:val="auto"/>
                <w:w w:val="94"/>
              </w:rPr>
              <w:t>RBBN</w:t>
            </w:r>
          </w:p>
        </w:tc>
        <w:tc>
          <w:tcPr>
            <w:tcW w:w="3060" w:type="dxa"/>
            <w:vAlign w:val="bottom"/>
          </w:tcPr>
          <w:p>
            <w:pPr>
              <w:jc w:val="center"/>
              <w:ind w:left="77"/>
              <w:spacing w:after="0"/>
              <w:rPr>
                <w:sz w:val="20"/>
                <w:szCs w:val="20"/>
                <w:color w:val="auto"/>
              </w:rPr>
            </w:pPr>
            <w:r>
              <w:rPr>
                <w:rFonts w:ascii="Arial" w:cs="Arial" w:eastAsia="Arial" w:hAnsi="Arial"/>
                <w:sz w:val="16"/>
                <w:szCs w:val="16"/>
                <w:color w:val="auto"/>
                <w:w w:val="89"/>
              </w:rPr>
              <w:t>The Nasdaq Global Select Market</w:t>
            </w:r>
          </w:p>
        </w:tc>
      </w:tr>
    </w:tbl>
    <w:p>
      <w:pPr>
        <w:spacing w:after="0" w:line="138" w:lineRule="exact"/>
        <w:rPr>
          <w:sz w:val="24"/>
          <w:szCs w:val="24"/>
          <w:color w:val="auto"/>
        </w:rPr>
      </w:pPr>
    </w:p>
    <w:p>
      <w:pPr>
        <w:ind w:right="120" w:firstLine="470"/>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7" w:lineRule="exact"/>
        <w:rPr>
          <w:sz w:val="24"/>
          <w:szCs w:val="24"/>
          <w:color w:val="auto"/>
        </w:rPr>
      </w:pPr>
    </w:p>
    <w:p>
      <w:pPr>
        <w:ind w:right="180" w:firstLine="470"/>
        <w:spacing w:after="0" w:line="272"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7" w:lineRule="exact"/>
        <w:rPr>
          <w:sz w:val="24"/>
          <w:szCs w:val="24"/>
          <w:color w:val="auto"/>
        </w:rPr>
      </w:pPr>
    </w:p>
    <w:p>
      <w:pPr>
        <w:ind w:right="40"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044" w:right="399" w:bottom="1440" w:gutter="0" w:footer="0" w:header="0"/>
        </w:sectPr>
      </w:pPr>
    </w:p>
    <w:p>
      <w:pPr>
        <w:spacing w:after="0" w:line="87"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Large accelerated filer</w:t>
      </w:r>
    </w:p>
    <w:p>
      <w:pPr>
        <w:spacing w:after="0" w:line="35" w:lineRule="exact"/>
        <w:rPr>
          <w:sz w:val="24"/>
          <w:szCs w:val="24"/>
          <w:color w:val="auto"/>
        </w:rPr>
      </w:pPr>
    </w:p>
    <w:p>
      <w:pPr>
        <w:jc w:val="center"/>
        <w:ind w:left="3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jc w:val="center"/>
        <w:ind w:right="300"/>
        <w:spacing w:after="0"/>
        <w:rPr>
          <w:sz w:val="20"/>
          <w:szCs w:val="20"/>
          <w:color w:val="auto"/>
        </w:rPr>
      </w:pPr>
      <w:r>
        <w:rPr>
          <w:rFonts w:ascii="Arial" w:cs="Arial" w:eastAsia="Arial" w:hAnsi="Arial"/>
          <w:sz w:val="14"/>
          <w:szCs w:val="14"/>
          <w:color w:val="auto"/>
        </w:rPr>
        <w:t>Accelerated filer</w:t>
      </w:r>
    </w:p>
    <w:p>
      <w:pPr>
        <w:spacing w:after="0" w:line="35" w:lineRule="exact"/>
        <w:rPr>
          <w:sz w:val="24"/>
          <w:szCs w:val="24"/>
          <w:color w:val="auto"/>
        </w:rPr>
      </w:pPr>
    </w:p>
    <w:p>
      <w:pPr>
        <w:jc w:val="center"/>
        <w:ind w:right="3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jc w:val="center"/>
        <w:ind w:right="46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9" w:lineRule="exact"/>
        <w:rPr>
          <w:sz w:val="24"/>
          <w:szCs w:val="24"/>
          <w:color w:val="auto"/>
        </w:rPr>
      </w:pPr>
    </w:p>
    <w:p>
      <w:pPr>
        <w:sectPr>
          <w:pgSz w:w="11900" w:h="16838" w:orient="portrait"/>
          <w:cols w:equalWidth="0" w:num="6">
            <w:col w:w="2420" w:space="720"/>
            <w:col w:w="520" w:space="720"/>
            <w:col w:w="1820" w:space="720"/>
            <w:col w:w="680" w:space="720"/>
            <w:col w:w="1640" w:space="720"/>
            <w:col w:w="500"/>
          </w:cols>
          <w:pgMar w:left="320" w:top="1044" w:right="399" w:bottom="1440" w:gutter="0" w:footer="0" w:header="0"/>
          <w:type w:val="continuous"/>
        </w:sectPr>
      </w:pPr>
    </w:p>
    <w:p>
      <w:pPr>
        <w:spacing w:after="0" w:line="34" w:lineRule="exact"/>
        <w:rPr>
          <w:sz w:val="24"/>
          <w:szCs w:val="24"/>
          <w:color w:val="auto"/>
        </w:rPr>
      </w:pPr>
    </w:p>
    <w:p>
      <w:pPr>
        <w:ind w:firstLine="470"/>
        <w:spacing w:after="0" w:line="28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1" w:lineRule="exact"/>
        <w:rPr>
          <w:sz w:val="24"/>
          <w:szCs w:val="24"/>
          <w:color w:val="auto"/>
        </w:rPr>
      </w:pPr>
    </w:p>
    <w:p>
      <w:pPr>
        <w:ind w:left="480"/>
        <w:spacing w:after="0" w:line="184" w:lineRule="exact"/>
        <w:tabs>
          <w:tab w:leader="none" w:pos="90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67" w:lineRule="exact"/>
        <w:rPr>
          <w:sz w:val="24"/>
          <w:szCs w:val="24"/>
          <w:color w:val="auto"/>
        </w:rPr>
      </w:pPr>
    </w:p>
    <w:p>
      <w:pPr>
        <w:ind w:left="480"/>
        <w:spacing w:after="0"/>
        <w:rPr>
          <w:sz w:val="20"/>
          <w:szCs w:val="20"/>
          <w:color w:val="auto"/>
        </w:rPr>
      </w:pPr>
      <w:r>
        <w:rPr>
          <w:rFonts w:ascii="Arial" w:cs="Arial" w:eastAsia="Arial" w:hAnsi="Arial"/>
          <w:sz w:val="17"/>
          <w:szCs w:val="17"/>
          <w:color w:val="auto"/>
        </w:rPr>
        <w:t>As of October 21, 2022, there were 168,123,073 shares of the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659130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149225</wp:posOffset>
            </wp:positionV>
            <wp:extent cx="689927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165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124460</wp:posOffset>
            </wp:positionV>
            <wp:extent cx="6899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180"/>
          </w:cols>
          <w:pgMar w:left="320" w:top="1044"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PERIOD ENDED 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1"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6"/>
        </w:trPr>
        <w:tc>
          <w:tcPr>
            <w:tcW w:w="50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8C56EE"/>
                <w:w w:val="92"/>
              </w:rPr>
              <w:t>Cautionary Note Regarding Forward-Looking Statements</w:t>
            </w:r>
          </w:p>
        </w:tc>
        <w:tc>
          <w:tcPr>
            <w:tcW w:w="6140" w:type="dxa"/>
            <w:vAlign w:val="bottom"/>
            <w:gridSpan w:val="3"/>
          </w:tcPr>
          <w:p>
            <w:pPr>
              <w:jc w:val="right"/>
              <w:ind w:right="350"/>
              <w:spacing w:after="0"/>
              <w:rPr>
                <w:sz w:val="20"/>
                <w:szCs w:val="20"/>
                <w:color w:val="auto"/>
              </w:rPr>
            </w:pPr>
            <w:r>
              <w:rPr>
                <w:rFonts w:ascii="Arial" w:cs="Arial" w:eastAsia="Arial" w:hAnsi="Arial"/>
                <w:sz w:val="17"/>
                <w:szCs w:val="17"/>
                <w:color w:val="8C56EE"/>
              </w:rPr>
              <w:t>3</w:t>
            </w:r>
          </w:p>
        </w:tc>
      </w:tr>
      <w:tr>
        <w:trPr>
          <w:trHeight w:val="20"/>
        </w:trPr>
        <w:tc>
          <w:tcPr>
            <w:tcW w:w="500" w:type="dxa"/>
            <w:vAlign w:val="bottom"/>
          </w:tcPr>
          <w:p>
            <w:pPr>
              <w:spacing w:after="0" w:line="20" w:lineRule="exact"/>
              <w:rPr>
                <w:sz w:val="1"/>
                <w:szCs w:val="1"/>
                <w:color w:val="auto"/>
              </w:rPr>
            </w:pPr>
          </w:p>
        </w:tc>
        <w:tc>
          <w:tcPr>
            <w:tcW w:w="4000" w:type="dxa"/>
            <w:vAlign w:val="bottom"/>
            <w:shd w:val="clear" w:color="auto" w:fill="8C56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8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PART I FINANCIAL INFORMATION</w:t>
      </w:r>
    </w:p>
    <w:p>
      <w:pPr>
        <w:spacing w:after="0" w:line="33" w:lineRule="exact"/>
        <w:rPr>
          <w:sz w:val="20"/>
          <w:szCs w:val="20"/>
          <w:color w:val="auto"/>
        </w:rPr>
      </w:pPr>
    </w:p>
    <w:p>
      <w:pPr>
        <w:ind w:left="700" w:hanging="502"/>
        <w:spacing w:after="0"/>
        <w:tabs>
          <w:tab w:leader="none" w:pos="700" w:val="left"/>
        </w:tabs>
        <w:numPr>
          <w:ilvl w:val="0"/>
          <w:numId w:val="3"/>
        </w:numPr>
        <w:rPr>
          <w:rFonts w:ascii="Arial" w:cs="Arial" w:eastAsia="Arial" w:hAnsi="Arial"/>
          <w:sz w:val="17"/>
          <w:szCs w:val="17"/>
          <w:u w:val="single" w:color="auto"/>
          <w:color w:val="8C56EE"/>
        </w:rPr>
      </w:pPr>
      <w:r>
        <w:rPr>
          <w:rFonts w:ascii="Arial" w:cs="Arial" w:eastAsia="Arial" w:hAnsi="Arial"/>
          <w:sz w:val="17"/>
          <w:szCs w:val="17"/>
          <w:u w:val="single" w:color="auto"/>
          <w:color w:val="8C56EE"/>
        </w:rPr>
        <w:t>Financial Statements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Condensed Consolidated Balance Sheets as of September 30, 2022 and December 31, 2021 (unaudited)</w:t>
            </w:r>
          </w:p>
        </w:tc>
        <w:tc>
          <w:tcPr>
            <w:tcW w:w="380" w:type="dxa"/>
            <w:vAlign w:val="bottom"/>
            <w:gridSpan w:val="3"/>
          </w:tcPr>
          <w:p>
            <w:pPr>
              <w:ind w:left="220"/>
              <w:spacing w:after="0"/>
              <w:rPr>
                <w:sz w:val="20"/>
                <w:szCs w:val="20"/>
                <w:color w:val="auto"/>
              </w:rPr>
            </w:pPr>
            <w:r>
              <w:rPr>
                <w:rFonts w:ascii="Arial" w:cs="Arial" w:eastAsia="Arial" w:hAnsi="Arial"/>
                <w:sz w:val="17"/>
                <w:szCs w:val="17"/>
                <w:color w:val="8C56EE"/>
              </w:rPr>
              <w:t>4</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60" w:type="dxa"/>
            <w:vAlign w:val="bottom"/>
            <w:shd w:val="clear" w:color="auto" w:fill="8C56EE"/>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980" w:type="dxa"/>
            <w:vAlign w:val="bottom"/>
            <w:shd w:val="clear" w:color="auto" w:fill="8C56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w w:val="93"/>
              </w:rPr>
              <w:t>Condensed Consolidated Statements of Operations for the Three and Nine Months Ended September 30, 2022 and 2021 (unaudited)</w:t>
            </w:r>
          </w:p>
        </w:tc>
        <w:tc>
          <w:tcPr>
            <w:tcW w:w="380" w:type="dxa"/>
            <w:vAlign w:val="bottom"/>
            <w:gridSpan w:val="3"/>
          </w:tcPr>
          <w:p>
            <w:pPr>
              <w:ind w:left="220"/>
              <w:spacing w:after="0"/>
              <w:rPr>
                <w:sz w:val="20"/>
                <w:szCs w:val="20"/>
                <w:color w:val="auto"/>
              </w:rPr>
            </w:pPr>
            <w:r>
              <w:rPr>
                <w:rFonts w:ascii="Arial" w:cs="Arial" w:eastAsia="Arial" w:hAnsi="Arial"/>
                <w:sz w:val="17"/>
                <w:szCs w:val="17"/>
                <w:color w:val="8C56EE"/>
              </w:rPr>
              <w:t>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60" w:type="dxa"/>
            <w:vAlign w:val="bottom"/>
            <w:shd w:val="clear" w:color="auto" w:fill="8C56EE"/>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2300" w:type="dxa"/>
            <w:vAlign w:val="bottom"/>
            <w:gridSpan w:val="2"/>
            <w:shd w:val="clear" w:color="auto" w:fill="8C56EE"/>
          </w:tcPr>
          <w:p>
            <w:pPr>
              <w:spacing w:after="0" w:line="20" w:lineRule="exact"/>
              <w:rPr>
                <w:sz w:val="1"/>
                <w:szCs w:val="1"/>
                <w:color w:val="auto"/>
              </w:rPr>
            </w:pPr>
          </w:p>
        </w:tc>
        <w:tc>
          <w:tcPr>
            <w:tcW w:w="520" w:type="dxa"/>
            <w:vAlign w:val="bottom"/>
            <w:shd w:val="clear" w:color="auto" w:fill="8C56EE"/>
          </w:tcPr>
          <w:p>
            <w:pPr>
              <w:spacing w:after="0" w:line="20" w:lineRule="exact"/>
              <w:rPr>
                <w:sz w:val="1"/>
                <w:szCs w:val="1"/>
                <w:color w:val="auto"/>
              </w:rPr>
            </w:pPr>
          </w:p>
        </w:tc>
        <w:tc>
          <w:tcPr>
            <w:tcW w:w="2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0" w:type="dxa"/>
            <w:vAlign w:val="bottom"/>
            <w:gridSpan w:val="14"/>
          </w:tcPr>
          <w:p>
            <w:pPr>
              <w:spacing w:after="0"/>
              <w:rPr>
                <w:sz w:val="20"/>
                <w:szCs w:val="20"/>
                <w:color w:val="auto"/>
              </w:rPr>
            </w:pPr>
            <w:r>
              <w:rPr>
                <w:rFonts w:ascii="Arial" w:cs="Arial" w:eastAsia="Arial" w:hAnsi="Arial"/>
                <w:sz w:val="17"/>
                <w:szCs w:val="17"/>
                <w:color w:val="8C56EE"/>
                <w:w w:val="92"/>
              </w:rPr>
              <w:t>Condensed Consolidated Statements of Comprehensive Loss for the Three and Nine Months Ended September 30, 2022 and 2021</w:t>
            </w:r>
          </w:p>
        </w:tc>
        <w:tc>
          <w:tcPr>
            <w:tcW w:w="220" w:type="dxa"/>
            <w:vAlign w:val="bottom"/>
          </w:tcPr>
          <w:p>
            <w:pPr>
              <w:spacing w:after="0"/>
              <w:rPr>
                <w:sz w:val="17"/>
                <w:szCs w:val="17"/>
                <w:color w:val="auto"/>
              </w:rPr>
            </w:pPr>
          </w:p>
        </w:tc>
        <w:tc>
          <w:tcPr>
            <w:tcW w:w="380" w:type="dxa"/>
            <w:vAlign w:val="bottom"/>
            <w:gridSpan w:val="3"/>
            <w:vMerge w:val="restart"/>
          </w:tcPr>
          <w:p>
            <w:pPr>
              <w:ind w:left="220"/>
              <w:spacing w:after="0"/>
              <w:rPr>
                <w:sz w:val="20"/>
                <w:szCs w:val="20"/>
                <w:color w:val="auto"/>
              </w:rPr>
            </w:pPr>
            <w:r>
              <w:rPr>
                <w:rFonts w:ascii="Arial" w:cs="Arial" w:eastAsia="Arial" w:hAnsi="Arial"/>
                <w:sz w:val="17"/>
                <w:szCs w:val="17"/>
                <w:color w:val="8C56EE"/>
              </w:rPr>
              <w:t>6</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8C56EE"/>
              <w:bottom w:val="single" w:sz="8" w:color="8C56EE"/>
            </w:tcBorders>
            <w:gridSpan w:val="3"/>
          </w:tcPr>
          <w:p>
            <w:pPr>
              <w:spacing w:after="0" w:line="137" w:lineRule="exact"/>
              <w:rPr>
                <w:sz w:val="20"/>
                <w:szCs w:val="20"/>
                <w:color w:val="auto"/>
              </w:rPr>
            </w:pPr>
            <w:r>
              <w:rPr>
                <w:rFonts w:ascii="Arial" w:cs="Arial" w:eastAsia="Arial" w:hAnsi="Arial"/>
                <w:sz w:val="15"/>
                <w:szCs w:val="15"/>
                <w:color w:val="8C56EE"/>
              </w:rPr>
              <w:t>(unaudited)</w:t>
            </w:r>
          </w:p>
        </w:tc>
        <w:tc>
          <w:tcPr>
            <w:tcW w:w="8260" w:type="dxa"/>
            <w:vAlign w:val="bottom"/>
            <w:tcBorders>
              <w:top w:val="single" w:sz="8" w:color="8C56EE"/>
            </w:tcBorders>
            <w:gridSpan w:val="10"/>
          </w:tcPr>
          <w:p>
            <w:pPr>
              <w:spacing w:after="0"/>
              <w:rPr>
                <w:sz w:val="13"/>
                <w:szCs w:val="13"/>
                <w:color w:val="auto"/>
              </w:rPr>
            </w:pPr>
          </w:p>
        </w:tc>
        <w:tc>
          <w:tcPr>
            <w:tcW w:w="360" w:type="dxa"/>
            <w:vAlign w:val="bottom"/>
            <w:gridSpan w:val="2"/>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20" w:type="dxa"/>
            <w:vAlign w:val="bottom"/>
            <w:gridSpan w:val="15"/>
            <w:vMerge w:val="restart"/>
          </w:tcPr>
          <w:p>
            <w:pPr>
              <w:spacing w:after="0"/>
              <w:rPr>
                <w:sz w:val="20"/>
                <w:szCs w:val="20"/>
                <w:color w:val="auto"/>
              </w:rPr>
            </w:pPr>
            <w:r>
              <w:rPr>
                <w:rFonts w:ascii="Arial" w:cs="Arial" w:eastAsia="Arial" w:hAnsi="Arial"/>
                <w:sz w:val="17"/>
                <w:szCs w:val="17"/>
                <w:color w:val="8C56EE"/>
                <w:w w:val="95"/>
              </w:rPr>
              <w:t>Condensed Consolidated Statements of Stockholders' Equity for the Three and Nine Months Ended September 30, 2022 and 2021</w:t>
            </w:r>
          </w:p>
        </w:tc>
        <w:tc>
          <w:tcPr>
            <w:tcW w:w="22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20" w:type="dxa"/>
            <w:vAlign w:val="bottom"/>
            <w:gridSpan w:val="15"/>
            <w:vMerge w:val="continue"/>
          </w:tcPr>
          <w:p>
            <w:pPr>
              <w:spacing w:after="0"/>
              <w:rPr>
                <w:sz w:val="16"/>
                <w:szCs w:val="16"/>
                <w:color w:val="auto"/>
              </w:rPr>
            </w:pPr>
          </w:p>
        </w:tc>
        <w:tc>
          <w:tcPr>
            <w:tcW w:w="380" w:type="dxa"/>
            <w:vAlign w:val="bottom"/>
            <w:gridSpan w:val="3"/>
            <w:vMerge w:val="restart"/>
          </w:tcPr>
          <w:p>
            <w:pPr>
              <w:ind w:left="220"/>
              <w:spacing w:after="0"/>
              <w:rPr>
                <w:sz w:val="20"/>
                <w:szCs w:val="20"/>
                <w:color w:val="auto"/>
              </w:rPr>
            </w:pPr>
            <w:r>
              <w:rPr>
                <w:rFonts w:ascii="Arial" w:cs="Arial" w:eastAsia="Arial" w:hAnsi="Arial"/>
                <w:sz w:val="17"/>
                <w:szCs w:val="17"/>
                <w:color w:val="8C56EE"/>
              </w:rPr>
              <w:t>7</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8C56EE"/>
            </w:tcBorders>
            <w:gridSpan w:val="4"/>
          </w:tcPr>
          <w:p>
            <w:pPr>
              <w:spacing w:after="0" w:line="150" w:lineRule="exact"/>
              <w:rPr>
                <w:sz w:val="20"/>
                <w:szCs w:val="20"/>
                <w:color w:val="auto"/>
              </w:rPr>
            </w:pPr>
            <w:r>
              <w:rPr>
                <w:rFonts w:ascii="Arial" w:cs="Arial" w:eastAsia="Arial" w:hAnsi="Arial"/>
                <w:sz w:val="17"/>
                <w:szCs w:val="17"/>
                <w:color w:val="8C56EE"/>
                <w:w w:val="99"/>
              </w:rPr>
              <w:t>(unaudited)</w:t>
            </w:r>
          </w:p>
        </w:tc>
        <w:tc>
          <w:tcPr>
            <w:tcW w:w="8160" w:type="dxa"/>
            <w:vAlign w:val="bottom"/>
            <w:tcBorders>
              <w:top w:val="single" w:sz="8" w:color="8C56EE"/>
            </w:tcBorders>
            <w:gridSpan w:val="8"/>
          </w:tcPr>
          <w:p>
            <w:pPr>
              <w:spacing w:after="0"/>
              <w:rPr>
                <w:sz w:val="13"/>
                <w:szCs w:val="13"/>
                <w:color w:val="auto"/>
              </w:rPr>
            </w:pPr>
          </w:p>
        </w:tc>
        <w:tc>
          <w:tcPr>
            <w:tcW w:w="380" w:type="dxa"/>
            <w:vAlign w:val="bottom"/>
            <w:gridSpan w:val="3"/>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C56EE"/>
          </w:tcPr>
          <w:p>
            <w:pPr>
              <w:spacing w:after="0"/>
              <w:rPr>
                <w:sz w:val="2"/>
                <w:szCs w:val="2"/>
                <w:color w:val="auto"/>
              </w:rPr>
            </w:pPr>
          </w:p>
        </w:tc>
        <w:tc>
          <w:tcPr>
            <w:tcW w:w="160" w:type="dxa"/>
            <w:vAlign w:val="bottom"/>
            <w:shd w:val="clear" w:color="auto" w:fill="8C56EE"/>
          </w:tcPr>
          <w:p>
            <w:pPr>
              <w:spacing w:after="0"/>
              <w:rPr>
                <w:sz w:val="2"/>
                <w:szCs w:val="2"/>
                <w:color w:val="auto"/>
              </w:rPr>
            </w:pPr>
          </w:p>
        </w:tc>
        <w:tc>
          <w:tcPr>
            <w:tcW w:w="140" w:type="dxa"/>
            <w:vAlign w:val="bottom"/>
            <w:gridSpan w:val="2"/>
            <w:shd w:val="clear" w:color="auto" w:fill="8C56EE"/>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90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8C56E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20" w:type="dxa"/>
            <w:vAlign w:val="bottom"/>
            <w:gridSpan w:val="11"/>
          </w:tcPr>
          <w:p>
            <w:pPr>
              <w:spacing w:after="0"/>
              <w:rPr>
                <w:sz w:val="20"/>
                <w:szCs w:val="20"/>
                <w:color w:val="auto"/>
              </w:rPr>
            </w:pPr>
            <w:r>
              <w:rPr>
                <w:rFonts w:ascii="Arial" w:cs="Arial" w:eastAsia="Arial" w:hAnsi="Arial"/>
                <w:sz w:val="17"/>
                <w:szCs w:val="17"/>
                <w:color w:val="8C56EE"/>
                <w:w w:val="91"/>
              </w:rPr>
              <w:t>Condensed Consolidated Statements of Cash Flows for the Nine Months Ended September 30, 2022 and 2021 (unaudited)</w:t>
            </w:r>
          </w:p>
        </w:tc>
        <w:tc>
          <w:tcPr>
            <w:tcW w:w="900" w:type="dxa"/>
            <w:vAlign w:val="bottom"/>
            <w:gridSpan w:val="4"/>
          </w:tcPr>
          <w:p>
            <w:pPr>
              <w:spacing w:after="0"/>
              <w:rPr>
                <w:sz w:val="18"/>
                <w:szCs w:val="18"/>
                <w:color w:val="auto"/>
              </w:rPr>
            </w:pPr>
          </w:p>
        </w:tc>
        <w:tc>
          <w:tcPr>
            <w:tcW w:w="380" w:type="dxa"/>
            <w:vAlign w:val="bottom"/>
            <w:gridSpan w:val="3"/>
          </w:tcPr>
          <w:p>
            <w:pPr>
              <w:ind w:left="220"/>
              <w:spacing w:after="0"/>
              <w:rPr>
                <w:sz w:val="20"/>
                <w:szCs w:val="20"/>
                <w:color w:val="auto"/>
              </w:rPr>
            </w:pPr>
            <w:r>
              <w:rPr>
                <w:rFonts w:ascii="Arial" w:cs="Arial" w:eastAsia="Arial" w:hAnsi="Arial"/>
                <w:sz w:val="17"/>
                <w:szCs w:val="17"/>
                <w:color w:val="8C56EE"/>
              </w:rPr>
              <w:t>9</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140" w:type="dxa"/>
            <w:vAlign w:val="bottom"/>
            <w:gridSpan w:val="2"/>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2300" w:type="dxa"/>
            <w:vAlign w:val="bottom"/>
            <w:gridSpan w:val="2"/>
            <w:shd w:val="clear" w:color="auto" w:fill="8C56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11"/>
          </w:tcPr>
          <w:p>
            <w:pPr>
              <w:spacing w:after="0"/>
              <w:rPr>
                <w:sz w:val="20"/>
                <w:szCs w:val="20"/>
                <w:color w:val="auto"/>
              </w:rPr>
            </w:pPr>
            <w:r>
              <w:rPr>
                <w:rFonts w:ascii="Arial" w:cs="Arial" w:eastAsia="Arial" w:hAnsi="Arial"/>
                <w:sz w:val="17"/>
                <w:szCs w:val="17"/>
                <w:color w:val="8C56EE"/>
              </w:rPr>
              <w:t>Notes to Condensed Consolidated Financial Statements (unaudited)</w:t>
            </w:r>
          </w:p>
        </w:tc>
        <w:tc>
          <w:tcPr>
            <w:tcW w:w="900" w:type="dxa"/>
            <w:vAlign w:val="bottom"/>
            <w:gridSpan w:val="4"/>
          </w:tcPr>
          <w:p>
            <w:pPr>
              <w:spacing w:after="0"/>
              <w:rPr>
                <w:sz w:val="17"/>
                <w:szCs w:val="17"/>
                <w:color w:val="auto"/>
              </w:rPr>
            </w:pP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11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140" w:type="dxa"/>
            <w:vAlign w:val="bottom"/>
            <w:gridSpan w:val="2"/>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8C56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gridSpan w:val="2"/>
          </w:tcPr>
          <w:p>
            <w:pPr>
              <w:ind w:left="200"/>
              <w:spacing w:after="0"/>
              <w:rPr>
                <w:sz w:val="20"/>
                <w:szCs w:val="20"/>
                <w:color w:val="auto"/>
              </w:rPr>
            </w:pPr>
            <w:r>
              <w:rPr>
                <w:rFonts w:ascii="Arial" w:cs="Arial" w:eastAsia="Arial" w:hAnsi="Arial"/>
                <w:sz w:val="17"/>
                <w:szCs w:val="17"/>
                <w:color w:val="8C56EE"/>
                <w:w w:val="70"/>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Management's Discussion and Analysis of Financial Condition and Results of Operations</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38</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140" w:type="dxa"/>
            <w:vAlign w:val="bottom"/>
            <w:gridSpan w:val="2"/>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2020" w:type="dxa"/>
            <w:vAlign w:val="bottom"/>
            <w:tcBorders>
              <w:left w:val="single" w:sz="8" w:color="8C56EE"/>
            </w:tcBorders>
            <w:gridSpan w:val="2"/>
            <w:shd w:val="clear" w:color="auto" w:fill="8C56EE"/>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gridSpan w:val="2"/>
          </w:tcPr>
          <w:p>
            <w:pPr>
              <w:ind w:left="200"/>
              <w:spacing w:after="0"/>
              <w:rPr>
                <w:sz w:val="20"/>
                <w:szCs w:val="20"/>
                <w:color w:val="auto"/>
              </w:rPr>
            </w:pPr>
            <w:r>
              <w:rPr>
                <w:rFonts w:ascii="Arial" w:cs="Arial" w:eastAsia="Arial" w:hAnsi="Arial"/>
                <w:sz w:val="17"/>
                <w:szCs w:val="17"/>
                <w:color w:val="8C56EE"/>
                <w:w w:val="70"/>
              </w:rPr>
              <w:t>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Quantitative and Qualitative Disclosures About Market Risk</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52</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140" w:type="dxa"/>
            <w:vAlign w:val="bottom"/>
            <w:gridSpan w:val="2"/>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220" w:type="dxa"/>
            <w:vAlign w:val="bottom"/>
            <w:tcBorders>
              <w:left w:val="single" w:sz="8" w:color="8C56EE"/>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gridSpan w:val="2"/>
          </w:tcPr>
          <w:p>
            <w:pPr>
              <w:ind w:left="200"/>
              <w:spacing w:after="0"/>
              <w:rPr>
                <w:sz w:val="20"/>
                <w:szCs w:val="20"/>
                <w:color w:val="auto"/>
              </w:rPr>
            </w:pPr>
            <w:r>
              <w:rPr>
                <w:rFonts w:ascii="Arial" w:cs="Arial" w:eastAsia="Arial" w:hAnsi="Arial"/>
                <w:sz w:val="17"/>
                <w:szCs w:val="17"/>
                <w:color w:val="8C56EE"/>
                <w:w w:val="70"/>
              </w:rPr>
              <w:t>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Controls and Procedures</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52</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140" w:type="dxa"/>
            <w:vAlign w:val="bottom"/>
            <w:gridSpan w:val="2"/>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20" w:type="dxa"/>
            <w:vAlign w:val="bottom"/>
            <w:gridSpan w:val="2"/>
          </w:tcPr>
          <w:p>
            <w:pPr>
              <w:ind w:left="200"/>
              <w:spacing w:after="0" w:line="183" w:lineRule="exact"/>
              <w:rPr>
                <w:sz w:val="20"/>
                <w:szCs w:val="20"/>
                <w:color w:val="auto"/>
              </w:rPr>
            </w:pPr>
            <w:r>
              <w:rPr>
                <w:rFonts w:ascii="Arial" w:cs="Arial" w:eastAsia="Arial" w:hAnsi="Arial"/>
                <w:sz w:val="17"/>
                <w:szCs w:val="17"/>
                <w:color w:val="8C56EE"/>
                <w:w w:val="70"/>
              </w:rPr>
              <w:t>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20" w:type="dxa"/>
            <w:vAlign w:val="bottom"/>
            <w:gridSpan w:val="15"/>
          </w:tcPr>
          <w:p>
            <w:pPr>
              <w:spacing w:after="0" w:line="183" w:lineRule="exact"/>
              <w:rPr>
                <w:sz w:val="20"/>
                <w:szCs w:val="20"/>
                <w:color w:val="auto"/>
              </w:rPr>
            </w:pPr>
            <w:r>
              <w:rPr>
                <w:rFonts w:ascii="Arial" w:cs="Arial" w:eastAsia="Arial" w:hAnsi="Arial"/>
                <w:sz w:val="17"/>
                <w:szCs w:val="17"/>
                <w:color w:val="8C56EE"/>
              </w:rPr>
              <w:t>Legal Proceedings</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53</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60" w:type="dxa"/>
            <w:vAlign w:val="bottom"/>
            <w:shd w:val="clear" w:color="auto" w:fill="8C56EE"/>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260" w:type="dxa"/>
            <w:vAlign w:val="bottom"/>
            <w:gridSpan w:val="2"/>
          </w:tcPr>
          <w:p>
            <w:pPr>
              <w:spacing w:after="0"/>
              <w:rPr>
                <w:sz w:val="20"/>
                <w:szCs w:val="20"/>
                <w:color w:val="auto"/>
              </w:rPr>
            </w:pPr>
            <w:r>
              <w:rPr>
                <w:rFonts w:ascii="Arial" w:cs="Arial" w:eastAsia="Arial" w:hAnsi="Arial"/>
                <w:sz w:val="17"/>
                <w:szCs w:val="17"/>
                <w:color w:val="8C56EE"/>
                <w:w w:val="93"/>
              </w:rPr>
              <w:t>1A.</w:t>
            </w:r>
          </w:p>
        </w:tc>
        <w:tc>
          <w:tcPr>
            <w:tcW w:w="240" w:type="dxa"/>
            <w:vAlign w:val="bottom"/>
          </w:tcPr>
          <w:p>
            <w:pPr>
              <w:spacing w:after="0"/>
              <w:rPr>
                <w:sz w:val="17"/>
                <w:szCs w:val="17"/>
                <w:color w:val="auto"/>
              </w:rPr>
            </w:pPr>
          </w:p>
        </w:tc>
        <w:tc>
          <w:tcPr>
            <w:tcW w:w="880" w:type="dxa"/>
            <w:vAlign w:val="bottom"/>
            <w:gridSpan w:val="4"/>
          </w:tcPr>
          <w:p>
            <w:pPr>
              <w:spacing w:after="0"/>
              <w:rPr>
                <w:sz w:val="20"/>
                <w:szCs w:val="20"/>
                <w:color w:val="auto"/>
              </w:rPr>
            </w:pPr>
            <w:r>
              <w:rPr>
                <w:rFonts w:ascii="Arial" w:cs="Arial" w:eastAsia="Arial" w:hAnsi="Arial"/>
                <w:sz w:val="17"/>
                <w:szCs w:val="17"/>
                <w:color w:val="8C56EE"/>
                <w:w w:val="90"/>
              </w:rPr>
              <w:t>Risk Factors</w:t>
            </w:r>
          </w:p>
        </w:tc>
        <w:tc>
          <w:tcPr>
            <w:tcW w:w="8540" w:type="dxa"/>
            <w:vAlign w:val="bottom"/>
            <w:gridSpan w:val="11"/>
          </w:tcPr>
          <w:p>
            <w:pPr>
              <w:spacing w:after="0"/>
              <w:rPr>
                <w:sz w:val="17"/>
                <w:szCs w:val="17"/>
                <w:color w:val="auto"/>
              </w:rPr>
            </w:pP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53</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140" w:type="dxa"/>
            <w:vAlign w:val="bottom"/>
            <w:gridSpan w:val="2"/>
            <w:shd w:val="clear" w:color="auto" w:fill="8C56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gridSpan w:val="2"/>
          </w:tcPr>
          <w:p>
            <w:pPr>
              <w:ind w:left="200"/>
              <w:spacing w:after="0"/>
              <w:rPr>
                <w:sz w:val="20"/>
                <w:szCs w:val="20"/>
                <w:color w:val="auto"/>
              </w:rPr>
            </w:pPr>
            <w:r>
              <w:rPr>
                <w:rFonts w:ascii="Arial" w:cs="Arial" w:eastAsia="Arial" w:hAnsi="Arial"/>
                <w:sz w:val="17"/>
                <w:szCs w:val="17"/>
                <w:color w:val="8C56EE"/>
                <w:w w:val="70"/>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Unregistered Sales of Equity Securities and Use of Proceeds</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53</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60" w:type="dxa"/>
            <w:vAlign w:val="bottom"/>
            <w:shd w:val="clear" w:color="auto" w:fill="8C56EE"/>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38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gridSpan w:val="2"/>
          </w:tcPr>
          <w:p>
            <w:pPr>
              <w:ind w:left="200"/>
              <w:spacing w:after="0"/>
              <w:rPr>
                <w:sz w:val="20"/>
                <w:szCs w:val="20"/>
                <w:color w:val="auto"/>
              </w:rPr>
            </w:pPr>
            <w:r>
              <w:rPr>
                <w:rFonts w:ascii="Arial" w:cs="Arial" w:eastAsia="Arial" w:hAnsi="Arial"/>
                <w:sz w:val="17"/>
                <w:szCs w:val="17"/>
                <w:color w:val="8C56EE"/>
                <w:w w:val="70"/>
              </w:rPr>
              <w:t>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Other Information</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53</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shd w:val="clear" w:color="auto" w:fill="8C56EE"/>
          </w:tcPr>
          <w:p>
            <w:pPr>
              <w:spacing w:after="0" w:line="20" w:lineRule="exact"/>
              <w:rPr>
                <w:sz w:val="1"/>
                <w:szCs w:val="1"/>
                <w:color w:val="auto"/>
              </w:rPr>
            </w:pPr>
          </w:p>
        </w:tc>
        <w:tc>
          <w:tcPr>
            <w:tcW w:w="520" w:type="dxa"/>
            <w:vAlign w:val="bottom"/>
            <w:gridSpan w:val="3"/>
            <w:shd w:val="clear" w:color="auto" w:fill="8C56EE"/>
          </w:tcPr>
          <w:p>
            <w:pPr>
              <w:spacing w:after="0" w:line="20" w:lineRule="exact"/>
              <w:rPr>
                <w:sz w:val="1"/>
                <w:szCs w:val="1"/>
                <w:color w:val="auto"/>
              </w:rPr>
            </w:pPr>
          </w:p>
        </w:tc>
        <w:tc>
          <w:tcPr>
            <w:tcW w:w="816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gridSpan w:val="2"/>
          </w:tcPr>
          <w:p>
            <w:pPr>
              <w:ind w:left="200"/>
              <w:spacing w:after="0"/>
              <w:rPr>
                <w:sz w:val="20"/>
                <w:szCs w:val="20"/>
                <w:color w:val="auto"/>
              </w:rPr>
            </w:pPr>
            <w:r>
              <w:rPr>
                <w:rFonts w:ascii="Arial" w:cs="Arial" w:eastAsia="Arial" w:hAnsi="Arial"/>
                <w:sz w:val="17"/>
                <w:szCs w:val="17"/>
                <w:color w:val="8C56EE"/>
                <w:w w:val="70"/>
              </w:rPr>
              <w:t>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Exhibits</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8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8C56EE"/>
          </w:tcPr>
          <w:p>
            <w:pPr>
              <w:spacing w:after="0" w:line="20" w:lineRule="exact"/>
              <w:rPr>
                <w:sz w:val="1"/>
                <w:szCs w:val="1"/>
                <w:color w:val="auto"/>
              </w:rPr>
            </w:pPr>
          </w:p>
        </w:tc>
        <w:tc>
          <w:tcPr>
            <w:tcW w:w="740" w:type="dxa"/>
            <w:vAlign w:val="bottom"/>
            <w:tcBorders>
              <w:left w:val="single" w:sz="8" w:color="8C56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7"/>
                <w:szCs w:val="17"/>
                <w:color w:val="8C56EE"/>
              </w:rPr>
              <w:t>Signatures</w:t>
            </w:r>
          </w:p>
        </w:tc>
        <w:tc>
          <w:tcPr>
            <w:tcW w:w="380" w:type="dxa"/>
            <w:vAlign w:val="bottom"/>
            <w:gridSpan w:val="3"/>
          </w:tcPr>
          <w:p>
            <w:pPr>
              <w:ind w:left="220"/>
              <w:spacing w:after="0"/>
              <w:rPr>
                <w:sz w:val="20"/>
                <w:szCs w:val="20"/>
                <w:color w:val="auto"/>
              </w:rPr>
            </w:pPr>
            <w:r>
              <w:rPr>
                <w:rFonts w:ascii="Arial" w:cs="Arial" w:eastAsia="Arial" w:hAnsi="Arial"/>
                <w:sz w:val="15"/>
                <w:szCs w:val="15"/>
                <w:color w:val="8C56EE"/>
                <w:w w:val="71"/>
              </w:rPr>
              <w:t>55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top w:val="single" w:sz="8" w:color="8C56EE"/>
              <w:bottom w:val="single" w:sz="8" w:color="9A9A9A"/>
            </w:tcBorders>
          </w:tcPr>
          <w:p>
            <w:pPr>
              <w:spacing w:after="0"/>
              <w:rPr>
                <w:sz w:val="24"/>
                <w:szCs w:val="24"/>
                <w:color w:val="auto"/>
              </w:rPr>
            </w:pPr>
          </w:p>
        </w:tc>
        <w:tc>
          <w:tcPr>
            <w:tcW w:w="160" w:type="dxa"/>
            <w:vAlign w:val="bottom"/>
            <w:tcBorders>
              <w:top w:val="single" w:sz="8" w:color="8C56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8C56EE"/>
              <w:bottom w:val="single" w:sz="8" w:color="9A9A9A"/>
            </w:tcBorders>
          </w:tcPr>
          <w:p>
            <w:pPr>
              <w:spacing w:after="0"/>
              <w:rPr>
                <w:sz w:val="24"/>
                <w:szCs w:val="24"/>
                <w:color w:val="auto"/>
              </w:rPr>
            </w:pPr>
          </w:p>
        </w:tc>
        <w:tc>
          <w:tcPr>
            <w:tcW w:w="80" w:type="dxa"/>
            <w:vAlign w:val="bottom"/>
            <w:tcBorders>
              <w:top w:val="single" w:sz="8" w:color="8C56EE"/>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55" w:lineRule="exact"/>
        <w:rPr>
          <w:sz w:val="20"/>
          <w:szCs w:val="20"/>
          <w:color w:val="auto"/>
        </w:rPr>
      </w:pPr>
    </w:p>
    <w:p>
      <w:pPr>
        <w:ind w:firstLine="314"/>
        <w:spacing w:after="0" w:line="274"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Quarterly Report on Form 10-Q, including statements regarding our future expenses, results of operations and financial position, integration activities, capital structure, credit facility compliance, restructuring activities, expected impacts from the war in Ukraine and the financial sanctions imposed in connection therewith, expected impacts of the ongoing COVID-19 pandemic, beliefs about our business strategy, availability of components for the manufacturing of our products, expected benefits from our acquisition of ECI Telecom Group Ltd. ("ECI"), ongoing litigation,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supply chain disruptions resulting from component availability and/or geopolitical instabilities and disputes (including those related to the war in Ukraine); litigation; risks related to the ongoing COVID-19 pandemic on the global economy and financial markets as well as us, our customers and suppliers, which may impact our sales, gross margin, customer demand and our ability to supply our products to our customers; failure to realize anticipated benefits of our acquisition of ECI; unpredictable fluctuations in quarterly revenue and operating results; the impact on fluctuations of our EBITDA on compliance under our credit facility; risks related to cybersecurity and data intrusion;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the impact of restructuring and cost-containment activities; rapid technological and market change;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increases in tariffs, trade restrictions or taxes on our products; currency fluctuations; and/or failure or circumvention of our controls and procedures. We therefore caution you against relying on any of these forward-looking statements.</w:t>
      </w:r>
    </w:p>
    <w:p>
      <w:pPr>
        <w:spacing w:after="0" w:line="213" w:lineRule="exact"/>
        <w:rPr>
          <w:sz w:val="20"/>
          <w:szCs w:val="20"/>
          <w:color w:val="auto"/>
        </w:rPr>
      </w:pPr>
    </w:p>
    <w:p>
      <w:pPr>
        <w:ind w:right="60" w:firstLine="314"/>
        <w:spacing w:after="0" w:line="307" w:lineRule="auto"/>
        <w:rPr>
          <w:sz w:val="20"/>
          <w:szCs w:val="20"/>
          <w:color w:val="auto"/>
        </w:rPr>
      </w:pPr>
      <w:r>
        <w:rPr>
          <w:rFonts w:ascii="Arial" w:cs="Arial" w:eastAsia="Arial" w:hAnsi="Arial"/>
          <w:sz w:val="15"/>
          <w:szCs w:val="15"/>
          <w:color w:val="auto"/>
        </w:rPr>
        <w:t>Additional important factors that could cause actual results to differ materially from those in these forward-looking statements are also discussed in Part I, Item 2, "Management's Discussion and Analysis of Financial Condition and Results of Operations" and Part I, Item 1A and Part II, Item 7A, "Risk Factors" and "Quantitative and Qualitative Disclosures About Market Risk," respectively, of our Annual Report on Form 10-K for the year ended December 31, 2021. Any forward-looking statement made by us in this Quarterly Report on Form 10-Q speaks only as of the date on which this Quarterly Report on Form 10-Q was first filed. We undertake no obligation to publicly update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December 31,</w:t>
            </w:r>
          </w:p>
        </w:tc>
      </w:tr>
      <w:tr>
        <w:trPr>
          <w:trHeight w:val="187"/>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07"/>
        </w:trPr>
        <w:tc>
          <w:tcPr>
            <w:tcW w:w="8500" w:type="dxa"/>
            <w:vAlign w:val="bottom"/>
            <w:shd w:val="clear" w:color="auto" w:fill="CCEEFF"/>
          </w:tcPr>
          <w:p>
            <w:pPr>
              <w:ind w:left="540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103,915</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2,570</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282,917</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Inventory</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54,043</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37,545</w:t>
            </w:r>
          </w:p>
        </w:tc>
      </w:tr>
      <w:tr>
        <w:trPr>
          <w:trHeight w:val="215"/>
        </w:trPr>
        <w:tc>
          <w:tcPr>
            <w:tcW w:w="850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422,399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480,990</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47,685</w:t>
            </w: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309,697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350,730</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300,892</w:t>
            </w: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43,931</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47,287</w:t>
            </w: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48,079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53,147</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23,075</w:t>
            </w:r>
          </w:p>
        </w:tc>
      </w:tr>
      <w:tr>
        <w:trPr>
          <w:trHeight w:val="215"/>
        </w:trPr>
        <w:tc>
          <w:tcPr>
            <w:tcW w:w="85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1,224,635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1,347,737</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8"/>
        </w:trPr>
        <w:tc>
          <w:tcPr>
            <w:tcW w:w="8500" w:type="dxa"/>
            <w:vAlign w:val="bottom"/>
            <w:shd w:val="clear" w:color="auto" w:fill="CCEEFF"/>
          </w:tcPr>
          <w:p>
            <w:pPr>
              <w:ind w:left="4280"/>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20,058</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97,121</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 and 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100,752</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15,617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17,403</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109,119</w:t>
            </w:r>
          </w:p>
        </w:tc>
      </w:tr>
      <w:tr>
        <w:trPr>
          <w:trHeight w:val="215"/>
        </w:trPr>
        <w:tc>
          <w:tcPr>
            <w:tcW w:w="850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298,093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344,453</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net of current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350,217</w:t>
            </w: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Operating lease liabilities, net of 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55,196</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net of current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20,619</w:t>
            </w: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8,116</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41,970</w:t>
            </w:r>
          </w:p>
        </w:tc>
      </w:tr>
      <w:tr>
        <w:trPr>
          <w:trHeight w:val="215"/>
        </w:trPr>
        <w:tc>
          <w:tcPr>
            <w:tcW w:w="850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735,466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820,571</w:t>
            </w:r>
          </w:p>
        </w:tc>
      </w:tr>
      <w:tr>
        <w:trPr>
          <w:trHeight w:val="20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$0.01 par value per share; 10,000,000 shares authorized, none issued and outstanding</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4"/>
        </w:trPr>
        <w:tc>
          <w:tcPr>
            <w:tcW w:w="8500" w:type="dxa"/>
            <w:vAlign w:val="bottom"/>
          </w:tcPr>
          <w:p>
            <w:pPr>
              <w:ind w:left="20"/>
              <w:spacing w:after="0" w:line="184" w:lineRule="exact"/>
              <w:rPr>
                <w:sz w:val="20"/>
                <w:szCs w:val="20"/>
                <w:color w:val="auto"/>
              </w:rPr>
            </w:pPr>
            <w:r>
              <w:rPr>
                <w:rFonts w:ascii="Arial" w:cs="Arial" w:eastAsia="Arial" w:hAnsi="Arial"/>
                <w:sz w:val="17"/>
                <w:szCs w:val="17"/>
                <w:color w:val="auto"/>
                <w:w w:val="92"/>
              </w:rPr>
              <w:t>Common stock, $0.0001 par value per share; 240,000,000 shares authorized; 168,093,446 shares issued and outstanding</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1"/>
        </w:trPr>
        <w:tc>
          <w:tcPr>
            <w:tcW w:w="8500" w:type="dxa"/>
            <w:vAlign w:val="bottom"/>
          </w:tcPr>
          <w:p>
            <w:pPr>
              <w:ind w:left="20"/>
              <w:spacing w:after="0"/>
              <w:rPr>
                <w:sz w:val="20"/>
                <w:szCs w:val="20"/>
                <w:color w:val="auto"/>
              </w:rPr>
            </w:pPr>
            <w:r>
              <w:rPr>
                <w:rFonts w:ascii="Arial" w:cs="Arial" w:eastAsia="Arial" w:hAnsi="Arial"/>
                <w:sz w:val="17"/>
                <w:szCs w:val="17"/>
                <w:color w:val="auto"/>
              </w:rPr>
              <w:t>at September 30, 2022; 148,895,308 shares issued and outstanding at December 31, 2021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1,875,234</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(1,474,232)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(1,355,661)</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7,578</w:t>
            </w:r>
          </w:p>
        </w:tc>
      </w:tr>
      <w:tr>
        <w:trPr>
          <w:trHeight w:val="215"/>
        </w:trPr>
        <w:tc>
          <w:tcPr>
            <w:tcW w:w="850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489,169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527,166</w:t>
            </w:r>
          </w:p>
        </w:tc>
      </w:tr>
      <w:tr>
        <w:trPr>
          <w:trHeight w:val="240"/>
        </w:trPr>
        <w:tc>
          <w:tcPr>
            <w:tcW w:w="8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1,224,635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1,347,737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the unaudited condensed consolidated financial statements.</w:t>
      </w:r>
    </w:p>
    <w:p>
      <w:pPr>
        <w:sectPr>
          <w:pgSz w:w="11900" w:h="16838" w:orient="portrait"/>
          <w:cols w:equalWidth="0" w:num="1">
            <w:col w:w="11240"/>
          </w:cols>
          <w:pgMar w:left="320" w:top="10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7"/>
        </w:trPr>
        <w:tc>
          <w:tcPr>
            <w:tcW w:w="5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2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4"/>
              <w:spacing w:after="0" w:line="127" w:lineRule="exact"/>
              <w:rPr>
                <w:sz w:val="20"/>
                <w:szCs w:val="20"/>
                <w:color w:val="auto"/>
              </w:rPr>
            </w:pPr>
            <w:r>
              <w:rPr>
                <w:rFonts w:ascii="Arial" w:cs="Arial" w:eastAsia="Arial" w:hAnsi="Arial"/>
                <w:sz w:val="14"/>
                <w:szCs w:val="14"/>
                <w:b w:val="1"/>
                <w:bCs w:val="1"/>
                <w:color w:val="auto"/>
                <w:w w:val="93"/>
              </w:rPr>
              <w:t>September 30,</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4"/>
              <w:spacing w:after="0" w:line="127" w:lineRule="exact"/>
              <w:rPr>
                <w:sz w:val="20"/>
                <w:szCs w:val="20"/>
                <w:color w:val="auto"/>
              </w:rPr>
            </w:pPr>
            <w:r>
              <w:rPr>
                <w:rFonts w:ascii="Arial" w:cs="Arial" w:eastAsia="Arial" w:hAnsi="Arial"/>
                <w:sz w:val="14"/>
                <w:szCs w:val="14"/>
                <w:b w:val="1"/>
                <w:bCs w:val="1"/>
                <w:color w:val="auto"/>
                <w:w w:val="91"/>
              </w:rPr>
              <w:t>September 30,</w:t>
            </w:r>
          </w:p>
        </w:tc>
      </w:tr>
      <w:tr>
        <w:trPr>
          <w:trHeight w:val="187"/>
        </w:trPr>
        <w:tc>
          <w:tcPr>
            <w:tcW w:w="5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111,152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111,726</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305,809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322,744</w:t>
            </w: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98,672</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280,312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291,636</w:t>
            </w:r>
          </w:p>
        </w:tc>
      </w:tr>
      <w:tr>
        <w:trPr>
          <w:trHeight w:val="215"/>
        </w:trPr>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207,127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210,398</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586,121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614,380</w:t>
            </w:r>
          </w:p>
        </w:tc>
      </w:tr>
      <w:tr>
        <w:trPr>
          <w:trHeight w:val="20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Product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53,494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169,226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144,580</w:t>
            </w: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36,576</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110,498</w:t>
            </w:r>
          </w:p>
        </w:tc>
      </w:tr>
      <w:tr>
        <w:trPr>
          <w:trHeight w:val="222"/>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 of acquired technology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29,435</w:t>
            </w:r>
          </w:p>
        </w:tc>
      </w:tr>
      <w:tr>
        <w:trPr>
          <w:trHeight w:val="215"/>
        </w:trPr>
        <w:tc>
          <w:tcPr>
            <w:tcW w:w="5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99,744</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284,513</w:t>
            </w:r>
          </w:p>
        </w:tc>
      </w:tr>
      <w:tr>
        <w:trPr>
          <w:trHeight w:val="21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110,654</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286,923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329,867</w:t>
            </w:r>
          </w:p>
        </w:tc>
      </w:tr>
      <w:tr>
        <w:trPr>
          <w:trHeight w:val="20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49,132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153,159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143,339</w:t>
            </w: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36,113</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108,212</w:t>
            </w: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12,148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40,435</w:t>
            </w: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acquired intangible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7,547</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20,790</w:t>
            </w: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Acquisition-, disposal- and integration-related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1,955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4,204</w:t>
            </w: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and related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10,547</w:t>
            </w:r>
          </w:p>
        </w:tc>
      </w:tr>
      <w:tr>
        <w:trPr>
          <w:trHeight w:val="215"/>
        </w:trPr>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108,662</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336,512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327,527</w:t>
            </w: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income from operations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w:t>
            </w:r>
          </w:p>
        </w:tc>
      </w:tr>
      <w:tr>
        <w:trPr>
          <w:trHeight w:val="222"/>
        </w:trPr>
        <w:tc>
          <w:tcPr>
            <w:tcW w:w="542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(2,969)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(13,869)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(11,836)</w:t>
            </w:r>
          </w:p>
        </w:tc>
      </w:tr>
      <w:tr>
        <w:trPr>
          <w:trHeight w:val="22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(57,702)</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(65,970)</w:t>
            </w:r>
          </w:p>
        </w:tc>
      </w:tr>
      <w:tr>
        <w:trPr>
          <w:trHeight w:val="215"/>
        </w:trPr>
        <w:tc>
          <w:tcPr>
            <w:tcW w:w="542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(58,679)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(106,218)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(75,466)</w:t>
            </w:r>
          </w:p>
        </w:tc>
      </w:tr>
      <w:tr>
        <w:trPr>
          <w:trHeight w:val="22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(5,411)</w:t>
            </w:r>
          </w:p>
        </w:tc>
      </w:tr>
      <w:tr>
        <w:trPr>
          <w:trHeight w:val="215"/>
        </w:trPr>
        <w:tc>
          <w:tcPr>
            <w:tcW w:w="54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(59,431)</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(80,877)</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8"/>
        </w:trPr>
        <w:tc>
          <w:tcPr>
            <w:tcW w:w="54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Loss per share:</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Basic</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(0.40)</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(0.55)</w:t>
            </w: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r>
      <w:tr>
        <w:trPr>
          <w:trHeight w:val="222"/>
        </w:trPr>
        <w:tc>
          <w:tcPr>
            <w:tcW w:w="5420" w:type="dxa"/>
            <w:vAlign w:val="bottom"/>
          </w:tcPr>
          <w:p>
            <w:pPr>
              <w:ind w:left="20"/>
              <w:spacing w:after="0"/>
              <w:rPr>
                <w:sz w:val="20"/>
                <w:szCs w:val="20"/>
                <w:color w:val="auto"/>
              </w:rPr>
            </w:pPr>
            <w:r>
              <w:rPr>
                <w:rFonts w:ascii="Arial" w:cs="Arial" w:eastAsia="Arial" w:hAnsi="Arial"/>
                <w:sz w:val="17"/>
                <w:szCs w:val="17"/>
                <w:color w:val="auto"/>
              </w:rPr>
              <w:t>Weighted average shares used to compute loss per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148,184</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147,204</w:t>
            </w: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158,921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148,184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152,795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147,204</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7"/>
        </w:trPr>
        <w:tc>
          <w:tcPr>
            <w:tcW w:w="55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2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27" w:lineRule="exact"/>
              <w:rPr>
                <w:sz w:val="20"/>
                <w:szCs w:val="20"/>
                <w:color w:val="auto"/>
              </w:rPr>
            </w:pPr>
            <w:r>
              <w:rPr>
                <w:rFonts w:ascii="Arial" w:cs="Arial" w:eastAsia="Arial" w:hAnsi="Arial"/>
                <w:sz w:val="14"/>
                <w:szCs w:val="14"/>
                <w:b w:val="1"/>
                <w:bCs w:val="1"/>
                <w:color w:val="auto"/>
                <w:w w:val="91"/>
              </w:rPr>
              <w:t>September 30,</w:t>
            </w:r>
          </w:p>
        </w:tc>
      </w:tr>
      <w:tr>
        <w:trPr>
          <w:trHeight w:val="187"/>
        </w:trPr>
        <w:tc>
          <w:tcPr>
            <w:tcW w:w="5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(59,431)</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(80,877)</w:t>
            </w:r>
          </w:p>
        </w:tc>
      </w:tr>
      <w:tr>
        <w:trPr>
          <w:trHeight w:val="202"/>
        </w:trPr>
        <w:tc>
          <w:tcPr>
            <w:tcW w:w="552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 on interest rate swap</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7,324</w:t>
            </w:r>
          </w:p>
        </w:tc>
      </w:tr>
      <w:tr>
        <w:trPr>
          <w:trHeight w:val="222"/>
        </w:trPr>
        <w:tc>
          <w:tcPr>
            <w:tcW w:w="5520" w:type="dxa"/>
            <w:vAlign w:val="bottom"/>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22"/>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income, net of tax</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1,053</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19,349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7,117</w:t>
            </w:r>
          </w:p>
        </w:tc>
      </w:tr>
      <w:tr>
        <w:trPr>
          <w:trHeight w:val="24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(58,378)</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(73,760)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September 30,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08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paid-in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7"/>
                <w:szCs w:val="17"/>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2"/>
                <w:szCs w:val="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2"/>
                <w:szCs w:val="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2"/>
                <w:szCs w:val="2"/>
                <w:color w:val="auto"/>
              </w:rPr>
            </w:pPr>
          </w:p>
        </w:tc>
        <w:tc>
          <w:tcPr>
            <w:tcW w:w="100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120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July 1, 2022</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150,459,784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1,881,942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(1,455,816)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25,203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451,344</w:t>
            </w: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800,999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performance-based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240" w:type="dxa"/>
            <w:vAlign w:val="bottom"/>
          </w:tcPr>
          <w:p>
            <w:pPr>
              <w:ind w:left="20"/>
              <w:spacing w:after="0" w:line="139" w:lineRule="exact"/>
              <w:rPr>
                <w:sz w:val="20"/>
                <w:szCs w:val="20"/>
                <w:color w:val="auto"/>
              </w:rPr>
            </w:pPr>
            <w:r>
              <w:rPr>
                <w:rFonts w:ascii="Arial" w:cs="Arial" w:eastAsia="Arial" w:hAnsi="Arial"/>
                <w:sz w:val="14"/>
                <w:szCs w:val="14"/>
                <w:color w:val="auto"/>
              </w:rPr>
              <w:t>Shares of restricted stock returned to the Company under net share</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(242,434)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settlements to satisfy tax withholding obligations</w:t>
            </w: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in equity offering</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17,071,311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52,067</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Arial" w:cs="Arial" w:eastAsia="Arial" w:hAnsi="Arial"/>
                <w:sz w:val="14"/>
                <w:szCs w:val="14"/>
                <w:color w:val="auto"/>
              </w:rPr>
              <w:t>Issuance costs related to equity offering</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(18,416)</w:t>
            </w:r>
          </w:p>
        </w:tc>
        <w:tc>
          <w:tcPr>
            <w:tcW w:w="0" w:type="dxa"/>
            <w:vAlign w:val="bottom"/>
          </w:tcPr>
          <w:p>
            <w:pPr>
              <w:spacing w:after="0"/>
              <w:rPr>
                <w:sz w:val="1"/>
                <w:szCs w:val="1"/>
                <w:color w:val="auto"/>
              </w:rPr>
            </w:pPr>
          </w:p>
        </w:tc>
      </w:tr>
      <w:tr>
        <w:trPr>
          <w:trHeight w:val="221"/>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168,093,446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1,936,457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(1,474,232)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489,169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Nine months ended September 30, 2022</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06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paid-in</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7"/>
                <w:szCs w:val="17"/>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deficit</w:t>
            </w:r>
          </w:p>
        </w:tc>
        <w:tc>
          <w:tcPr>
            <w:tcW w:w="140" w:type="dxa"/>
            <w:vAlign w:val="bottom"/>
          </w:tcPr>
          <w:p>
            <w:pPr>
              <w:spacing w:after="0"/>
              <w:rPr>
                <w:sz w:val="2"/>
                <w:szCs w:val="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2"/>
                <w:szCs w:val="2"/>
                <w:color w:val="auto"/>
              </w:rPr>
            </w:pPr>
          </w:p>
        </w:tc>
        <w:tc>
          <w:tcPr>
            <w:tcW w:w="100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18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January 1, 2022</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148,895,308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1,875,234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(1,355,661)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527,166</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2,808,137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4"/>
                <w:szCs w:val="14"/>
                <w:color w:val="auto"/>
              </w:rPr>
              <w:t>Vesting of performance-based stock units</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179,184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4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Shares of restricted stock returned to the Company under net share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(861,202)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settlements to satisfy tax withholding obligations</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4"/>
                <w:szCs w:val="14"/>
                <w:color w:val="auto"/>
              </w:rPr>
              <w:t>Common stock issued in equity offering</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17,071,311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52,065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52,067</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Issuance costs related to equity offering</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13,495</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19,349</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(118,571)</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September 30, 2022</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168,093,446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1,936,457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(1,474,232)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489,169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the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8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Balance at July 1, 2021</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Vesting of restricted stock awards and units</w:t>
      </w:r>
    </w:p>
    <w:p>
      <w:pPr>
        <w:spacing w:after="0" w:line="3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Shares of restricted stock returned to the Company under net share settlements to satisfy tax withholding obligations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Balance at September 30, 2021</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7"/>
                <w:szCs w:val="17"/>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8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paid-in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7"/>
                <w:szCs w:val="17"/>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3"/>
        </w:trPr>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2"/>
                <w:szCs w:val="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2"/>
                <w:szCs w:val="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2"/>
                <w:szCs w:val="2"/>
                <w:color w:val="auto"/>
              </w:rPr>
            </w:pPr>
          </w:p>
        </w:tc>
        <w:tc>
          <w:tcPr>
            <w:tcW w:w="100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148,057,301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1,868,066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(1,199,922)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669,281</w:t>
            </w:r>
          </w:p>
        </w:tc>
        <w:tc>
          <w:tcPr>
            <w:tcW w:w="0" w:type="dxa"/>
            <w:vAlign w:val="bottom"/>
          </w:tcPr>
          <w:p>
            <w:pPr>
              <w:spacing w:after="0"/>
              <w:rPr>
                <w:sz w:val="1"/>
                <w:szCs w:val="1"/>
                <w:color w:val="auto"/>
              </w:rPr>
            </w:pPr>
          </w:p>
        </w:tc>
      </w:tr>
      <w:tr>
        <w:trPr>
          <w:trHeight w:val="191"/>
        </w:trPr>
        <w:tc>
          <w:tcPr>
            <w:tcW w:w="110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00" w:type="dxa"/>
            <w:vAlign w:val="bottom"/>
          </w:tcPr>
          <w:p>
            <w:pPr>
              <w:jc w:val="right"/>
              <w:spacing w:after="0"/>
              <w:rPr>
                <w:sz w:val="20"/>
                <w:szCs w:val="20"/>
                <w:color w:val="auto"/>
              </w:rPr>
            </w:pPr>
            <w:r>
              <w:rPr>
                <w:rFonts w:ascii="Arial" w:cs="Arial" w:eastAsia="Arial" w:hAnsi="Arial"/>
                <w:sz w:val="14"/>
                <w:szCs w:val="14"/>
                <w:color w:val="auto"/>
              </w:rPr>
              <w:t>855,440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7"/>
        </w:trPr>
        <w:tc>
          <w:tcPr>
            <w:tcW w:w="1100" w:type="dxa"/>
            <w:vAlign w:val="bottom"/>
          </w:tcPr>
          <w:p>
            <w:pPr>
              <w:jc w:val="right"/>
              <w:spacing w:after="0"/>
              <w:rPr>
                <w:sz w:val="20"/>
                <w:szCs w:val="20"/>
                <w:color w:val="auto"/>
              </w:rPr>
            </w:pPr>
            <w:r>
              <w:rPr>
                <w:rFonts w:ascii="Arial" w:cs="Arial" w:eastAsia="Arial" w:hAnsi="Arial"/>
                <w:sz w:val="14"/>
                <w:szCs w:val="14"/>
                <w:color w:val="auto"/>
              </w:rPr>
              <w:t>(299,125)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4,561</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(59,431)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(59,431)</w:t>
            </w: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148,613,829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1,870,711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(1,259,353)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613,548</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-995045</wp:posOffset>
            </wp:positionV>
            <wp:extent cx="7136765"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-746125</wp:posOffset>
            </wp:positionV>
            <wp:extent cx="7136765" cy="207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20764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-414020</wp:posOffset>
            </wp:positionV>
            <wp:extent cx="7136765" cy="124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-165100</wp:posOffset>
            </wp:positionV>
            <wp:extent cx="7136765" cy="14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500"/>
            <w:col w:w="7000"/>
          </w:cols>
          <w:pgMar w:left="340" w:top="866" w:right="339" w:bottom="1440" w:gutter="0" w:footer="0" w:header="0"/>
          <w:type w:val="continuous"/>
        </w:sect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Nine months ended September 30, 2021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06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paid-in</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7"/>
                <w:szCs w:val="17"/>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deficit</w:t>
            </w: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4"/>
              </w:rPr>
              <w:t>(loss) income</w:t>
            </w:r>
          </w:p>
        </w:tc>
        <w:tc>
          <w:tcPr>
            <w:tcW w:w="140" w:type="dxa"/>
            <w:vAlign w:val="bottom"/>
          </w:tcPr>
          <w:p>
            <w:pPr>
              <w:spacing w:after="0"/>
              <w:rPr>
                <w:sz w:val="2"/>
                <w:szCs w:val="2"/>
                <w:color w:val="auto"/>
              </w:rPr>
            </w:pPr>
          </w:p>
        </w:tc>
        <w:tc>
          <w:tcPr>
            <w:tcW w:w="100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18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January 1, 2021</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145,425,248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1,870,256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(1,178,476)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center"/>
              <w:ind w:left="630"/>
              <w:spacing w:after="0"/>
              <w:rPr>
                <w:sz w:val="20"/>
                <w:szCs w:val="20"/>
                <w:color w:val="auto"/>
              </w:rPr>
            </w:pPr>
            <w:r>
              <w:rPr>
                <w:rFonts w:ascii="Arial" w:cs="Arial" w:eastAsia="Arial" w:hAnsi="Arial"/>
                <w:sz w:val="14"/>
                <w:szCs w:val="14"/>
                <w:color w:val="auto"/>
                <w:w w:val="90"/>
              </w:rPr>
              <w:t>(4,942)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686,853</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13,815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Vesting of restricted stock awards and units</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3,320,644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4"/>
                <w:szCs w:val="14"/>
                <w:color w:val="auto"/>
              </w:rPr>
              <w:t>Vesting of performance-based stock units</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1,525,681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4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Shares of restricted stock returned to the Company under net share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(1,671,559)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(13,980)</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settlements to satisfy tax withholding obligations</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14,411</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670"/>
              <w:spacing w:after="0"/>
              <w:rPr>
                <w:sz w:val="20"/>
                <w:szCs w:val="20"/>
                <w:color w:val="auto"/>
              </w:rPr>
            </w:pPr>
            <w:r>
              <w:rPr>
                <w:rFonts w:ascii="Arial" w:cs="Arial" w:eastAsia="Arial" w:hAnsi="Arial"/>
                <w:sz w:val="14"/>
                <w:szCs w:val="14"/>
                <w:color w:val="auto"/>
                <w:w w:val="91"/>
              </w:rPr>
              <w:t>7,117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(80,877)</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September 30, 2021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148,613,829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1,870,711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(1,259,353)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4"/>
                <w:szCs w:val="14"/>
                <w:color w:val="auto"/>
                <w:w w:val="91"/>
              </w:rPr>
              <w:t>2,175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613,548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86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8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7"/>
        </w:trPr>
        <w:tc>
          <w:tcPr>
            <w:tcW w:w="8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140" w:type="dxa"/>
            <w:vAlign w:val="bottom"/>
          </w:tcPr>
          <w:p>
            <w:pPr>
              <w:jc w:val="right"/>
              <w:ind w:right="154"/>
              <w:spacing w:after="0" w:line="127" w:lineRule="exact"/>
              <w:rPr>
                <w:sz w:val="20"/>
                <w:szCs w:val="20"/>
                <w:color w:val="auto"/>
              </w:rPr>
            </w:pPr>
            <w:r>
              <w:rPr>
                <w:rFonts w:ascii="Arial" w:cs="Arial" w:eastAsia="Arial" w:hAnsi="Arial"/>
                <w:sz w:val="14"/>
                <w:szCs w:val="14"/>
                <w:b w:val="1"/>
                <w:bCs w:val="1"/>
                <w:color w:val="auto"/>
                <w:w w:val="91"/>
              </w:rPr>
              <w:t>September 30,</w:t>
            </w:r>
          </w:p>
        </w:tc>
      </w:tr>
      <w:tr>
        <w:trPr>
          <w:trHeight w:val="187"/>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07"/>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(118,571)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(80,877)</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cash flows (used in)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8500" w:type="dxa"/>
            <w:vAlign w:val="bottom"/>
          </w:tcPr>
          <w:p>
            <w:pPr>
              <w:ind w:left="220"/>
              <w:spacing w:after="0"/>
              <w:rPr>
                <w:sz w:val="20"/>
                <w:szCs w:val="20"/>
                <w:color w:val="auto"/>
              </w:rPr>
            </w:pPr>
            <w:r>
              <w:rPr>
                <w:rFonts w:ascii="Arial" w:cs="Arial" w:eastAsia="Arial" w:hAnsi="Arial"/>
                <w:sz w:val="17"/>
                <w:szCs w:val="17"/>
                <w:color w:val="auto"/>
              </w:rPr>
              <w:t>Depreciation and amortization of property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12,684</w:t>
            </w:r>
          </w:p>
        </w:tc>
      </w:tr>
      <w:tr>
        <w:trPr>
          <w:trHeight w:val="222"/>
        </w:trPr>
        <w:tc>
          <w:tcPr>
            <w:tcW w:w="8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50,225</w:t>
            </w:r>
          </w:p>
        </w:tc>
      </w:tr>
      <w:tr>
        <w:trPr>
          <w:trHeight w:val="222"/>
        </w:trPr>
        <w:tc>
          <w:tcPr>
            <w:tcW w:w="850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4,227</w:t>
            </w:r>
          </w:p>
        </w:tc>
      </w:tr>
      <w:tr>
        <w:trPr>
          <w:trHeight w:val="222"/>
        </w:trPr>
        <w:tc>
          <w:tcPr>
            <w:tcW w:w="8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14,411</w:t>
            </w:r>
          </w:p>
        </w:tc>
      </w:tr>
      <w:tr>
        <w:trPr>
          <w:trHeight w:val="222"/>
        </w:trPr>
        <w:tc>
          <w:tcPr>
            <w:tcW w:w="850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(3,295)</w:t>
            </w:r>
          </w:p>
        </w:tc>
      </w:tr>
      <w:tr>
        <w:trPr>
          <w:trHeight w:val="222"/>
        </w:trPr>
        <w:tc>
          <w:tcPr>
            <w:tcW w:w="8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sale of business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w:t>
            </w:r>
          </w:p>
        </w:tc>
      </w:tr>
      <w:tr>
        <w:trPr>
          <w:trHeight w:val="222"/>
        </w:trPr>
        <w:tc>
          <w:tcPr>
            <w:tcW w:w="8500" w:type="dxa"/>
            <w:vAlign w:val="bottom"/>
          </w:tcPr>
          <w:p>
            <w:pPr>
              <w:ind w:left="220"/>
              <w:spacing w:after="0"/>
              <w:rPr>
                <w:sz w:val="20"/>
                <w:szCs w:val="20"/>
                <w:color w:val="auto"/>
              </w:rPr>
            </w:pPr>
            <w:r>
              <w:rPr>
                <w:rFonts w:ascii="Arial" w:cs="Arial" w:eastAsia="Arial" w:hAnsi="Arial"/>
                <w:sz w:val="17"/>
                <w:szCs w:val="17"/>
                <w:color w:val="auto"/>
              </w:rPr>
              <w:t>Decrease in fair value of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64,745</w:t>
            </w:r>
          </w:p>
        </w:tc>
      </w:tr>
      <w:tr>
        <w:trPr>
          <w:trHeight w:val="222"/>
        </w:trPr>
        <w:tc>
          <w:tcPr>
            <w:tcW w:w="8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exchange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w:t>
            </w:r>
          </w:p>
        </w:tc>
      </w:tr>
      <w:tr>
        <w:trPr>
          <w:trHeight w:val="222"/>
        </w:trPr>
        <w:tc>
          <w:tcPr>
            <w:tcW w:w="850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r>
      <w:tr>
        <w:trPr>
          <w:trHeight w:val="222"/>
        </w:trPr>
        <w:tc>
          <w:tcPr>
            <w:tcW w:w="8500" w:type="dxa"/>
            <w:vAlign w:val="bottom"/>
          </w:tcPr>
          <w:p>
            <w:pPr>
              <w:ind w:left="460"/>
              <w:spacing w:after="0"/>
              <w:rPr>
                <w:sz w:val="20"/>
                <w:szCs w:val="20"/>
                <w:color w:val="auto"/>
              </w:rPr>
            </w:pPr>
            <w:r>
              <w:rPr>
                <w:rFonts w:ascii="Arial" w:cs="Arial" w:eastAsia="Arial" w:hAnsi="Arial"/>
                <w:sz w:val="17"/>
                <w:szCs w:val="17"/>
                <w:color w:val="auto"/>
              </w:rPr>
              <w:t>Inventory</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22"/>
        </w:trPr>
        <w:tc>
          <w:tcPr>
            <w:tcW w:w="85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operating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11,303</w:t>
            </w:r>
          </w:p>
        </w:tc>
      </w:tr>
      <w:tr>
        <w:trPr>
          <w:trHeight w:val="222"/>
        </w:trPr>
        <w:tc>
          <w:tcPr>
            <w:tcW w:w="850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2,194</w:t>
            </w:r>
          </w:p>
        </w:tc>
      </w:tr>
      <w:tr>
        <w:trPr>
          <w:trHeight w:val="222"/>
        </w:trPr>
        <w:tc>
          <w:tcPr>
            <w:tcW w:w="85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Accrued expenses and other long-term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(58,661)</w:t>
            </w:r>
          </w:p>
        </w:tc>
      </w:tr>
      <w:tr>
        <w:trPr>
          <w:trHeight w:val="222"/>
        </w:trPr>
        <w:tc>
          <w:tcPr>
            <w:tcW w:w="850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Deferred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(11,665)</w:t>
            </w:r>
          </w:p>
        </w:tc>
      </w:tr>
      <w:tr>
        <w:trPr>
          <w:trHeight w:val="215"/>
        </w:trPr>
        <w:tc>
          <w:tcPr>
            <w:tcW w:w="85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Net cash (used in)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7,899</w:t>
            </w:r>
          </w:p>
        </w:tc>
      </w:tr>
      <w:tr>
        <w:trPr>
          <w:trHeight w:val="202"/>
        </w:trPr>
        <w:tc>
          <w:tcPr>
            <w:tcW w:w="850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(14,279)</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Purchases of software licenses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business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w:t>
            </w:r>
          </w:p>
        </w:tc>
      </w:tr>
      <w:tr>
        <w:trPr>
          <w:trHeight w:val="215"/>
        </w:trPr>
        <w:tc>
          <w:tcPr>
            <w:tcW w:w="8500" w:type="dxa"/>
            <w:vAlign w:val="bottom"/>
          </w:tcPr>
          <w:p>
            <w:pPr>
              <w:ind w:left="54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(11,335)</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Borrowings under revolving line of credit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 payments on revolving line of credit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Proceeds from issuance of term debt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74,625</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 payments of term debt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(87,161)</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Principal payments of finance leases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(736)</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debt issuance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Proceeds from equity offering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52,067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equity offering issuance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Proceeds from the exercise of stock options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tax withholding obligations related to net share settlements of restricted stock awards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(13,980)</w:t>
            </w:r>
          </w:p>
        </w:tc>
      </w:tr>
      <w:tr>
        <w:trPr>
          <w:trHeight w:val="215"/>
        </w:trPr>
        <w:tc>
          <w:tcPr>
            <w:tcW w:w="850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(28,017)</w:t>
            </w:r>
          </w:p>
        </w:tc>
      </w:tr>
      <w:tr>
        <w:trPr>
          <w:trHeight w:val="215"/>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w:t>
            </w:r>
          </w:p>
        </w:tc>
      </w:tr>
      <w:tr>
        <w:trPr>
          <w:trHeight w:val="215"/>
        </w:trPr>
        <w:tc>
          <w:tcPr>
            <w:tcW w:w="8500" w:type="dxa"/>
            <w:vAlign w:val="bottom"/>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(31,942)</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135,697</w:t>
            </w:r>
          </w:p>
        </w:tc>
      </w:tr>
      <w:tr>
        <w:trPr>
          <w:trHeight w:val="215"/>
        </w:trPr>
        <w:tc>
          <w:tcPr>
            <w:tcW w:w="85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103,755</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0"/>
        </w:trPr>
        <w:tc>
          <w:tcPr>
            <w:tcW w:w="8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718"/>
        </w:trPr>
        <w:tc>
          <w:tcPr>
            <w:tcW w:w="8500" w:type="dxa"/>
            <w:vAlign w:val="bottom"/>
          </w:tcPr>
          <w:p>
            <w:pPr>
              <w:ind w:left="558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1"/>
        </w:trPr>
        <w:tc>
          <w:tcPr>
            <w:tcW w:w="8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8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7"/>
        </w:trPr>
        <w:tc>
          <w:tcPr>
            <w:tcW w:w="8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140" w:type="dxa"/>
            <w:vAlign w:val="bottom"/>
          </w:tcPr>
          <w:p>
            <w:pPr>
              <w:jc w:val="right"/>
              <w:ind w:right="157"/>
              <w:spacing w:after="0" w:line="127" w:lineRule="exact"/>
              <w:rPr>
                <w:sz w:val="20"/>
                <w:szCs w:val="20"/>
                <w:color w:val="auto"/>
              </w:rPr>
            </w:pPr>
            <w:r>
              <w:rPr>
                <w:rFonts w:ascii="Arial" w:cs="Arial" w:eastAsia="Arial" w:hAnsi="Arial"/>
                <w:sz w:val="14"/>
                <w:szCs w:val="14"/>
                <w:b w:val="1"/>
                <w:bCs w:val="1"/>
                <w:color w:val="auto"/>
                <w:w w:val="91"/>
              </w:rPr>
              <w:t>September 30,</w:t>
            </w:r>
          </w:p>
        </w:tc>
      </w:tr>
      <w:tr>
        <w:trPr>
          <w:trHeight w:val="187"/>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07"/>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Interest paid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13,179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11,410</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taxes paid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11,944</w:t>
            </w: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Income tax refunds received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983</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 of non-cash investing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8500" w:type="dxa"/>
            <w:vAlign w:val="bottom"/>
          </w:tcPr>
          <w:p>
            <w:pPr>
              <w:ind w:left="100"/>
              <w:spacing w:after="0"/>
              <w:rPr>
                <w:sz w:val="20"/>
                <w:szCs w:val="20"/>
                <w:color w:val="auto"/>
              </w:rPr>
            </w:pPr>
            <w:r>
              <w:rPr>
                <w:rFonts w:ascii="Arial" w:cs="Arial" w:eastAsia="Arial" w:hAnsi="Arial"/>
                <w:sz w:val="17"/>
                <w:szCs w:val="17"/>
                <w:color w:val="auto"/>
              </w:rPr>
              <w:t>Capital expenditures incurred, but not yet paid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1,807</w:t>
            </w: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license acquired through investment disposal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Supplemental disclosure of non-cash financing activities: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Total fair value of restricted stock awards, restricted stock units and performance-based stock units on date vested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38,879</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the unaudited condensed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RIBBON COMMUNICATIONS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249" w:lineRule="exact"/>
        <w:rPr>
          <w:sz w:val="20"/>
          <w:szCs w:val="20"/>
          <w:color w:val="auto"/>
        </w:rPr>
      </w:pPr>
    </w:p>
    <w:p>
      <w:pPr>
        <w:ind w:firstLine="314"/>
        <w:spacing w:after="0" w:line="261" w:lineRule="auto"/>
        <w:rPr>
          <w:sz w:val="20"/>
          <w:szCs w:val="20"/>
          <w:color w:val="auto"/>
        </w:rPr>
      </w:pPr>
      <w:r>
        <w:rPr>
          <w:rFonts w:ascii="Arial" w:cs="Arial" w:eastAsia="Arial" w:hAnsi="Arial"/>
          <w:sz w:val="17"/>
          <w:szCs w:val="17"/>
          <w:color w:val="auto"/>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 and for small, medium and large enterprises, and industry verticals such as finance, education, government, utilities and transportation. Ribbon's mission is to create a recognized global technology leader providing cloud-centric solutions that enable the secure exchange of information, with unparalleled scale, performance and elasticity. The Company is headquartered in Plano, Texas, and has a global presence with research and development or sales and support locations in over thirty-five countries around the world.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49" w:lineRule="exact"/>
        <w:rPr>
          <w:sz w:val="20"/>
          <w:szCs w:val="20"/>
          <w:color w:val="auto"/>
        </w:rPr>
      </w:pPr>
    </w:p>
    <w:p>
      <w:pPr>
        <w:jc w:val="both"/>
        <w:ind w:right="40" w:firstLine="314"/>
        <w:spacing w:after="0" w:line="272"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include all adjustments, consisting only of normal recurring items, necessary for their fair presentation with accounting principles generally accepted in the United States of America ("GAAP") and with the rules and regulations of the U.S. Securities and Exchange Commission ("SEC").</w:t>
      </w:r>
    </w:p>
    <w:p>
      <w:pPr>
        <w:spacing w:after="0" w:line="198" w:lineRule="exact"/>
        <w:rPr>
          <w:sz w:val="20"/>
          <w:szCs w:val="20"/>
          <w:color w:val="auto"/>
        </w:rPr>
      </w:pPr>
    </w:p>
    <w:p>
      <w:pPr>
        <w:jc w:val="both"/>
        <w:ind w:right="360" w:firstLine="314"/>
        <w:spacing w:after="0" w:line="272" w:lineRule="auto"/>
        <w:rPr>
          <w:sz w:val="20"/>
          <w:szCs w:val="20"/>
          <w:color w:val="auto"/>
        </w:rPr>
      </w:pPr>
      <w:r>
        <w:rPr>
          <w:rFonts w:ascii="Arial" w:cs="Arial" w:eastAsia="Arial" w:hAnsi="Arial"/>
          <w:sz w:val="17"/>
          <w:szCs w:val="17"/>
          <w:color w:val="auto"/>
        </w:rPr>
        <w:t>Interim results are not necessarily indicative of results for a full year or any future interim period. The information included in this Quarterly Report on Form 10-Q should be read in conjunction with the Company's Annual Report on Form 10-K for the year ended December 31, 2021 (the "Annual Report"), which was filed with the SEC on March 11,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Offering</w:t>
      </w:r>
    </w:p>
    <w:p>
      <w:pPr>
        <w:spacing w:after="0" w:line="249" w:lineRule="exact"/>
        <w:rPr>
          <w:sz w:val="20"/>
          <w:szCs w:val="20"/>
          <w:color w:val="auto"/>
        </w:rPr>
      </w:pPr>
    </w:p>
    <w:p>
      <w:pPr>
        <w:ind w:right="20" w:firstLine="314"/>
        <w:spacing w:after="0" w:line="264" w:lineRule="auto"/>
        <w:rPr>
          <w:sz w:val="20"/>
          <w:szCs w:val="20"/>
          <w:color w:val="auto"/>
        </w:rPr>
      </w:pPr>
      <w:r>
        <w:rPr>
          <w:rFonts w:ascii="Arial" w:cs="Arial" w:eastAsia="Arial" w:hAnsi="Arial"/>
          <w:sz w:val="17"/>
          <w:szCs w:val="17"/>
          <w:color w:val="auto"/>
        </w:rPr>
        <w:t>On August 12, 2022, the Company entered into a Securities Purchase Agreement with certain investors for the sale (the "Equity Offering") in a private placement by the Company of 17,071,311 shares (the "Shares") of the Company’s common stock, par value $0.0001 per share, at a price of $3.05 per share. The aggregate gross proceeds from the Equity Offering were approximately $52.1 million, before deducting offering expenses paid by the Company of approximately $1.7 million. The Company intends to use the net proceeds from the Equity Offering to fund general corporate purposes, including capital expenditures, working capital and repayment of debt.</w:t>
      </w:r>
    </w:p>
    <w:p>
      <w:pPr>
        <w:spacing w:after="0" w:line="206" w:lineRule="exact"/>
        <w:rPr>
          <w:sz w:val="20"/>
          <w:szCs w:val="20"/>
          <w:color w:val="auto"/>
        </w:rPr>
      </w:pPr>
    </w:p>
    <w:p>
      <w:pPr>
        <w:jc w:val="both"/>
        <w:ind w:right="280" w:firstLine="314"/>
        <w:spacing w:after="0" w:line="272" w:lineRule="auto"/>
        <w:rPr>
          <w:sz w:val="20"/>
          <w:szCs w:val="20"/>
          <w:color w:val="auto"/>
        </w:rPr>
      </w:pPr>
      <w:r>
        <w:rPr>
          <w:rFonts w:ascii="Arial" w:cs="Arial" w:eastAsia="Arial" w:hAnsi="Arial"/>
          <w:sz w:val="17"/>
          <w:szCs w:val="17"/>
          <w:color w:val="auto"/>
        </w:rPr>
        <w:t>The original issuance of the Shares in the Equity Offering was exempt from the registration requirements of the Securities Act of 1933, as amended (the “Securities Act”). The Company subsequently filed a registration statement on Form S-3 (the “Registration Statement”) with the SEC registering the Shares, which Registration Statement was declared effective by the SEC on September 23,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Segments</w:t>
      </w:r>
    </w:p>
    <w:p>
      <w:pPr>
        <w:spacing w:after="0" w:line="249" w:lineRule="exact"/>
        <w:rPr>
          <w:sz w:val="20"/>
          <w:szCs w:val="20"/>
          <w:color w:val="auto"/>
        </w:rPr>
      </w:pPr>
    </w:p>
    <w:p>
      <w:pPr>
        <w:ind w:right="520" w:firstLine="314"/>
        <w:spacing w:after="0" w:line="272" w:lineRule="auto"/>
        <w:rPr>
          <w:sz w:val="20"/>
          <w:szCs w:val="20"/>
          <w:color w:val="auto"/>
        </w:rPr>
      </w:pPr>
      <w:r>
        <w:rPr>
          <w:rFonts w:ascii="Arial" w:cs="Arial" w:eastAsia="Arial" w:hAnsi="Arial"/>
          <w:sz w:val="17"/>
          <w:szCs w:val="17"/>
          <w:color w:val="auto"/>
        </w:rPr>
        <w:t>The Company's chief operating decision maker (the "CODM") is its President and Chief Executive Officer. The CODM assesses the Company's performance based on the performance of two separate organizations within Ribbon: the Cloud and Edge segment ("Cloud and Edge") and the IP Optical Networks segment ("IP Optical Networks").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49" w:lineRule="exact"/>
        <w:rPr>
          <w:sz w:val="20"/>
          <w:szCs w:val="20"/>
          <w:color w:val="auto"/>
        </w:rPr>
      </w:pPr>
    </w:p>
    <w:p>
      <w:pPr>
        <w:ind w:right="140" w:firstLine="314"/>
        <w:spacing w:after="0" w:line="282" w:lineRule="auto"/>
        <w:rPr>
          <w:sz w:val="20"/>
          <w:szCs w:val="20"/>
          <w:color w:val="auto"/>
        </w:rPr>
      </w:pPr>
      <w:r>
        <w:rPr>
          <w:rFonts w:ascii="Arial" w:cs="Arial" w:eastAsia="Arial" w:hAnsi="Arial"/>
          <w:sz w:val="16"/>
          <w:szCs w:val="16"/>
          <w:color w:val="auto"/>
        </w:rPr>
        <w:t>In the fourth quarter of 2021, the Company reclassified amounts recorded for amortization of certain acquired intangible assets in prior presentations from Total operating expenses under the caption "Amortization of acquired intangible assets" to Cost of revenue under the caption "Amortization of acquired technology" in the condensed consolidated statements of operations. The Company's management believes this presentation aids in the comparability of its financial statements to industry peers. This reclassification did not impact the condensed consolidated balance sheets or statements of cash flows for any historical periods. The Company reports depreciation of property and equipment related to production activities as components of Cost of revenue. This reclassification for the three and nine months ended September 30, 2021 was as follows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356"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6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88"/>
              </w:rPr>
              <w:t>Three months ended September 30, 2021</w:t>
            </w:r>
          </w:p>
        </w:tc>
        <w:tc>
          <w:tcPr>
            <w:tcW w:w="100" w:type="dxa"/>
            <w:vAlign w:val="bottom"/>
          </w:tcPr>
          <w:p>
            <w:pPr>
              <w:spacing w:after="0"/>
              <w:rPr>
                <w:sz w:val="15"/>
                <w:szCs w:val="15"/>
                <w:color w:val="auto"/>
              </w:rPr>
            </w:pPr>
          </w:p>
        </w:tc>
        <w:tc>
          <w:tcPr>
            <w:tcW w:w="3240" w:type="dxa"/>
            <w:vAlign w:val="bottom"/>
            <w:gridSpan w:val="6"/>
          </w:tcPr>
          <w:p>
            <w:pPr>
              <w:ind w:left="780"/>
              <w:spacing w:after="0"/>
              <w:rPr>
                <w:sz w:val="20"/>
                <w:szCs w:val="20"/>
                <w:color w:val="auto"/>
              </w:rPr>
            </w:pPr>
            <w:r>
              <w:rPr>
                <w:rFonts w:ascii="Arial" w:cs="Arial" w:eastAsia="Arial" w:hAnsi="Arial"/>
                <w:sz w:val="14"/>
                <w:szCs w:val="14"/>
                <w:b w:val="1"/>
                <w:bCs w:val="1"/>
                <w:color w:val="auto"/>
                <w:w w:val="92"/>
              </w:rPr>
              <w:t>Nine months ended September 30, 2021</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40" w:type="dxa"/>
            <w:vAlign w:val="bottom"/>
          </w:tcPr>
          <w:p>
            <w:pPr>
              <w:spacing w:after="0"/>
              <w:rPr>
                <w:sz w:val="11"/>
                <w:szCs w:val="11"/>
                <w:color w:val="auto"/>
              </w:rPr>
            </w:pPr>
          </w:p>
        </w:tc>
        <w:tc>
          <w:tcPr>
            <w:tcW w:w="13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Prior presentation</w:t>
            </w: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88"/>
              </w:rPr>
              <w:t>Amounts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5"/>
              <w:spacing w:after="0" w:line="127" w:lineRule="exact"/>
              <w:rPr>
                <w:sz w:val="20"/>
                <w:szCs w:val="20"/>
                <w:color w:val="auto"/>
              </w:rPr>
            </w:pPr>
            <w:r>
              <w:rPr>
                <w:rFonts w:ascii="Arial" w:cs="Arial" w:eastAsia="Arial" w:hAnsi="Arial"/>
                <w:sz w:val="14"/>
                <w:szCs w:val="14"/>
                <w:b w:val="1"/>
                <w:bCs w:val="1"/>
                <w:color w:val="auto"/>
                <w:w w:val="85"/>
              </w:rPr>
              <w:t>Revised</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Prior presentation</w:t>
            </w:r>
          </w:p>
        </w:tc>
        <w:tc>
          <w:tcPr>
            <w:tcW w:w="14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w w:val="94"/>
              </w:rPr>
              <w:t>Amounts reclassified</w:t>
            </w:r>
          </w:p>
        </w:tc>
        <w:tc>
          <w:tcPr>
            <w:tcW w:w="13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87"/>
              </w:rPr>
              <w:t>Revised presentation</w:t>
            </w: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reclassified</w:t>
            </w:r>
          </w:p>
        </w:tc>
        <w:tc>
          <w:tcPr>
            <w:tcW w:w="1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presentation</w:t>
            </w: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111,726</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322,744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322,744</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 revenue</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98,672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291,636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291,636</w:t>
            </w: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revenue</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614,380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614,380</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7"/>
                <w:szCs w:val="17"/>
                <w:color w:val="auto"/>
              </w:rPr>
              <w:t>Cost of revenue - product</w:t>
            </w: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53,494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53,494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144,580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144,580</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 - service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36,576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110,498</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7"/>
                <w:szCs w:val="17"/>
                <w:color w:val="auto"/>
              </w:rPr>
              <w:t>Amortization of acquired technology</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29,435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29,435</w:t>
            </w:r>
          </w:p>
        </w:tc>
        <w:tc>
          <w:tcPr>
            <w:tcW w:w="0" w:type="dxa"/>
            <w:vAlign w:val="bottom"/>
          </w:tcPr>
          <w:p>
            <w:pPr>
              <w:spacing w:after="0"/>
              <w:rPr>
                <w:sz w:val="1"/>
                <w:szCs w:val="1"/>
                <w:color w:val="auto"/>
              </w:rPr>
            </w:pPr>
          </w:p>
        </w:tc>
      </w:tr>
      <w:tr>
        <w:trPr>
          <w:trHeight w:val="215"/>
        </w:trPr>
        <w:tc>
          <w:tcPr>
            <w:tcW w:w="31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cost of revenue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99,744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255,078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284,513</w:t>
            </w:r>
          </w:p>
        </w:tc>
        <w:tc>
          <w:tcPr>
            <w:tcW w:w="0" w:type="dxa"/>
            <w:vAlign w:val="bottom"/>
          </w:tcPr>
          <w:p>
            <w:pPr>
              <w:spacing w:after="0"/>
              <w:rPr>
                <w:sz w:val="1"/>
                <w:szCs w:val="1"/>
                <w:color w:val="auto"/>
              </w:rPr>
            </w:pPr>
          </w:p>
        </w:tc>
      </w:tr>
      <w:tr>
        <w:trPr>
          <w:trHeight w:val="215"/>
        </w:trPr>
        <w:tc>
          <w:tcPr>
            <w:tcW w:w="31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gross profit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110,654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(29,435)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329,867</w:t>
            </w: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143,339</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36,113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108,212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108,212</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40,435</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7"/>
                <w:szCs w:val="17"/>
                <w:color w:val="auto"/>
                <w:w w:val="98"/>
              </w:rPr>
              <w:t>Amortization of acquired intangible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(29,435)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20,790</w:t>
            </w: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Acquisition-, disposal- and integration-</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related</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Restructuring and related</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10,547</w:t>
            </w: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108,662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356,962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327,527</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340" w:type="dxa"/>
            <w:vAlign w:val="bottom"/>
          </w:tcPr>
          <w:p>
            <w:pPr>
              <w:jc w:val="right"/>
              <w:ind w:right="159"/>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1,992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1,992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2,340</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2,340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249" w:lineRule="exact"/>
        <w:rPr>
          <w:sz w:val="20"/>
          <w:szCs w:val="20"/>
          <w:color w:val="auto"/>
        </w:rPr>
      </w:pPr>
    </w:p>
    <w:p>
      <w:pPr>
        <w:ind w:right="100" w:firstLine="314"/>
        <w:spacing w:after="0" w:line="288" w:lineRule="auto"/>
        <w:rPr>
          <w:sz w:val="20"/>
          <w:szCs w:val="20"/>
          <w:color w:val="auto"/>
        </w:rPr>
      </w:pPr>
      <w:r>
        <w:rPr>
          <w:rFonts w:ascii="Arial" w:cs="Arial" w:eastAsia="Arial" w:hAnsi="Arial"/>
          <w:sz w:val="17"/>
          <w:szCs w:val="17"/>
          <w:color w:val="auto"/>
        </w:rPr>
        <w:t>The Company's significant accounting policies are disclosed in Note 2 to the Consolidated Financial Statements included in the Annual Report. There were no material changes to the significant accounting policies during the three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49" w:lineRule="exact"/>
        <w:rPr>
          <w:sz w:val="20"/>
          <w:szCs w:val="20"/>
          <w:color w:val="auto"/>
        </w:rPr>
      </w:pPr>
    </w:p>
    <w:p>
      <w:pPr>
        <w:ind w:right="20" w:firstLine="314"/>
        <w:spacing w:after="0" w:line="288" w:lineRule="auto"/>
        <w:rPr>
          <w:sz w:val="20"/>
          <w:szCs w:val="20"/>
          <w:color w:val="auto"/>
        </w:rPr>
      </w:pPr>
      <w:r>
        <w:rPr>
          <w:rFonts w:ascii="Arial" w:cs="Arial" w:eastAsia="Arial" w:hAnsi="Arial"/>
          <w:sz w:val="17"/>
          <w:szCs w:val="17"/>
          <w:color w:val="auto"/>
        </w:rPr>
        <w:t>The condensed consolidated financial statements include the accounts of Ribbon and its wholly-owned subsidiaries. Intercompany transactions and balances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 and Judgments</w:t>
      </w:r>
    </w:p>
    <w:p>
      <w:pPr>
        <w:spacing w:after="0" w:line="249" w:lineRule="exact"/>
        <w:rPr>
          <w:sz w:val="20"/>
          <w:szCs w:val="20"/>
          <w:color w:val="auto"/>
        </w:rPr>
      </w:pPr>
    </w:p>
    <w:p>
      <w:pPr>
        <w:ind w:right="60" w:firstLine="314"/>
        <w:spacing w:after="0" w:line="261" w:lineRule="auto"/>
        <w:rPr>
          <w:sz w:val="20"/>
          <w:szCs w:val="20"/>
          <w:color w:val="auto"/>
        </w:rPr>
      </w:pPr>
      <w:r>
        <w:rPr>
          <w:rFonts w:ascii="Arial" w:cs="Arial" w:eastAsia="Arial" w:hAnsi="Arial"/>
          <w:sz w:val="17"/>
          <w:szCs w:val="17"/>
          <w:color w:val="auto"/>
        </w:rPr>
        <w:t>The preparation of financial statements in conformity with GAAP requires Ribbon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 judgments relied upon in preparing these condensed consolidated financial statements include accounting for business combinations, revenue recognition for multiple element arrangements, inventory valuations, assumptions used to determine the fair value of stock-based compensation, intangible asset and goodwill valuations, including impairments,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49" w:lineRule="exact"/>
        <w:rPr>
          <w:sz w:val="20"/>
          <w:szCs w:val="20"/>
          <w:color w:val="auto"/>
        </w:rPr>
      </w:pPr>
    </w:p>
    <w:p>
      <w:pPr>
        <w:ind w:right="480" w:firstLine="314"/>
        <w:spacing w:after="0" w:line="288" w:lineRule="auto"/>
        <w:rPr>
          <w:sz w:val="20"/>
          <w:szCs w:val="20"/>
          <w:color w:val="auto"/>
        </w:rPr>
      </w:pPr>
      <w:r>
        <w:rPr>
          <w:rFonts w:ascii="Arial" w:cs="Arial" w:eastAsia="Arial" w:hAnsi="Arial"/>
          <w:sz w:val="17"/>
          <w:szCs w:val="17"/>
          <w:color w:val="auto"/>
        </w:rPr>
        <w:t>The Company classifies as restricted cash all cash pledged as collateral to secure long-term obligations and all cash whose use is otherwise limited by contractual provisions.</w:t>
      </w:r>
    </w:p>
    <w:p>
      <w:pPr>
        <w:spacing w:after="0" w:line="184" w:lineRule="exact"/>
        <w:rPr>
          <w:sz w:val="20"/>
          <w:szCs w:val="20"/>
          <w:color w:val="auto"/>
        </w:rPr>
      </w:pPr>
    </w:p>
    <w:p>
      <w:pPr>
        <w:ind w:firstLine="314"/>
        <w:spacing w:after="0" w:line="272" w:lineRule="auto"/>
        <w:rPr>
          <w:sz w:val="20"/>
          <w:szCs w:val="20"/>
          <w:color w:val="auto"/>
        </w:rPr>
      </w:pPr>
      <w:r>
        <w:rPr>
          <w:rFonts w:ascii="Arial" w:cs="Arial" w:eastAsia="Arial" w:hAnsi="Arial"/>
          <w:sz w:val="17"/>
          <w:szCs w:val="17"/>
          <w:color w:val="auto"/>
        </w:rPr>
        <w:t>The Company had $0.3 million and $2.6 million of restricted cash as of September 30, 2022 and December 31, 2021, respectively, representing restricted short-term bank deposits pledged to secure certain performance and financial bonds as security for the Company's obligations under tenders, contracts and to one of its main subcontractors.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Transfers of Financial Assets</w:t>
      </w:r>
    </w:p>
    <w:p>
      <w:pPr>
        <w:spacing w:after="0" w:line="249" w:lineRule="exact"/>
        <w:rPr>
          <w:sz w:val="20"/>
          <w:szCs w:val="20"/>
          <w:color w:val="auto"/>
        </w:rPr>
      </w:pPr>
    </w:p>
    <w:p>
      <w:pPr>
        <w:ind w:right="80" w:firstLine="314"/>
        <w:spacing w:after="0" w:line="304" w:lineRule="auto"/>
        <w:rPr>
          <w:sz w:val="20"/>
          <w:szCs w:val="20"/>
          <w:color w:val="auto"/>
        </w:rPr>
      </w:pPr>
      <w:r>
        <w:rPr>
          <w:rFonts w:ascii="Arial" w:cs="Arial" w:eastAsia="Arial" w:hAnsi="Arial"/>
          <w:sz w:val="15"/>
          <w:szCs w:val="15"/>
          <w:color w:val="auto"/>
        </w:rPr>
        <w:t>The Company maintains customer receivables factoring agreements with a number of financial institutions, primarily for IP Optical Networks sales outside of the United States.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condensed consolidated statements of operations, and the proceeds from the sales of receivables are included in cash from operating activities in the condensed consolidated statements of cash flows.</w:t>
      </w:r>
    </w:p>
    <w:p>
      <w:pPr>
        <w:spacing w:after="0" w:line="179" w:lineRule="exact"/>
        <w:rPr>
          <w:sz w:val="20"/>
          <w:szCs w:val="20"/>
          <w:color w:val="auto"/>
        </w:rPr>
      </w:pPr>
    </w:p>
    <w:p>
      <w:pPr>
        <w:ind w:right="300" w:firstLine="314"/>
        <w:spacing w:after="0" w:line="288" w:lineRule="auto"/>
        <w:rPr>
          <w:sz w:val="20"/>
          <w:szCs w:val="20"/>
          <w:color w:val="auto"/>
        </w:rPr>
      </w:pPr>
      <w:r>
        <w:rPr>
          <w:rFonts w:ascii="Arial" w:cs="Arial" w:eastAsia="Arial" w:hAnsi="Arial"/>
          <w:sz w:val="17"/>
          <w:szCs w:val="17"/>
          <w:color w:val="auto"/>
        </w:rPr>
        <w:t>Information regarding the Company's factoring of its financial assets for the three and nine months ended September 30, 2022 and 2021 is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60"/>
              <w:spacing w:after="0" w:line="124"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60"/>
              <w:spacing w:after="0" w:line="124"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2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60"/>
              <w:spacing w:after="0" w:line="124" w:lineRule="exact"/>
              <w:rPr>
                <w:sz w:val="20"/>
                <w:szCs w:val="20"/>
                <w:color w:val="auto"/>
              </w:rPr>
            </w:pPr>
            <w:r>
              <w:rPr>
                <w:rFonts w:ascii="Arial" w:cs="Arial" w:eastAsia="Arial" w:hAnsi="Arial"/>
                <w:sz w:val="14"/>
                <w:szCs w:val="14"/>
                <w:b w:val="1"/>
                <w:bCs w:val="1"/>
                <w:color w:val="auto"/>
                <w:w w:val="91"/>
              </w:rPr>
              <w:t>September 30,</w:t>
            </w:r>
          </w:p>
        </w:tc>
      </w:tr>
      <w:tr>
        <w:trPr>
          <w:trHeight w:val="189"/>
        </w:trPr>
        <w:tc>
          <w:tcPr>
            <w:tcW w:w="5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sold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9"/>
              </w:rPr>
              <w:t>16,926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57,640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88,608</w:t>
            </w:r>
          </w:p>
        </w:tc>
      </w:tr>
      <w:tr>
        <w:trPr>
          <w:trHeight w:val="222"/>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factoring fees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w:t>
            </w:r>
          </w:p>
        </w:tc>
      </w:tr>
      <w:tr>
        <w:trPr>
          <w:trHeight w:val="24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proceeds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w w:val="99"/>
              </w:rPr>
              <w:t>16,645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24,792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56,883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249" w:lineRule="exact"/>
        <w:rPr>
          <w:sz w:val="20"/>
          <w:szCs w:val="20"/>
          <w:color w:val="auto"/>
        </w:rPr>
      </w:pPr>
    </w:p>
    <w:p>
      <w:pPr>
        <w:jc w:val="both"/>
        <w:ind w:right="100" w:firstLine="314"/>
        <w:spacing w:after="0" w:line="288" w:lineRule="auto"/>
        <w:rPr>
          <w:sz w:val="20"/>
          <w:szCs w:val="20"/>
          <w:color w:val="auto"/>
        </w:rPr>
      </w:pPr>
      <w:r>
        <w:rPr>
          <w:rFonts w:ascii="Arial" w:cs="Arial" w:eastAsia="Arial" w:hAnsi="Arial"/>
          <w:sz w:val="17"/>
          <w:szCs w:val="17"/>
          <w:color w:val="auto"/>
        </w:rPr>
        <w:t>The accompanying condensed consolidated financial statements are prepared in accordance with GAAP applicable to a going concern, which contemplates the realization of assets and the satisfaction of liabilities in the normal course of business.</w:t>
      </w:r>
    </w:p>
    <w:p>
      <w:pPr>
        <w:spacing w:after="0" w:line="171" w:lineRule="exact"/>
        <w:rPr>
          <w:sz w:val="20"/>
          <w:szCs w:val="20"/>
          <w:color w:val="auto"/>
        </w:rPr>
      </w:pPr>
    </w:p>
    <w:p>
      <w:pPr>
        <w:jc w:val="both"/>
        <w:ind w:right="100" w:firstLine="314"/>
        <w:spacing w:after="0" w:line="271" w:lineRule="auto"/>
        <w:rPr>
          <w:sz w:val="20"/>
          <w:szCs w:val="20"/>
          <w:color w:val="auto"/>
        </w:rPr>
      </w:pPr>
      <w:r>
        <w:rPr>
          <w:rFonts w:ascii="Arial" w:cs="Arial" w:eastAsia="Arial" w:hAnsi="Arial"/>
          <w:sz w:val="16"/>
          <w:szCs w:val="16"/>
          <w:color w:val="auto"/>
        </w:rPr>
        <w:t>In the second quarter of 2022, although the Company was in compliance with its financial covenants, it projected that it may not maintain compliance with its financial covenants under the 2020 Credit Facility, as amended (as defined in Note 9), for the quarter ended September 30, 2022 due to the impact of market conditions, including supply chain disruptions, higher costs, and other geopolitical instabilities and disputes. Failure to remain in compliance would be an event of default that would permit the Lenders (as defined in Note 9) to accelerate the maturity of the 2020 Credit Facility.</w:t>
      </w:r>
    </w:p>
    <w:p>
      <w:pPr>
        <w:spacing w:after="0" w:line="188" w:lineRule="exact"/>
        <w:rPr>
          <w:sz w:val="20"/>
          <w:szCs w:val="20"/>
          <w:color w:val="auto"/>
        </w:rPr>
      </w:pPr>
    </w:p>
    <w:p>
      <w:pPr>
        <w:ind w:right="60" w:firstLine="314"/>
        <w:spacing w:after="0" w:line="248" w:lineRule="auto"/>
        <w:rPr>
          <w:sz w:val="20"/>
          <w:szCs w:val="20"/>
          <w:color w:val="auto"/>
        </w:rPr>
      </w:pPr>
      <w:r>
        <w:rPr>
          <w:rFonts w:ascii="Arial" w:cs="Arial" w:eastAsia="Arial" w:hAnsi="Arial"/>
          <w:sz w:val="17"/>
          <w:szCs w:val="17"/>
          <w:color w:val="auto"/>
        </w:rPr>
        <w:t>Under the terms of the existing credit agreement (see Note 9), the Company is allowed, subject to certain limitations, to use a portion of the capital raised in the Equity Offering in the calculation of the covenant ratios for the quarter in which the Equity Offering was completed (quarter ended September 30, 2022) and for future calculation of the covenant ratios for which the third quarter of 2022 is included in the trailing twelve month period. As a result, the Company currently projects that it will remain in compliance with its financial covenants for at least one year from the date the condensed consolidated financial statements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36" w:lineRule="exact"/>
        <w:rPr>
          <w:sz w:val="20"/>
          <w:szCs w:val="20"/>
          <w:color w:val="auto"/>
        </w:rPr>
      </w:pPr>
    </w:p>
    <w:p>
      <w:pPr>
        <w:ind w:right="40" w:firstLine="314"/>
        <w:spacing w:after="0" w:line="267" w:lineRule="auto"/>
        <w:rPr>
          <w:sz w:val="20"/>
          <w:szCs w:val="20"/>
          <w:color w:val="auto"/>
        </w:rPr>
      </w:pPr>
      <w:r>
        <w:rPr>
          <w:rFonts w:ascii="Arial" w:cs="Arial" w:eastAsia="Arial" w:hAnsi="Arial"/>
          <w:sz w:val="17"/>
          <w:szCs w:val="17"/>
          <w:color w:val="auto"/>
        </w:rPr>
        <w:t xml:space="preserve">In March 2022, the Financial Accounting Standards Board (the "FASB") issued ASU 2022-02, </w:t>
      </w:r>
      <w:r>
        <w:rPr>
          <w:rFonts w:ascii="Arial" w:cs="Arial" w:eastAsia="Arial" w:hAnsi="Arial"/>
          <w:sz w:val="17"/>
          <w:szCs w:val="17"/>
          <w:i w:val="1"/>
          <w:iCs w:val="1"/>
          <w:color w:val="auto"/>
        </w:rPr>
        <w:t>Financial Instruments – Credit Losses (Topic 326): Troubled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Restructurings and Vintage Disclosures </w:t>
      </w:r>
      <w:r>
        <w:rPr>
          <w:rFonts w:ascii="Arial" w:cs="Arial" w:eastAsia="Arial" w:hAnsi="Arial"/>
          <w:sz w:val="17"/>
          <w:szCs w:val="17"/>
          <w:color w:val="auto"/>
        </w:rPr>
        <w:t>(“ASU 2022-02”), which eliminates the accounting guidance on troubled debt restructurings ("TDRs")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creditors in ASC 310, </w:t>
      </w:r>
      <w:r>
        <w:rPr>
          <w:rFonts w:ascii="Arial" w:cs="Arial" w:eastAsia="Arial" w:hAnsi="Arial"/>
          <w:sz w:val="17"/>
          <w:szCs w:val="17"/>
          <w:i w:val="1"/>
          <w:iCs w:val="1"/>
          <w:color w:val="auto"/>
        </w:rPr>
        <w:t>Receivables (Topic 310)</w:t>
      </w:r>
      <w:r>
        <w:rPr>
          <w:rFonts w:ascii="Arial" w:cs="Arial" w:eastAsia="Arial" w:hAnsi="Arial"/>
          <w:sz w:val="17"/>
          <w:szCs w:val="17"/>
          <w:color w:val="auto"/>
        </w:rPr>
        <w:t>, and requires entities to provide disclosures about current period gross write-offs by year of origination. Also, ASU 2022-02 updates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requirements related to accounting for credit losses under ASC 326,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and adds enhanced disclosures for creditors with respect to loan refinancings and restructurings for borrowers experiencing financial difficulty. ASU 2022-02 is effective for the Company January</w:t>
      </w:r>
    </w:p>
    <w:p>
      <w:pPr>
        <w:spacing w:after="0" w:line="1"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1, 2023, with early adoption permitted. The Company believes that the adoption of ASU 2022-02 will not have a material impact on its consolidated financial statements upon adoption.</w:t>
      </w:r>
    </w:p>
    <w:p>
      <w:pPr>
        <w:spacing w:after="0" w:line="184" w:lineRule="exact"/>
        <w:rPr>
          <w:sz w:val="20"/>
          <w:szCs w:val="20"/>
          <w:color w:val="auto"/>
        </w:rPr>
      </w:pPr>
    </w:p>
    <w:p>
      <w:pPr>
        <w:ind w:right="80" w:firstLine="314"/>
        <w:spacing w:after="0" w:line="295"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("ASU 2021-08"), which amends ASC 805,</w:t>
      </w:r>
      <w:r>
        <w:rPr>
          <w:rFonts w:ascii="Arial" w:cs="Arial" w:eastAsia="Arial" w:hAnsi="Arial"/>
          <w:sz w:val="15"/>
          <w:szCs w:val="15"/>
          <w:i w:val="1"/>
          <w:iCs w:val="1"/>
          <w:color w:val="auto"/>
        </w:rPr>
        <w:t xml:space="preserve"> Business Combinations (Topic 805)</w:t>
      </w:r>
      <w:r>
        <w:rPr>
          <w:rFonts w:ascii="Arial" w:cs="Arial" w:eastAsia="Arial" w:hAnsi="Arial"/>
          <w:sz w:val="15"/>
          <w:szCs w:val="15"/>
          <w:color w:val="auto"/>
        </w:rPr>
        <w:t>, to add contract assets and contract liabilities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list of exceptions to the recognition and measurement principles that apply to business combinations and to require that an acquiring entity recognize and measure contract assets and contract liabilities acquired in a business combination in accordance with ASC 606, </w:t>
      </w:r>
      <w:r>
        <w:rPr>
          <w:rFonts w:ascii="Arial" w:cs="Arial" w:eastAsia="Arial" w:hAnsi="Arial"/>
          <w:sz w:val="15"/>
          <w:szCs w:val="15"/>
          <w:i w:val="1"/>
          <w:iCs w:val="1"/>
          <w:color w:val="auto"/>
        </w:rPr>
        <w:t>Revenue from Contracts with Customers (Topic</w:t>
      </w:r>
    </w:p>
    <w:p>
      <w:pPr>
        <w:ind w:firstLine="5"/>
        <w:spacing w:after="0" w:line="260" w:lineRule="auto"/>
        <w:tabs>
          <w:tab w:leader="none" w:pos="363"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 xml:space="preserve">("ASC 606"). Under current GAAP, an acquirer generally recognizes such items at fair value on the acquisition date. While primarily related to contract assets and contract liabilities that were accounted for by the acquiree in accordance with ASC 606, ASU 2021-08 also applies to contract assets and contract liabilities from other contracts to which the provisions of ASC 606 apply, such as contract liabilities from the sale of nonfinancial assets within the scope of ASU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ASU 2021-08 is effective for the Company January 1, 2023, with early adoption permitted. The Company believes that the adoption of ASU 2021-08 could have a material impact on its consolidated financial statements for periods including and subsequent to significant business acquisitions.</w:t>
      </w:r>
    </w:p>
    <w:p>
      <w:pPr>
        <w:spacing w:after="0" w:line="207" w:lineRule="exact"/>
        <w:rPr>
          <w:sz w:val="20"/>
          <w:szCs w:val="20"/>
          <w:color w:val="auto"/>
        </w:rPr>
      </w:pPr>
    </w:p>
    <w:p>
      <w:pPr>
        <w:ind w:right="80" w:firstLine="314"/>
        <w:spacing w:after="0" w:line="280" w:lineRule="auto"/>
        <w:rPr>
          <w:sz w:val="20"/>
          <w:szCs w:val="20"/>
          <w:color w:val="auto"/>
        </w:rPr>
      </w:pPr>
      <w:r>
        <w:rPr>
          <w:rFonts w:ascii="Arial" w:cs="Arial" w:eastAsia="Arial" w:hAnsi="Arial"/>
          <w:sz w:val="16"/>
          <w:szCs w:val="16"/>
          <w:color w:val="auto"/>
        </w:rPr>
        <w:t xml:space="preserve">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("ASU 2021-01"), which refines the scope of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and clarifies some of its guidance as part of the FASB's monitoring of global reference rate reform activities. ASU 2021-01 permits</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to elect certain optional expedients and exceptions when accounting for derivative contracts and certain hedging relationships affected by changes in the interest rates used for discounting cash flows, for computing variation margin settlements, and for calculating price alignment interest in connection with reference rate reform activities under way in global financial markets (the "discounting transition"). ASU 2021-01 is effective for the Company prospectively in any period through December 31, 2022 that a modification is made to the terms of the derivatives affected by the discounting transition. The adoption of ASU 2021-01 did not have a material impact on the Company's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EARNINGS (LOSS) PER SHARE</w:t>
      </w:r>
    </w:p>
    <w:p>
      <w:pPr>
        <w:spacing w:after="0" w:line="255" w:lineRule="exact"/>
        <w:rPr>
          <w:sz w:val="20"/>
          <w:szCs w:val="20"/>
          <w:color w:val="auto"/>
        </w:rPr>
      </w:pPr>
    </w:p>
    <w:p>
      <w:pPr>
        <w:ind w:right="180" w:firstLine="314"/>
        <w:spacing w:after="0" w:line="272" w:lineRule="auto"/>
        <w:rPr>
          <w:sz w:val="20"/>
          <w:szCs w:val="20"/>
          <w:color w:val="auto"/>
        </w:rPr>
      </w:pPr>
      <w:r>
        <w:rPr>
          <w:rFonts w:ascii="Arial" w:cs="Arial" w:eastAsia="Arial" w:hAnsi="Arial"/>
          <w:sz w:val="17"/>
          <w:szCs w:val="17"/>
          <w:color w:val="auto"/>
        </w:rPr>
        <w:t>Basic earnings (loss) per share is computed by dividing net income (loss) by the weighted average number of shares outstanding during the period. For periods in which the Company reports net income, diluted net earnings per share is determined by using the weighted average number of common and dilutive common equivalent shares outstanding during the period, unless the effect is antidilutive.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calculations of shares used to compute diluted earnings (loss) per share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298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127"/>
        </w:trPr>
        <w:tc>
          <w:tcPr>
            <w:tcW w:w="5520" w:type="dxa"/>
            <w:vAlign w:val="bottom"/>
          </w:tcPr>
          <w:p>
            <w:pPr>
              <w:spacing w:after="0"/>
              <w:rPr>
                <w:sz w:val="11"/>
                <w:szCs w:val="11"/>
                <w:color w:val="auto"/>
              </w:rPr>
            </w:pPr>
          </w:p>
        </w:tc>
        <w:tc>
          <w:tcPr>
            <w:tcW w:w="1420" w:type="dxa"/>
            <w:vAlign w:val="bottom"/>
            <w:tcBorders>
              <w:top w:val="single" w:sz="8" w:color="auto"/>
            </w:tcBorders>
            <w:gridSpan w:val="2"/>
          </w:tcPr>
          <w:p>
            <w:pPr>
              <w:ind w:left="240"/>
              <w:spacing w:after="0" w:line="127"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jc w:val="right"/>
              <w:ind w:right="160"/>
              <w:spacing w:after="0" w:line="12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1"/>
                <w:szCs w:val="11"/>
                <w:color w:val="auto"/>
              </w:rPr>
            </w:pPr>
          </w:p>
        </w:tc>
        <w:tc>
          <w:tcPr>
            <w:tcW w:w="1420" w:type="dxa"/>
            <w:vAlign w:val="bottom"/>
            <w:tcBorders>
              <w:top w:val="single" w:sz="8" w:color="auto"/>
            </w:tcBorders>
            <w:gridSpan w:val="2"/>
          </w:tcPr>
          <w:p>
            <w:pPr>
              <w:ind w:left="240"/>
              <w:spacing w:after="0" w:line="127"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jc w:val="right"/>
              <w:ind w:right="160"/>
              <w:spacing w:after="0" w:line="127" w:lineRule="exact"/>
              <w:rPr>
                <w:sz w:val="20"/>
                <w:szCs w:val="20"/>
                <w:color w:val="auto"/>
              </w:rPr>
            </w:pPr>
            <w:r>
              <w:rPr>
                <w:rFonts w:ascii="Arial" w:cs="Arial" w:eastAsia="Arial" w:hAnsi="Arial"/>
                <w:sz w:val="14"/>
                <w:szCs w:val="14"/>
                <w:b w:val="1"/>
                <w:bCs w:val="1"/>
                <w:color w:val="auto"/>
              </w:rPr>
              <w:t>September 30,</w:t>
            </w:r>
          </w:p>
        </w:tc>
      </w:tr>
      <w:tr>
        <w:trPr>
          <w:trHeight w:val="187"/>
        </w:trPr>
        <w:tc>
          <w:tcPr>
            <w:tcW w:w="55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basic</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158,921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148,184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152,795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147,204</w:t>
            </w: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Potential dilutive common shares</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diluted</w:t>
            </w: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158,921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148,184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152,795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147,204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20" w:firstLine="314"/>
        <w:spacing w:after="0" w:line="264" w:lineRule="auto"/>
        <w:rPr>
          <w:sz w:val="20"/>
          <w:szCs w:val="20"/>
          <w:color w:val="auto"/>
        </w:rPr>
      </w:pPr>
      <w:r>
        <w:rPr>
          <w:rFonts w:ascii="Arial" w:cs="Arial" w:eastAsia="Arial" w:hAnsi="Arial"/>
          <w:sz w:val="17"/>
          <w:szCs w:val="17"/>
          <w:color w:val="auto"/>
        </w:rPr>
        <w:t>Options to purchase the Company's common stock and unvested restricted and performance-based stock units aggregating 14.4 million shares have not been included in the computation of loss per share for the three and nine months ended September 30, 2022 because their effect would have been antidilutive. Options to purchase the Company's common stock and unvested restricted and performance-based stock awards and stock units aggregating 10.9 million shares have not been included in the computation of diluted loss per share for the three and nine months ended September 30, 2021 because their effect would have been antidilutive.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INVENTORY</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Inventory at September 30, 2022 and December 31, 2021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78"/>
              <w:spacing w:after="0"/>
              <w:rPr>
                <w:sz w:val="20"/>
                <w:szCs w:val="20"/>
                <w:color w:val="auto"/>
              </w:rPr>
            </w:pPr>
            <w:r>
              <w:rPr>
                <w:rFonts w:ascii="Arial" w:cs="Arial" w:eastAsia="Arial" w:hAnsi="Arial"/>
                <w:sz w:val="14"/>
                <w:szCs w:val="14"/>
                <w:b w:val="1"/>
                <w:bCs w:val="1"/>
                <w:color w:val="auto"/>
                <w:w w:val="94"/>
              </w:rPr>
              <w:t>December 31,</w:t>
            </w:r>
          </w:p>
        </w:tc>
      </w:tr>
      <w:tr>
        <w:trPr>
          <w:trHeight w:val="189"/>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On-hand final assemblies and finished goods 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57,360</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cost of goods sold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w:t>
            </w:r>
          </w:p>
        </w:tc>
      </w:tr>
      <w:tr>
        <w:trPr>
          <w:trHeight w:val="215"/>
        </w:trPr>
        <w:tc>
          <w:tcPr>
            <w:tcW w:w="8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58,834</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noncurrent portion (included in other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(4,791)</w:t>
            </w:r>
          </w:p>
        </w:tc>
      </w:tr>
      <w:tr>
        <w:trPr>
          <w:trHeight w:val="24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54,043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INTANGIBLE ASSETS AND GOODWILL</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intangible assets at September 30, 2022 and December 31, 2021 consisted of the following (in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0"/>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2022</w:t>
            </w:r>
          </w:p>
        </w:tc>
        <w:tc>
          <w:tcPr>
            <w:tcW w:w="14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2"/>
              </w:rPr>
              <w:t>amortization period</w:t>
            </w:r>
          </w:p>
        </w:tc>
        <w:tc>
          <w:tcPr>
            <w:tcW w:w="28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20" w:type="dxa"/>
            <w:vAlign w:val="bottom"/>
            <w:gridSpan w:val="3"/>
            <w:vMerge w:val="continue"/>
          </w:tcPr>
          <w:p>
            <w:pPr>
              <w:spacing w:after="0"/>
              <w:rPr>
                <w:sz w:val="12"/>
                <w:szCs w:val="12"/>
                <w:color w:val="auto"/>
              </w:rPr>
            </w:pPr>
          </w:p>
        </w:tc>
        <w:tc>
          <w:tcPr>
            <w:tcW w:w="142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80"/>
              <w:spacing w:after="0" w:line="124"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1060" w:type="dxa"/>
            <w:vAlign w:val="bottom"/>
          </w:tcPr>
          <w:p>
            <w:pPr>
              <w:jc w:val="center"/>
              <w:ind w:right="77"/>
              <w:spacing w:after="0" w:line="124" w:lineRule="exact"/>
              <w:rPr>
                <w:sz w:val="20"/>
                <w:szCs w:val="20"/>
                <w:color w:val="auto"/>
              </w:rPr>
            </w:pPr>
            <w:r>
              <w:rPr>
                <w:rFonts w:ascii="Arial" w:cs="Arial" w:eastAsia="Arial" w:hAnsi="Arial"/>
                <w:sz w:val="14"/>
                <w:szCs w:val="14"/>
                <w:b w:val="1"/>
                <w:bCs w:val="1"/>
                <w:color w:val="auto"/>
                <w:w w:val="90"/>
              </w:rPr>
              <w:t>carrying value</w:t>
            </w:r>
          </w:p>
        </w:tc>
        <w:tc>
          <w:tcPr>
            <w:tcW w:w="0" w:type="dxa"/>
            <w:vAlign w:val="bottom"/>
          </w:tcPr>
          <w:p>
            <w:pPr>
              <w:spacing w:after="0"/>
              <w:rPr>
                <w:sz w:val="1"/>
                <w:szCs w:val="1"/>
                <w:color w:val="auto"/>
              </w:rPr>
            </w:pPr>
          </w:p>
        </w:tc>
      </w:tr>
      <w:tr>
        <w:trPr>
          <w:trHeight w:val="32"/>
        </w:trPr>
        <w:tc>
          <w:tcPr>
            <w:tcW w:w="114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In-process research and development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7"/>
                <w:szCs w:val="17"/>
                <w:color w:val="auto"/>
              </w:rPr>
              <w:t>Developed technology</w:t>
            </w:r>
          </w:p>
        </w:tc>
        <w:tc>
          <w:tcPr>
            <w:tcW w:w="1320" w:type="dxa"/>
            <w:vAlign w:val="bottom"/>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306,380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101,186</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168,895</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7"/>
                <w:szCs w:val="17"/>
                <w:color w:val="auto"/>
              </w:rPr>
              <w:t>Trade names</w:t>
            </w:r>
          </w:p>
        </w:tc>
        <w:tc>
          <w:tcPr>
            <w:tcW w:w="132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Software licenses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5,064</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9.12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618,706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309,009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309,697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0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4"/>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14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2"/>
              </w:rPr>
              <w:t>amortization period</w:t>
            </w:r>
          </w:p>
        </w:tc>
        <w:tc>
          <w:tcPr>
            <w:tcW w:w="28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20" w:type="dxa"/>
            <w:vAlign w:val="bottom"/>
            <w:gridSpan w:val="3"/>
            <w:vMerge w:val="continue"/>
          </w:tcPr>
          <w:p>
            <w:pPr>
              <w:spacing w:after="0"/>
              <w:rPr>
                <w:sz w:val="12"/>
                <w:szCs w:val="12"/>
                <w:color w:val="auto"/>
              </w:rPr>
            </w:pPr>
          </w:p>
        </w:tc>
        <w:tc>
          <w:tcPr>
            <w:tcW w:w="14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80"/>
              <w:spacing w:after="0" w:line="144"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1060" w:type="dxa"/>
            <w:vAlign w:val="bottom"/>
          </w:tcPr>
          <w:p>
            <w:pPr>
              <w:jc w:val="center"/>
              <w:ind w:right="77"/>
              <w:spacing w:after="0" w:line="144" w:lineRule="exact"/>
              <w:rPr>
                <w:sz w:val="20"/>
                <w:szCs w:val="20"/>
                <w:color w:val="auto"/>
              </w:rPr>
            </w:pPr>
            <w:r>
              <w:rPr>
                <w:rFonts w:ascii="Arial" w:cs="Arial" w:eastAsia="Arial" w:hAnsi="Arial"/>
                <w:sz w:val="14"/>
                <w:szCs w:val="14"/>
                <w:b w:val="1"/>
                <w:bCs w:val="1"/>
                <w:color w:val="auto"/>
                <w:w w:val="90"/>
              </w:rPr>
              <w:t>carrying value</w:t>
            </w:r>
          </w:p>
        </w:tc>
        <w:tc>
          <w:tcPr>
            <w:tcW w:w="0" w:type="dxa"/>
            <w:vAlign w:val="bottom"/>
          </w:tcPr>
          <w:p>
            <w:pPr>
              <w:spacing w:after="0"/>
              <w:rPr>
                <w:sz w:val="1"/>
                <w:szCs w:val="1"/>
                <w:color w:val="auto"/>
              </w:rPr>
            </w:pPr>
          </w:p>
        </w:tc>
      </w:tr>
      <w:tr>
        <w:trPr>
          <w:trHeight w:val="32"/>
        </w:trPr>
        <w:tc>
          <w:tcPr>
            <w:tcW w:w="114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In-process research and development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7"/>
                <w:szCs w:val="17"/>
                <w:color w:val="auto"/>
              </w:rPr>
              <w:t>Developed technology</w:t>
            </w:r>
          </w:p>
        </w:tc>
        <w:tc>
          <w:tcPr>
            <w:tcW w:w="1320" w:type="dxa"/>
            <w:vAlign w:val="bottom"/>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306,380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181,393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124,987</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190,487</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7"/>
                <w:szCs w:val="17"/>
                <w:color w:val="auto"/>
              </w:rPr>
              <w:t>Trade names</w:t>
            </w:r>
          </w:p>
        </w:tc>
        <w:tc>
          <w:tcPr>
            <w:tcW w:w="132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1,256</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614,250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263,520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350,730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360" w:firstLine="5"/>
        <w:spacing w:after="0" w:line="288" w:lineRule="auto"/>
        <w:tabs>
          <w:tab w:leader="none" w:pos="131"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in-process research and development intangible asset has an indefinite life until the product is generally available, at which time such asset is typically reclassified to developed technology.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Estimated future amortization expense for the Company's intangible assets at September 30, 2022 was as follows (in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2022</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14,970</w:t>
            </w:r>
          </w:p>
        </w:tc>
      </w:tr>
      <w:tr>
        <w:trPr>
          <w:trHeight w:val="222"/>
        </w:trPr>
        <w:tc>
          <w:tcPr>
            <w:tcW w:w="1640" w:type="dxa"/>
            <w:vAlign w:val="bottom"/>
            <w:gridSpan w:val="2"/>
          </w:tcPr>
          <w:p>
            <w:pPr>
              <w:ind w:left="20"/>
              <w:spacing w:after="0"/>
              <w:rPr>
                <w:sz w:val="20"/>
                <w:szCs w:val="20"/>
                <w:color w:val="auto"/>
              </w:rPr>
            </w:pPr>
            <w:r>
              <w:rPr>
                <w:rFonts w:ascii="Arial" w:cs="Arial" w:eastAsia="Arial" w:hAnsi="Arial"/>
                <w:sz w:val="17"/>
                <w:szCs w:val="17"/>
                <w:color w:val="auto"/>
              </w:rPr>
              <w:t>2023</w:t>
            </w:r>
          </w:p>
        </w:tc>
        <w:tc>
          <w:tcPr>
            <w:tcW w:w="8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56,881</w:t>
            </w:r>
          </w:p>
        </w:tc>
      </w:tr>
      <w:tr>
        <w:trPr>
          <w:trHeight w:val="222"/>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50,717</w:t>
            </w:r>
          </w:p>
        </w:tc>
      </w:tr>
      <w:tr>
        <w:trPr>
          <w:trHeight w:val="222"/>
        </w:trPr>
        <w:tc>
          <w:tcPr>
            <w:tcW w:w="164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8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44,005</w:t>
            </w:r>
          </w:p>
        </w:tc>
      </w:tr>
      <w:tr>
        <w:trPr>
          <w:trHeight w:val="222"/>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38,965</w:t>
            </w:r>
          </w:p>
        </w:tc>
      </w:tr>
      <w:tr>
        <w:trPr>
          <w:trHeight w:val="222"/>
        </w:trPr>
        <w:tc>
          <w:tcPr>
            <w:tcW w:w="164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8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33,936</w:t>
            </w:r>
          </w:p>
        </w:tc>
      </w:tr>
      <w:tr>
        <w:trPr>
          <w:trHeight w:val="222"/>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70,223</w:t>
            </w:r>
          </w:p>
        </w:tc>
      </w:tr>
      <w:tr>
        <w:trPr>
          <w:trHeight w:val="215"/>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309,697</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On August 29, 2022, the Company acquired perpetual software licenses from American Virtual Cloud Technologies, Inc. ("AVCT") for $4.4 million (see Note 5).</w:t>
      </w:r>
    </w:p>
    <w:p>
      <w:pPr>
        <w:spacing w:after="0" w:line="119" w:lineRule="exact"/>
        <w:rPr>
          <w:sz w:val="20"/>
          <w:szCs w:val="20"/>
          <w:color w:val="auto"/>
        </w:rPr>
      </w:pPr>
    </w:p>
    <w:p>
      <w:pPr>
        <w:ind w:right="540" w:firstLine="314"/>
        <w:spacing w:after="0" w:line="288" w:lineRule="auto"/>
        <w:rPr>
          <w:sz w:val="20"/>
          <w:szCs w:val="20"/>
          <w:color w:val="auto"/>
        </w:rPr>
      </w:pPr>
      <w:r>
        <w:rPr>
          <w:rFonts w:ascii="Arial" w:cs="Arial" w:eastAsia="Arial" w:hAnsi="Arial"/>
          <w:sz w:val="17"/>
          <w:szCs w:val="17"/>
          <w:color w:val="auto"/>
        </w:rPr>
        <w:t>There were no changes to the carrying value of the Company's goodwill in the nine months ended September 30, 2022 and 2021. The components of goodwill at September 30, 2022 and 2021 were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IP Optical Networks</w:t>
            </w:r>
          </w:p>
        </w:tc>
        <w:tc>
          <w:tcPr>
            <w:tcW w:w="300" w:type="dxa"/>
            <w:vAlign w:val="bottom"/>
          </w:tcPr>
          <w:p>
            <w:pPr>
              <w:spacing w:after="0"/>
              <w:rPr>
                <w:sz w:val="15"/>
                <w:szCs w:val="15"/>
                <w:color w:val="auto"/>
              </w:rPr>
            </w:pP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r>
      <w:tr>
        <w:trPr>
          <w:trHeight w:val="2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2"/>
        </w:trPr>
        <w:tc>
          <w:tcPr>
            <w:tcW w:w="7080" w:type="dxa"/>
            <w:vAlign w:val="bottom"/>
          </w:tcPr>
          <w:p>
            <w:pPr>
              <w:ind w:left="100"/>
              <w:spacing w:after="0"/>
              <w:rPr>
                <w:sz w:val="20"/>
                <w:szCs w:val="20"/>
                <w:color w:val="auto"/>
              </w:rPr>
            </w:pPr>
            <w:r>
              <w:rPr>
                <w:rFonts w:ascii="Arial" w:cs="Arial" w:eastAsia="Arial" w:hAnsi="Arial"/>
                <w:sz w:val="17"/>
                <w:szCs w:val="17"/>
                <w:color w:val="auto"/>
              </w:rPr>
              <w:t>Goodwill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center"/>
              <w:ind w:left="375"/>
              <w:spacing w:after="0"/>
              <w:rPr>
                <w:sz w:val="20"/>
                <w:szCs w:val="20"/>
                <w:color w:val="auto"/>
              </w:rPr>
            </w:pPr>
            <w:r>
              <w:rPr>
                <w:rFonts w:ascii="Arial" w:cs="Arial" w:eastAsia="Arial" w:hAnsi="Arial"/>
                <w:sz w:val="17"/>
                <w:szCs w:val="17"/>
                <w:color w:val="auto"/>
                <w:w w:val="91"/>
              </w:rPr>
              <w:t>392,302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191,996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center"/>
              <w:ind w:left="235"/>
              <w:spacing w:after="0"/>
              <w:rPr>
                <w:sz w:val="20"/>
                <w:szCs w:val="20"/>
                <w:color w:val="auto"/>
              </w:rPr>
            </w:pPr>
            <w:r>
              <w:rPr>
                <w:rFonts w:ascii="Arial" w:cs="Arial" w:eastAsia="Arial" w:hAnsi="Arial"/>
                <w:sz w:val="17"/>
                <w:szCs w:val="17"/>
                <w:color w:val="auto"/>
                <w:w w:val="94"/>
              </w:rPr>
              <w:t>584,298</w:t>
            </w:r>
          </w:p>
        </w:tc>
      </w:tr>
      <w:tr>
        <w:trPr>
          <w:trHeight w:val="222"/>
        </w:trPr>
        <w:tc>
          <w:tcPr>
            <w:tcW w:w="70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Accumulated impairment losses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7"/>
                <w:szCs w:val="17"/>
                <w:color w:val="auto"/>
                <w:w w:val="93"/>
              </w:rPr>
              <w:t>(167,406)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7"/>
                <w:szCs w:val="17"/>
                <w:color w:val="auto"/>
                <w:w w:val="93"/>
              </w:rPr>
              <w:t>(283,406)</w:t>
            </w:r>
          </w:p>
        </w:tc>
      </w:tr>
      <w:tr>
        <w:trPr>
          <w:trHeight w:val="215"/>
        </w:trPr>
        <w:tc>
          <w:tcPr>
            <w:tcW w:w="70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center"/>
              <w:ind w:left="375"/>
              <w:spacing w:after="0"/>
              <w:rPr>
                <w:sz w:val="20"/>
                <w:szCs w:val="20"/>
                <w:color w:val="auto"/>
              </w:rPr>
            </w:pPr>
            <w:r>
              <w:rPr>
                <w:rFonts w:ascii="Arial" w:cs="Arial" w:eastAsia="Arial" w:hAnsi="Arial"/>
                <w:sz w:val="17"/>
                <w:szCs w:val="17"/>
                <w:color w:val="auto"/>
                <w:w w:val="91"/>
              </w:rPr>
              <w:t>224,896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75,996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center"/>
              <w:ind w:left="235"/>
              <w:spacing w:after="0"/>
              <w:rPr>
                <w:sz w:val="20"/>
                <w:szCs w:val="20"/>
                <w:color w:val="auto"/>
              </w:rPr>
            </w:pPr>
            <w:r>
              <w:rPr>
                <w:rFonts w:ascii="Arial" w:cs="Arial" w:eastAsia="Arial" w:hAnsi="Arial"/>
                <w:sz w:val="17"/>
                <w:szCs w:val="17"/>
                <w:color w:val="auto"/>
                <w:w w:val="94"/>
              </w:rPr>
              <w:t>300,892</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7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Balance at September 30, 2021</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2"/>
        </w:trPr>
        <w:tc>
          <w:tcPr>
            <w:tcW w:w="7080" w:type="dxa"/>
            <w:vAlign w:val="bottom"/>
          </w:tcPr>
          <w:p>
            <w:pPr>
              <w:ind w:left="100"/>
              <w:spacing w:after="0"/>
              <w:rPr>
                <w:sz w:val="20"/>
                <w:szCs w:val="20"/>
                <w:color w:val="auto"/>
              </w:rPr>
            </w:pPr>
            <w:r>
              <w:rPr>
                <w:rFonts w:ascii="Arial" w:cs="Arial" w:eastAsia="Arial" w:hAnsi="Arial"/>
                <w:sz w:val="17"/>
                <w:szCs w:val="17"/>
                <w:color w:val="auto"/>
              </w:rPr>
              <w:t>Goodwill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center"/>
              <w:ind w:left="375"/>
              <w:spacing w:after="0"/>
              <w:rPr>
                <w:sz w:val="20"/>
                <w:szCs w:val="20"/>
                <w:color w:val="auto"/>
              </w:rPr>
            </w:pPr>
            <w:r>
              <w:rPr>
                <w:rFonts w:ascii="Arial" w:cs="Arial" w:eastAsia="Arial" w:hAnsi="Arial"/>
                <w:sz w:val="17"/>
                <w:szCs w:val="17"/>
                <w:color w:val="auto"/>
                <w:w w:val="91"/>
              </w:rPr>
              <w:t>392,302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191,996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center"/>
              <w:ind w:left="235"/>
              <w:spacing w:after="0"/>
              <w:rPr>
                <w:sz w:val="20"/>
                <w:szCs w:val="20"/>
                <w:color w:val="auto"/>
              </w:rPr>
            </w:pPr>
            <w:r>
              <w:rPr>
                <w:rFonts w:ascii="Arial" w:cs="Arial" w:eastAsia="Arial" w:hAnsi="Arial"/>
                <w:sz w:val="17"/>
                <w:szCs w:val="17"/>
                <w:color w:val="auto"/>
                <w:w w:val="94"/>
              </w:rPr>
              <w:t>584,298</w:t>
            </w:r>
          </w:p>
        </w:tc>
      </w:tr>
      <w:tr>
        <w:trPr>
          <w:trHeight w:val="222"/>
        </w:trPr>
        <w:tc>
          <w:tcPr>
            <w:tcW w:w="70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Accumulated impairment losses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35"/>
              <w:spacing w:after="0"/>
              <w:rPr>
                <w:sz w:val="20"/>
                <w:szCs w:val="20"/>
                <w:color w:val="auto"/>
              </w:rPr>
            </w:pPr>
            <w:r>
              <w:rPr>
                <w:rFonts w:ascii="Arial" w:cs="Arial" w:eastAsia="Arial" w:hAnsi="Arial"/>
                <w:sz w:val="17"/>
                <w:szCs w:val="17"/>
                <w:color w:val="auto"/>
                <w:w w:val="93"/>
              </w:rPr>
              <w:t>(167,406)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15"/>
              <w:spacing w:after="0"/>
              <w:rPr>
                <w:sz w:val="20"/>
                <w:szCs w:val="20"/>
                <w:color w:val="auto"/>
              </w:rPr>
            </w:pPr>
            <w:r>
              <w:rPr>
                <w:rFonts w:ascii="Arial" w:cs="Arial" w:eastAsia="Arial" w:hAnsi="Arial"/>
                <w:sz w:val="17"/>
                <w:szCs w:val="17"/>
                <w:color w:val="auto"/>
                <w:w w:val="93"/>
              </w:rPr>
              <w:t>(167,406)</w:t>
            </w:r>
          </w:p>
        </w:tc>
      </w:tr>
      <w:tr>
        <w:trPr>
          <w:trHeight w:val="215"/>
        </w:trPr>
        <w:tc>
          <w:tcPr>
            <w:tcW w:w="70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center"/>
              <w:ind w:left="375"/>
              <w:spacing w:after="0"/>
              <w:rPr>
                <w:sz w:val="20"/>
                <w:szCs w:val="20"/>
                <w:color w:val="auto"/>
              </w:rPr>
            </w:pPr>
            <w:r>
              <w:rPr>
                <w:rFonts w:ascii="Arial" w:cs="Arial" w:eastAsia="Arial" w:hAnsi="Arial"/>
                <w:sz w:val="17"/>
                <w:szCs w:val="17"/>
                <w:color w:val="auto"/>
                <w:w w:val="91"/>
              </w:rPr>
              <w:t>224,896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191,996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center"/>
              <w:ind w:left="235"/>
              <w:spacing w:after="0"/>
              <w:rPr>
                <w:sz w:val="20"/>
                <w:szCs w:val="20"/>
                <w:color w:val="auto"/>
              </w:rPr>
            </w:pPr>
            <w:r>
              <w:rPr>
                <w:rFonts w:ascii="Arial" w:cs="Arial" w:eastAsia="Arial" w:hAnsi="Arial"/>
                <w:sz w:val="17"/>
                <w:szCs w:val="17"/>
                <w:color w:val="auto"/>
                <w:w w:val="94"/>
              </w:rPr>
              <w:t>416,892</w:t>
            </w: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 AND FAIR VALUE HIERARCHY</w:t>
      </w:r>
    </w:p>
    <w:p>
      <w:pPr>
        <w:spacing w:after="0" w:line="255" w:lineRule="exact"/>
        <w:rPr>
          <w:sz w:val="20"/>
          <w:szCs w:val="20"/>
          <w:color w:val="auto"/>
        </w:rPr>
      </w:pPr>
    </w:p>
    <w:p>
      <w:pPr>
        <w:ind w:right="160" w:firstLine="314"/>
        <w:spacing w:after="0" w:line="260" w:lineRule="auto"/>
        <w:rPr>
          <w:sz w:val="20"/>
          <w:szCs w:val="20"/>
          <w:color w:val="auto"/>
        </w:rPr>
      </w:pPr>
      <w:r>
        <w:rPr>
          <w:rFonts w:ascii="Arial" w:cs="Arial" w:eastAsia="Arial" w:hAnsi="Arial"/>
          <w:sz w:val="17"/>
          <w:szCs w:val="17"/>
          <w:color w:val="auto"/>
        </w:rPr>
        <w:t>The Company received debentures and warrants as sale consideration in connection with the sale of its Kandy Communications Business on December 1, 2020 to AVCT. The debentures bore interest at a rate of 10% per annum (the "Debentures"), which was added to the principal amount of the Debentures. The Company recorded $0.9 million and $3.6 million of interest income in the three and nine months ended September 30, 2021, which was added to the principal amount of the Debentures, and which is included in Interest expense, net, in the condensed consolidated statement of operations. On September 8, 2021 (the "Debenture Conversion Date"), the debentures were converted into 13,700,421 shares of AVCT common stock (the "Debenture Shares"). The warrants entitled the Company to purchase 4,377,800 shares of AVCT common stock at an exercise price of $0.01 per share, and were to expire on December 1, 2025 (the "Warrants"). The Company's investment in AVCT (the "AVCT Investment") was comprised of the Debentures and Warrants for periods prior to the Debenture Conversion Date and the Debenture Shares and Warrants for periods subsequent to the Debenture Conversion Date. The Company recorded the AVCT Investment at fair value, with changes in fair value recorded as a component of Other (expense) income, net, in the condensed consolidated statements of operations.</w:t>
      </w:r>
    </w:p>
    <w:p>
      <w:pPr>
        <w:spacing w:after="0" w:line="209" w:lineRule="exact"/>
        <w:rPr>
          <w:sz w:val="20"/>
          <w:szCs w:val="20"/>
          <w:color w:val="auto"/>
        </w:rPr>
      </w:pPr>
    </w:p>
    <w:p>
      <w:pPr>
        <w:ind w:right="160" w:firstLine="314"/>
        <w:spacing w:after="0" w:line="280" w:lineRule="auto"/>
        <w:rPr>
          <w:sz w:val="20"/>
          <w:szCs w:val="20"/>
          <w:color w:val="auto"/>
        </w:rPr>
      </w:pPr>
      <w:r>
        <w:rPr>
          <w:rFonts w:ascii="Arial" w:cs="Arial" w:eastAsia="Arial" w:hAnsi="Arial"/>
          <w:sz w:val="16"/>
          <w:szCs w:val="16"/>
          <w:color w:val="auto"/>
        </w:rPr>
        <w:t>On August 29, 2022, the Company and AVCT entered into a settlement agreement which provided for, amongst other things, the cancellation of the Company's investment in the Debenture Shares and the Warrants with an aggregate fair value of $2.6 million. Pursuant to the settlement agreements, the Company and AVCT also entered into a Wind Down Agreement, pursuant to which a Reseller Agreement between the parties, as previously amended, was terminated, and the Company was granted a non-exclusive perpetual license to use and modify certain intellectual property owned by AVCT comprising WebRTC gateway technology that is integrated with Ribbon’s SBCs and Application Servers. As consideration, the Company paid AVCT $2.5 million in cash, the Debenture Shares were redeemed and canceled, and the Warrants were terminated and canceled. The perpetual license granted by AVCT is classified as Intangible assets, net in the Company's condensed consolidated balance sheet as of September 30, 2022 in the amount of $4.4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314"/>
        <w:spacing w:after="0" w:line="282" w:lineRule="auto"/>
        <w:rPr>
          <w:sz w:val="20"/>
          <w:szCs w:val="20"/>
          <w:color w:val="auto"/>
        </w:rPr>
      </w:pPr>
      <w:r>
        <w:rPr>
          <w:rFonts w:ascii="Arial" w:cs="Arial" w:eastAsia="Arial" w:hAnsi="Arial"/>
          <w:sz w:val="16"/>
          <w:szCs w:val="16"/>
          <w:color w:val="auto"/>
        </w:rPr>
        <w:t>The fair value of the AVCT Investment, which was reported as an Investment in the Company's condensed consolidated balance sheet, was $43.9 million December 31, 2021. The Company had no investment in AVCT as of September 30, 2022 due to the settlement agreement entered into on August 29, 2022. The Company recorded losses of $1.9 million and $41.3 million in the three and nine months ended September 30, 2022, respectively, representing the change in the fair value of the AVCT Investment. The Company recorded losses of $56.5 million and $68.3 million in the three and nine months ended September 30, 2021, respectively, representing the change in the fair value of the AVCT Investment, which was partially offset by the paid-in-kind interest income described above. The AVCT Investment is classified as a Level 1 fair value measurement at December 31, 2021.</w:t>
      </w:r>
    </w:p>
    <w:p>
      <w:pPr>
        <w:spacing w:after="0" w:line="193" w:lineRule="exact"/>
        <w:rPr>
          <w:sz w:val="20"/>
          <w:szCs w:val="20"/>
          <w:color w:val="auto"/>
        </w:rPr>
      </w:pPr>
    </w:p>
    <w:p>
      <w:pPr>
        <w:ind w:firstLine="314"/>
        <w:spacing w:after="0" w:line="267" w:lineRule="auto"/>
        <w:rPr>
          <w:sz w:val="20"/>
          <w:szCs w:val="20"/>
          <w:color w:val="auto"/>
        </w:rPr>
      </w:pPr>
      <w:r>
        <w:rPr>
          <w:rFonts w:ascii="Arial" w:cs="Arial" w:eastAsia="Arial" w:hAnsi="Arial"/>
          <w:sz w:val="17"/>
          <w:szCs w:val="17"/>
          <w:color w:val="auto"/>
        </w:rPr>
        <w:t>The Company evaluated the nature of the AVCT Investment at December 31, 2021, and determined that it represented an equity interest on a diluted basis of approximately 15%. The Company determined that it was not the primary beneficiary of AVCT as it did not have the power to direct the activities that most significantly impact the AVCT Investment's economic performance, and therefore concluded that the Company had neither significant influence nor a controlling interest arising from the AVCT Investment that would require consolidation as of December 31, 2021.</w:t>
      </w:r>
    </w:p>
    <w:p>
      <w:pPr>
        <w:spacing w:after="0" w:line="202" w:lineRule="exact"/>
        <w:rPr>
          <w:sz w:val="20"/>
          <w:szCs w:val="20"/>
          <w:color w:val="auto"/>
        </w:rPr>
      </w:pPr>
    </w:p>
    <w:p>
      <w:pPr>
        <w:ind w:right="80" w:firstLine="314"/>
        <w:spacing w:after="0" w:line="288" w:lineRule="auto"/>
        <w:rPr>
          <w:sz w:val="20"/>
          <w:szCs w:val="20"/>
          <w:color w:val="auto"/>
        </w:rPr>
      </w:pPr>
      <w:r>
        <w:rPr>
          <w:rFonts w:ascii="Arial" w:cs="Arial" w:eastAsia="Arial" w:hAnsi="Arial"/>
          <w:sz w:val="17"/>
          <w:szCs w:val="17"/>
          <w:color w:val="auto"/>
        </w:rPr>
        <w:t>The carrying amounts of the Company's financial instruments approximate their fair values and include cash equivalents, accounts receivable, and accounts payable.</w:t>
      </w:r>
    </w:p>
    <w:p>
      <w:pPr>
        <w:spacing w:after="0" w:line="184" w:lineRule="exact"/>
        <w:rPr>
          <w:sz w:val="20"/>
          <w:szCs w:val="20"/>
          <w:color w:val="auto"/>
        </w:rPr>
      </w:pPr>
    </w:p>
    <w:p>
      <w:pPr>
        <w:ind w:right="20" w:firstLine="314"/>
        <w:spacing w:after="0" w:line="264"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Level 1 applies to assets or liabilities for which there are quoted prices in active markets for identical assets or liabilities.</w:t>
      </w:r>
    </w:p>
    <w:p>
      <w:pPr>
        <w:spacing w:after="0" w:line="249" w:lineRule="exact"/>
        <w:rPr>
          <w:sz w:val="20"/>
          <w:szCs w:val="20"/>
          <w:color w:val="auto"/>
        </w:rPr>
      </w:pPr>
    </w:p>
    <w:p>
      <w:pPr>
        <w:jc w:val="both"/>
        <w:ind w:right="180" w:firstLine="314"/>
        <w:spacing w:after="0" w:line="272"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Level 2 applies to assets or liabilities for which there are inputs that are directly or indirectly observable in the marketplace, such as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or liabilities in active markets or quoted prices for identical assets or liabilities in markets with insufficient volume or infrequent transactions (less active markets).</w:t>
      </w:r>
    </w:p>
    <w:p>
      <w:pPr>
        <w:spacing w:after="0" w:line="198" w:lineRule="exact"/>
        <w:rPr>
          <w:sz w:val="20"/>
          <w:szCs w:val="20"/>
          <w:color w:val="auto"/>
        </w:rPr>
      </w:pPr>
    </w:p>
    <w:p>
      <w:pPr>
        <w:ind w:right="120" w:firstLine="314"/>
        <w:spacing w:after="0" w:line="28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Level 3 applies to assets or liabilities for which there are unobservable inputs to the valuation methodology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 AND OTHER</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expenses at September 30, 2022 and December 31, 2021 consisted of the following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8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Employee compensation and related costs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29,460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38,040</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fees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14,365</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48,347</w:t>
            </w:r>
          </w:p>
        </w:tc>
      </w:tr>
      <w:tr>
        <w:trPr>
          <w:trHeight w:val="240"/>
        </w:trPr>
        <w:tc>
          <w:tcPr>
            <w:tcW w:w="8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100,752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80" w:type="dxa"/>
            <w:vAlign w:val="bottom"/>
          </w:tcPr>
          <w:p>
            <w:pPr>
              <w:spacing w:after="0"/>
              <w:rPr>
                <w:sz w:val="20"/>
                <w:szCs w:val="20"/>
                <w:color w:val="auto"/>
              </w:rPr>
            </w:pPr>
            <w:r>
              <w:rPr>
                <w:rFonts w:ascii="Arial" w:cs="Arial" w:eastAsia="Arial" w:hAnsi="Arial"/>
                <w:sz w:val="17"/>
                <w:szCs w:val="17"/>
                <w:b w:val="1"/>
                <w:bCs w:val="1"/>
                <w:color w:val="auto"/>
              </w:rPr>
              <w:t>(7) WARRANTY ACCRUALS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4"/>
        </w:trPr>
        <w:tc>
          <w:tcPr>
            <w:tcW w:w="9880" w:type="dxa"/>
            <w:vAlign w:val="bottom"/>
          </w:tcPr>
          <w:p>
            <w:pPr>
              <w:ind w:left="320"/>
              <w:spacing w:after="0"/>
              <w:rPr>
                <w:sz w:val="20"/>
                <w:szCs w:val="20"/>
                <w:color w:val="auto"/>
              </w:rPr>
            </w:pPr>
            <w:r>
              <w:rPr>
                <w:rFonts w:ascii="Arial" w:cs="Arial" w:eastAsia="Arial" w:hAnsi="Arial"/>
                <w:sz w:val="17"/>
                <w:szCs w:val="17"/>
                <w:color w:val="auto"/>
              </w:rPr>
              <w:t>The changes in the Company's accrual balance in the nine months ended September 30, 2022 were as follows (in thousands):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0"/>
        </w:trPr>
        <w:tc>
          <w:tcPr>
            <w:tcW w:w="9880" w:type="dxa"/>
            <w:vAlign w:val="bottom"/>
          </w:tcPr>
          <w:p>
            <w:pPr>
              <w:ind w:left="20"/>
              <w:spacing w:after="0"/>
              <w:rPr>
                <w:sz w:val="20"/>
                <w:szCs w:val="20"/>
                <w:color w:val="auto"/>
              </w:rPr>
            </w:pPr>
            <w:r>
              <w:rPr>
                <w:rFonts w:ascii="Arial" w:cs="Arial" w:eastAsia="Arial" w:hAnsi="Arial"/>
                <w:sz w:val="17"/>
                <w:szCs w:val="17"/>
                <w:color w:val="auto"/>
              </w:rPr>
              <w:t>Balance at January 1, 2022</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13,120</w:t>
            </w:r>
          </w:p>
        </w:tc>
      </w:tr>
      <w:tr>
        <w:trPr>
          <w:trHeight w:val="222"/>
        </w:trPr>
        <w:tc>
          <w:tcPr>
            <w:tcW w:w="9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period provisions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3,970</w:t>
            </w:r>
          </w:p>
        </w:tc>
      </w:tr>
      <w:tr>
        <w:trPr>
          <w:trHeight w:val="222"/>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Settlements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w:t>
            </w:r>
          </w:p>
        </w:tc>
      </w:tr>
      <w:tr>
        <w:trPr>
          <w:trHeight w:val="24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RESTRUCTURING AND FACILITIES CONSOLIDATION INITIATIVES</w:t>
      </w:r>
    </w:p>
    <w:p>
      <w:pPr>
        <w:spacing w:after="0" w:line="255" w:lineRule="exact"/>
        <w:rPr>
          <w:sz w:val="20"/>
          <w:szCs w:val="20"/>
          <w:color w:val="auto"/>
        </w:rPr>
      </w:pPr>
    </w:p>
    <w:p>
      <w:pPr>
        <w:ind w:right="160" w:firstLine="314"/>
        <w:spacing w:after="0" w:line="267" w:lineRule="auto"/>
        <w:rPr>
          <w:sz w:val="20"/>
          <w:szCs w:val="20"/>
          <w:color w:val="auto"/>
        </w:rPr>
      </w:pPr>
      <w:r>
        <w:rPr>
          <w:rFonts w:ascii="Arial" w:cs="Arial" w:eastAsia="Arial" w:hAnsi="Arial"/>
          <w:sz w:val="17"/>
          <w:szCs w:val="17"/>
          <w:color w:val="auto"/>
        </w:rPr>
        <w:t>The Company recorded restructuring and related expense aggregating $1.3 million and $1.8 million in the three months ended September 30, 2022 and 2021, respectively, and $9.0 million and $10.5 million in the nine months ended September 30, 2022 and 2021, respectively. Restructuring and related expense includes restructuring expense (primarily severance and related costs), estimated future variable lease costs for vacated properties with no intent or ability of sublease, and accelerated rent amortization expense.</w:t>
      </w:r>
    </w:p>
    <w:p>
      <w:pPr>
        <w:spacing w:after="0" w:line="202" w:lineRule="exact"/>
        <w:rPr>
          <w:sz w:val="20"/>
          <w:szCs w:val="20"/>
          <w:color w:val="auto"/>
        </w:rPr>
      </w:pPr>
    </w:p>
    <w:p>
      <w:pPr>
        <w:ind w:right="80" w:firstLine="314"/>
        <w:spacing w:after="0" w:line="282" w:lineRule="auto"/>
        <w:rPr>
          <w:sz w:val="20"/>
          <w:szCs w:val="20"/>
          <w:color w:val="auto"/>
        </w:rPr>
      </w:pPr>
      <w:r>
        <w:rPr>
          <w:rFonts w:ascii="Arial" w:cs="Arial" w:eastAsia="Arial" w:hAnsi="Arial"/>
          <w:sz w:val="16"/>
          <w:szCs w:val="16"/>
          <w:color w:val="auto"/>
        </w:rPr>
        <w:t>For restructuring events that involve lease assets and liabilities, the Company applies lease reassessment and modification guidance and evaluates the right-of-use assets for potential impairment. If the Company plans to exit all or 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condensed consolidated statements of operations. Related variable lease expenses will continue to be expensed as incurred through the vacate date, at which time the Company will reassess the liability balance to ensure it appropriately reflects the remaining liability associated with the premises and records a liability for the estimated future variable lease costs.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Restructuring and related expense for the three and nine months ended September 30, 2022 and 2021 was comprised of the following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7"/>
        </w:trPr>
        <w:tc>
          <w:tcPr>
            <w:tcW w:w="55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9"/>
              <w:spacing w:after="0" w:line="12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9"/>
              <w:spacing w:after="0" w:line="127" w:lineRule="exact"/>
              <w:rPr>
                <w:sz w:val="20"/>
                <w:szCs w:val="20"/>
                <w:color w:val="auto"/>
              </w:rPr>
            </w:pPr>
            <w:r>
              <w:rPr>
                <w:rFonts w:ascii="Arial" w:cs="Arial" w:eastAsia="Arial" w:hAnsi="Arial"/>
                <w:sz w:val="14"/>
                <w:szCs w:val="14"/>
                <w:b w:val="1"/>
                <w:bCs w:val="1"/>
                <w:color w:val="auto"/>
                <w:w w:val="91"/>
              </w:rPr>
              <w:t>September 30,</w:t>
            </w:r>
          </w:p>
        </w:tc>
      </w:tr>
      <w:tr>
        <w:trPr>
          <w:trHeight w:val="187"/>
        </w:trPr>
        <w:tc>
          <w:tcPr>
            <w:tcW w:w="5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3,076</w:t>
            </w: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Variable and other facilities-related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4,103</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Accelerated amortization of lease assets due to cease-use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3,368</w:t>
            </w:r>
          </w:p>
        </w:tc>
      </w:tr>
      <w:tr>
        <w:trPr>
          <w:trHeight w:val="215"/>
        </w:trPr>
        <w:tc>
          <w:tcPr>
            <w:tcW w:w="5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1,767</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8,977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10,547</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Accelerated Rent Amortization</w:t>
      </w:r>
    </w:p>
    <w:p>
      <w:pPr>
        <w:spacing w:after="0" w:line="249" w:lineRule="exact"/>
        <w:rPr>
          <w:sz w:val="20"/>
          <w:szCs w:val="20"/>
          <w:color w:val="auto"/>
        </w:rPr>
      </w:pPr>
    </w:p>
    <w:p>
      <w:pPr>
        <w:ind w:right="120" w:firstLine="314"/>
        <w:spacing w:after="0" w:line="288" w:lineRule="auto"/>
        <w:rPr>
          <w:sz w:val="20"/>
          <w:szCs w:val="20"/>
          <w:color w:val="auto"/>
        </w:rPr>
      </w:pPr>
      <w:r>
        <w:rPr>
          <w:rFonts w:ascii="Arial" w:cs="Arial" w:eastAsia="Arial" w:hAnsi="Arial"/>
          <w:sz w:val="16"/>
          <w:szCs w:val="16"/>
          <w:color w:val="auto"/>
        </w:rPr>
        <w:t>Accelerated rent amortization of lease assets is recognized from the date that the Company commences the plan to fully or partially vacate a facility, for which there is no intent or ability to enter into a sublease, through the final vacate date. The liability for the total lease payments for each respective facility is included as a component of Operating lease liabilities in the Company's condensed consolidated balance sheets, both current and noncurrent (see Note 15). The Company may incur additional future expense if it is unable to sublease other locations included in its restructuring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Restructuring Plan</w:t>
      </w:r>
    </w:p>
    <w:p>
      <w:pPr>
        <w:spacing w:after="0" w:line="249" w:lineRule="exact"/>
        <w:rPr>
          <w:sz w:val="20"/>
          <w:szCs w:val="20"/>
          <w:color w:val="auto"/>
        </w:rPr>
      </w:pPr>
    </w:p>
    <w:p>
      <w:pPr>
        <w:ind w:right="220" w:firstLine="314"/>
        <w:spacing w:after="0" w:line="267" w:lineRule="auto"/>
        <w:rPr>
          <w:sz w:val="20"/>
          <w:szCs w:val="20"/>
          <w:color w:val="auto"/>
        </w:rPr>
      </w:pPr>
      <w:r>
        <w:rPr>
          <w:rFonts w:ascii="Arial" w:cs="Arial" w:eastAsia="Arial" w:hAnsi="Arial"/>
          <w:sz w:val="17"/>
          <w:szCs w:val="17"/>
          <w:color w:val="auto"/>
        </w:rPr>
        <w:t>On February 14, 2022, the Company's Board of Directors approved a strategic restructuring program (the "2022 Restructuring Plan") to streamline the Company's operations in order to support the Company's investment in critical growth areas. The 2022 Restructuring Plan is expected to include, among other things, charges related to a consolidation of facilities and a workforce reduction. Any positions eliminated in countries outside the United States are subject to local law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consultation requirements.</w:t>
      </w:r>
    </w:p>
    <w:p>
      <w:pPr>
        <w:spacing w:after="0" w:line="249" w:lineRule="exact"/>
        <w:rPr>
          <w:sz w:val="20"/>
          <w:szCs w:val="20"/>
          <w:color w:val="auto"/>
        </w:rPr>
      </w:pPr>
    </w:p>
    <w:p>
      <w:pPr>
        <w:ind w:right="100" w:firstLine="314"/>
        <w:spacing w:after="0" w:line="261" w:lineRule="auto"/>
        <w:rPr>
          <w:sz w:val="20"/>
          <w:szCs w:val="20"/>
          <w:color w:val="auto"/>
        </w:rPr>
      </w:pPr>
      <w:r>
        <w:rPr>
          <w:rFonts w:ascii="Arial" w:cs="Arial" w:eastAsia="Arial" w:hAnsi="Arial"/>
          <w:sz w:val="17"/>
          <w:szCs w:val="17"/>
          <w:color w:val="auto"/>
        </w:rPr>
        <w:t>The Company recorded restructuring and related expense of $1.3 million and $8.3 million in the three and nine months ended September 30, 2022, respectively, in connection with the 2022 Restructuring Plan. The amount for the three months ended September 30, 2022 was comprised of $1.0 million for variable and other facilities-related costs, $0.6 million for accelerated amortization of lease assets no longer being used with no ability or intent to sublease, and $(0.3) million for adjustments to severance and related costs. The amount for the nine months ended September 30, 2022 was comprised of $4.7 million for severance and related costs for approximately 60 employees, $2.0 million for variable and other facilities-related costs and $1.6 million for accelerated amortization of lease assets no longer being used with no ability or intent to sublease. A summary of the 2022 Restructuring Plan accrual activity for the nine months ended September 30, 2022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20" w:type="dxa"/>
            <w:vAlign w:val="bottom"/>
          </w:tcPr>
          <w:p>
            <w:pPr>
              <w:jc w:val="center"/>
              <w:ind w:left="203"/>
              <w:spacing w:after="0"/>
              <w:rPr>
                <w:sz w:val="20"/>
                <w:szCs w:val="20"/>
                <w:color w:val="auto"/>
              </w:rPr>
            </w:pPr>
            <w:r>
              <w:rPr>
                <w:rFonts w:ascii="Arial" w:cs="Arial" w:eastAsia="Arial" w:hAnsi="Arial"/>
                <w:sz w:val="14"/>
                <w:szCs w:val="14"/>
                <w:b w:val="1"/>
                <w:bCs w:val="1"/>
                <w:color w:val="auto"/>
                <w:w w:val="88"/>
              </w:rPr>
              <w:t>Balance at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Initiatives</w:t>
            </w:r>
          </w:p>
        </w:tc>
        <w:tc>
          <w:tcPr>
            <w:tcW w:w="24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Net transfer to</w:t>
            </w:r>
          </w:p>
        </w:tc>
        <w:tc>
          <w:tcPr>
            <w:tcW w:w="180" w:type="dxa"/>
            <w:vAlign w:val="bottom"/>
          </w:tcPr>
          <w:p>
            <w:pPr>
              <w:spacing w:after="0"/>
              <w:rPr>
                <w:sz w:val="14"/>
                <w:szCs w:val="14"/>
                <w:color w:val="auto"/>
              </w:rPr>
            </w:pPr>
          </w:p>
        </w:tc>
        <w:tc>
          <w:tcPr>
            <w:tcW w:w="114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020" w:type="dxa"/>
            <w:vAlign w:val="bottom"/>
          </w:tcPr>
          <w:p>
            <w:pPr>
              <w:jc w:val="center"/>
              <w:ind w:left="203"/>
              <w:spacing w:after="0" w:line="144" w:lineRule="exact"/>
              <w:rPr>
                <w:sz w:val="20"/>
                <w:szCs w:val="20"/>
                <w:color w:val="auto"/>
              </w:rPr>
            </w:pPr>
            <w:r>
              <w:rPr>
                <w:rFonts w:ascii="Arial" w:cs="Arial" w:eastAsia="Arial" w:hAnsi="Arial"/>
                <w:sz w:val="14"/>
                <w:szCs w:val="14"/>
                <w:b w:val="1"/>
                <w:bCs w:val="1"/>
                <w:color w:val="auto"/>
                <w:w w:val="89"/>
              </w:rPr>
              <w:t>January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charged to</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operating lease</w:t>
            </w:r>
          </w:p>
        </w:tc>
        <w:tc>
          <w:tcPr>
            <w:tcW w:w="180" w:type="dxa"/>
            <w:vAlign w:val="bottom"/>
          </w:tcPr>
          <w:p>
            <w:pPr>
              <w:spacing w:after="0"/>
              <w:rPr>
                <w:sz w:val="12"/>
                <w:szCs w:val="12"/>
                <w:color w:val="auto"/>
              </w:rPr>
            </w:pPr>
          </w:p>
        </w:tc>
        <w:tc>
          <w:tcPr>
            <w:tcW w:w="1140" w:type="dxa"/>
            <w:vAlign w:val="bottom"/>
          </w:tcPr>
          <w:p>
            <w:pPr>
              <w:jc w:val="center"/>
              <w:ind w:right="100"/>
              <w:spacing w:after="0" w:line="144"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b w:val="1"/>
                <w:bCs w:val="1"/>
                <w:color w:val="auto"/>
                <w:w w:val="83"/>
              </w:rPr>
              <w:t>2022</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4"/>
              </w:rPr>
              <w:t>accounts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w:t>
            </w: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7"/>
                <w:szCs w:val="17"/>
                <w:color w:val="auto"/>
              </w:rPr>
              <w:t>Variable and other facilities-related costs</w:t>
            </w: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2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Accelerated amortization of lease assets due to cease-use</w:t>
            </w:r>
          </w:p>
        </w:tc>
        <w:tc>
          <w:tcPr>
            <w:tcW w:w="10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Balance Sheet Classification</w:t>
      </w:r>
    </w:p>
    <w:p>
      <w:pPr>
        <w:spacing w:after="0" w:line="249" w:lineRule="exact"/>
        <w:rPr>
          <w:sz w:val="20"/>
          <w:szCs w:val="20"/>
          <w:color w:val="auto"/>
        </w:rPr>
      </w:pPr>
    </w:p>
    <w:p>
      <w:pPr>
        <w:ind w:right="260" w:firstLine="314"/>
        <w:spacing w:after="0" w:line="272" w:lineRule="auto"/>
        <w:rPr>
          <w:sz w:val="20"/>
          <w:szCs w:val="20"/>
          <w:color w:val="auto"/>
        </w:rPr>
      </w:pPr>
      <w:r>
        <w:rPr>
          <w:rFonts w:ascii="Arial" w:cs="Arial" w:eastAsia="Arial" w:hAnsi="Arial"/>
          <w:sz w:val="17"/>
          <w:szCs w:val="17"/>
          <w:color w:val="auto"/>
        </w:rPr>
        <w:t>The current portions of accrued restructuring are included as a component of Accrued expenses and the long-term portions of accrued restructuring are included as a component of Other long-term liabilities in the condensed consolidated balance sheets. The long-term portions of accrued restructuring relate to facilities totaled $2.2 million at September 30, 2022 and $1.6 million at December 31,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Credit Facility</w:t>
      </w:r>
    </w:p>
    <w:p>
      <w:pPr>
        <w:spacing w:after="0" w:line="249" w:lineRule="exact"/>
        <w:rPr>
          <w:sz w:val="20"/>
          <w:szCs w:val="20"/>
          <w:color w:val="auto"/>
        </w:rPr>
      </w:pPr>
    </w:p>
    <w:p>
      <w:pPr>
        <w:ind w:right="140" w:firstLine="314"/>
        <w:spacing w:after="0" w:line="263" w:lineRule="auto"/>
        <w:rPr>
          <w:sz w:val="20"/>
          <w:szCs w:val="20"/>
          <w:color w:val="auto"/>
        </w:rPr>
      </w:pPr>
      <w:r>
        <w:rPr>
          <w:rFonts w:ascii="Arial" w:cs="Arial" w:eastAsia="Arial" w:hAnsi="Arial"/>
          <w:sz w:val="17"/>
          <w:szCs w:val="17"/>
          <w:color w:val="auto"/>
        </w:rPr>
        <w:t>On March 3, 2020, the Company entered into a Senior Secured Credit Facilities Credit Agreement (as amended, the "2020 Credit Facility"), by and among the Company, as a guarantor, Ribbon Communications Operating Company, Inc., as the borrower ("Borrower"), Citizens Bank, N.A. ("Citizens"), as administrative agent, a lender, issuing lender, swingline lender, joint lead arranger and bookrunner, Santander Bank, N.A., as a lender, joint lead arranger and bookrunner, and the other lenders party thereto (each, together with Citizens Bank, N.A. and Santander Bank, N.A., referred to individually as a "Lender", and collectively, the "Lenders"). The proceeds of the 2020 Credit Facility were used, in part, to pay off in full all obligations of the Company under its prior credit facility.</w:t>
      </w:r>
    </w:p>
    <w:p>
      <w:pPr>
        <w:spacing w:after="0" w:line="205" w:lineRule="exact"/>
        <w:rPr>
          <w:sz w:val="20"/>
          <w:szCs w:val="20"/>
          <w:color w:val="auto"/>
        </w:rPr>
      </w:pPr>
    </w:p>
    <w:p>
      <w:pPr>
        <w:ind w:right="80" w:firstLine="314"/>
        <w:spacing w:after="0" w:line="263" w:lineRule="auto"/>
        <w:rPr>
          <w:sz w:val="20"/>
          <w:szCs w:val="20"/>
          <w:color w:val="auto"/>
        </w:rPr>
      </w:pPr>
      <w:r>
        <w:rPr>
          <w:rFonts w:ascii="Arial" w:cs="Arial" w:eastAsia="Arial" w:hAnsi="Arial"/>
          <w:sz w:val="17"/>
          <w:szCs w:val="17"/>
          <w:color w:val="auto"/>
        </w:rPr>
        <w:t>The 2020 Credit Facility provides for $500 million of commitments from the Lenders to the Borrower, comprised of $400 million in term loans (the "2020 Term Loan Facility") and a $100 million facility available for revolving loans (the "2020 Revolving Credit Facility"). Under the 2020 Revolving Credit Facility, a $30 million sublimit is available for letters of credit and a $20 million sublimit is available for swingline loans. Under the 2020 Credit Facility, the Company was originally required to make quarterly principal payments aggregating approximately $10 million in the first year, $20 million per year for the following three years, and $30 million in the last year, with the remaining balance due on the maturity date. The 2020 Credit Facility also requires periodic interest payments until maturity.</w:t>
      </w:r>
    </w:p>
    <w:p>
      <w:pPr>
        <w:spacing w:after="0" w:line="205" w:lineRule="exact"/>
        <w:rPr>
          <w:sz w:val="20"/>
          <w:szCs w:val="20"/>
          <w:color w:val="auto"/>
        </w:rPr>
      </w:pPr>
    </w:p>
    <w:p>
      <w:pPr>
        <w:ind w:right="60" w:firstLine="314"/>
        <w:spacing w:after="0" w:line="288" w:lineRule="auto"/>
        <w:rPr>
          <w:sz w:val="20"/>
          <w:szCs w:val="20"/>
          <w:color w:val="auto"/>
        </w:rPr>
      </w:pPr>
      <w:r>
        <w:rPr>
          <w:rFonts w:ascii="Arial" w:cs="Arial" w:eastAsia="Arial" w:hAnsi="Arial"/>
          <w:sz w:val="17"/>
          <w:szCs w:val="17"/>
          <w:color w:val="auto"/>
        </w:rPr>
        <w:t>The indebtedness and other obligations under the 2020 Credit Facility are unconditionally guaranteed on a senior secured basis by the Company, Edgewater Networks, Inc., a wholly-owned subsidiary of the Company, and GENBAND Inc., a wholly-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owned subsidiary of the Company (together, the "Guarantors"). The facilities under the 2020 Credit Facility are secured by first-priority liens on substantially all of the assets of the Borrower and the Guarantors, including substantially all of the assets of the Company.</w:t>
      </w:r>
    </w:p>
    <w:p>
      <w:pPr>
        <w:spacing w:after="0" w:line="184" w:lineRule="exact"/>
        <w:rPr>
          <w:sz w:val="20"/>
          <w:szCs w:val="20"/>
          <w:color w:val="auto"/>
        </w:rPr>
      </w:pPr>
    </w:p>
    <w:p>
      <w:pPr>
        <w:ind w:right="140" w:firstLine="314"/>
        <w:spacing w:after="0" w:line="264" w:lineRule="auto"/>
        <w:rPr>
          <w:sz w:val="20"/>
          <w:szCs w:val="20"/>
          <w:color w:val="auto"/>
        </w:rPr>
      </w:pPr>
      <w:r>
        <w:rPr>
          <w:rFonts w:ascii="Arial" w:cs="Arial" w:eastAsia="Arial" w:hAnsi="Arial"/>
          <w:sz w:val="17"/>
          <w:szCs w:val="17"/>
          <w:color w:val="auto"/>
        </w:rPr>
        <w:t>The 2020 Credit Facility requires compliance with certain financial covenants, including a minimum Consolidated Fixed Charge Coverage Ratio and a maximum Consolidated Net Leverage Ratio (each as defined in the 2020 Credit Facility, and each tested on a quarterly basis). The 2020 Credit Facility permits the Company to use proceeds from the sale of equity securities, subject to certain limitations, in the calculation of the minimum Consolidated Fixed Charge Coverage Ratio and maximum Consolidated Net Leverage Ratio for the quarter in which such equity sale occurs, and for future calculations of the covenant ratios where such quarter is included.</w:t>
      </w:r>
    </w:p>
    <w:p>
      <w:pPr>
        <w:spacing w:after="0" w:line="206" w:lineRule="exact"/>
        <w:rPr>
          <w:sz w:val="20"/>
          <w:szCs w:val="20"/>
          <w:color w:val="auto"/>
        </w:rPr>
      </w:pPr>
    </w:p>
    <w:p>
      <w:pPr>
        <w:ind w:right="20" w:firstLine="314"/>
        <w:spacing w:after="0" w:line="288" w:lineRule="auto"/>
        <w:rPr>
          <w:sz w:val="20"/>
          <w:szCs w:val="20"/>
          <w:color w:val="auto"/>
        </w:rPr>
      </w:pPr>
      <w:r>
        <w:rPr>
          <w:rFonts w:ascii="Arial" w:cs="Arial" w:eastAsia="Arial" w:hAnsi="Arial"/>
          <w:sz w:val="16"/>
          <w:szCs w:val="16"/>
          <w:color w:val="auto"/>
        </w:rPr>
        <w:t>In addition, the 2020 Credit Facility contains various covenants that, among other restrictions, limit the Company’s and its subsidiaries’ ability to incur or assume indebtedness; grant or assume liens; make acquisitions or engage in mergers; sell, transfer, assign or convey assets; repurchase equity and make dividend and certain other restricted payments; make investments; engage in transactions with affiliates; enter into sale and leaseback transactions; enter into burdensome agreements; change the nature of its business; modify their organizational documents; and amend or make prepayments on certain junior debt.</w:t>
      </w:r>
    </w:p>
    <w:p>
      <w:pPr>
        <w:spacing w:after="0" w:line="188" w:lineRule="exact"/>
        <w:rPr>
          <w:sz w:val="20"/>
          <w:szCs w:val="20"/>
          <w:color w:val="auto"/>
        </w:rPr>
      </w:pPr>
    </w:p>
    <w:p>
      <w:pPr>
        <w:ind w:right="80" w:firstLine="314"/>
        <w:spacing w:after="0" w:line="263" w:lineRule="auto"/>
        <w:rPr>
          <w:sz w:val="20"/>
          <w:szCs w:val="20"/>
          <w:color w:val="auto"/>
        </w:rPr>
      </w:pPr>
      <w:r>
        <w:rPr>
          <w:rFonts w:ascii="Arial" w:cs="Arial" w:eastAsia="Arial" w:hAnsi="Arial"/>
          <w:sz w:val="17"/>
          <w:szCs w:val="17"/>
          <w:color w:val="auto"/>
        </w:rPr>
        <w:t>The 2020 Credit Facility contains events of default that are customary for a secured credit facility. If an event of default relating to bankruptcy or other insolvency events with respect to the Company or any of its subsidiaries occurs, all obligations under the 2020 Credit Facility will immediately become due and payable. If any other event of default occurs under the 2020 Credit Facility, the lenders may accelerate the maturity of the obligations outstanding under the Credit Facility and exercise other rights and remedies, including charging a default rate of interest equal to 2.00% per year above the rate that would otherwise be applicable. In addition, if any event of default exists under the 2020 Credit Facility, the lenders can commence foreclosure or other actions against the collateral.</w:t>
      </w:r>
    </w:p>
    <w:p>
      <w:pPr>
        <w:spacing w:after="0" w:line="205" w:lineRule="exact"/>
        <w:rPr>
          <w:sz w:val="20"/>
          <w:szCs w:val="20"/>
          <w:color w:val="auto"/>
        </w:rPr>
      </w:pPr>
    </w:p>
    <w:p>
      <w:pPr>
        <w:ind w:right="240" w:firstLine="314"/>
        <w:spacing w:after="0" w:line="263" w:lineRule="auto"/>
        <w:rPr>
          <w:sz w:val="20"/>
          <w:szCs w:val="20"/>
          <w:color w:val="auto"/>
        </w:rPr>
      </w:pPr>
      <w:r>
        <w:rPr>
          <w:rFonts w:ascii="Arial" w:cs="Arial" w:eastAsia="Arial" w:hAnsi="Arial"/>
          <w:sz w:val="17"/>
          <w:szCs w:val="17"/>
          <w:color w:val="auto"/>
        </w:rPr>
        <w:t>On August 18, 2020 (the "First Amendment Date"), the Borrower entered into a First Amendment to the 2020 Credit Facility (the "First Amendment"). Pursuant to an assignment and assumption agreement entered into by Citizens and certain affiliates of Whitehorse Capital on the First Amendment Date (collectively, "HIG Whitehorse"), and consented to by Citizens and the Borrower, $75 million of the 2020 Term Loan Facility, designated as the Term B Loan (the "Term B Loan"), was assigned from Citizens to HIG Whitehorse as of August 18, 2020. The remaining $325 million of the 2020 Term Loan Facility that was not assigned to HIG Whitehorse was deemed the Term A Loan (the "Term A Loan" and, together with the Term B Loan, the "Amended 2020 Term Loan Facility").</w:t>
      </w:r>
    </w:p>
    <w:p>
      <w:pPr>
        <w:spacing w:after="0" w:line="205" w:lineRule="exact"/>
        <w:rPr>
          <w:sz w:val="20"/>
          <w:szCs w:val="20"/>
          <w:color w:val="auto"/>
        </w:rPr>
      </w:pPr>
    </w:p>
    <w:p>
      <w:pPr>
        <w:ind w:firstLine="314"/>
        <w:spacing w:after="0" w:line="260" w:lineRule="auto"/>
        <w:rPr>
          <w:sz w:val="20"/>
          <w:szCs w:val="20"/>
          <w:color w:val="auto"/>
        </w:rPr>
      </w:pPr>
      <w:r>
        <w:rPr>
          <w:rFonts w:ascii="Arial" w:cs="Arial" w:eastAsia="Arial" w:hAnsi="Arial"/>
          <w:sz w:val="17"/>
          <w:szCs w:val="17"/>
          <w:color w:val="auto"/>
        </w:rPr>
        <w:t>The Term A Loan and the 2020 Revolving Credit Facility mature in March 2025. The Term A Loan and 2020 Revolving Credit Facility bear interest at the Borrower's option at either the LIBOR rate plus a margin ranging from 1.50% to 3.50% per year, or the base rate (the highest of the Federal Funds Effective Rate (as defined in the 2020 Credit Facility) plus 0.50%, or the prime rate announced from time to time in The Wall Street Journal) plus a margin ranging from 0.50% to 2.50% per year (the "Applicable Margin"). The Applicable Margin varies depending on the Company's Consolidated Net Leverage Ratio (as defined in the 2020 Credit Facility). The base rate and the LIBOR rate are each subject to a zero percent floor. The Company was required to make quarterly principal payments on the Term A Loan aggregating approximately $10 million in the first year, $16 million per year in each of the next two years, $20 million in the fourth year and $16 million in the last year, with the final payment approximating $244 million due on the maturity date. The Borrower could prepay all amounts under the Term A Loan and the 2020 Revolving Credit Facility at any time without premium or penalty (other than customary LIBOR breakage costs), subject to certain notice requirements.</w:t>
      </w:r>
    </w:p>
    <w:p>
      <w:pPr>
        <w:spacing w:after="0" w:line="211" w:lineRule="exact"/>
        <w:rPr>
          <w:sz w:val="20"/>
          <w:szCs w:val="20"/>
          <w:color w:val="auto"/>
        </w:rPr>
      </w:pPr>
    </w:p>
    <w:p>
      <w:pPr>
        <w:ind w:right="60" w:firstLine="314"/>
        <w:spacing w:after="0" w:line="282" w:lineRule="auto"/>
        <w:rPr>
          <w:sz w:val="20"/>
          <w:szCs w:val="20"/>
          <w:color w:val="auto"/>
        </w:rPr>
      </w:pPr>
      <w:r>
        <w:rPr>
          <w:rFonts w:ascii="Arial" w:cs="Arial" w:eastAsia="Arial" w:hAnsi="Arial"/>
          <w:sz w:val="16"/>
          <w:szCs w:val="16"/>
          <w:color w:val="auto"/>
        </w:rPr>
        <w:t>The Term B Loan was scheduled to mature in March 2026 and bore interest, at the Borrower's option, at either the LIBOR rate plus a margin of 7.50% per year, or the base rate (the highest of the Federal Funds Effective Rate (as defined in the First Amendment) plus 0.50%, or the prime rate announced from time to time in The Wall Street Journal, plus a margin of 6.50% per year. The Term B Loan had a lower rate of amortization than the Term A Loan and was subject to a 1.0% premium if voluntarily repaid in connection with a repricing transaction (as defined in the 2020 Credit Facility) occurring prior to the six-month anniversary of the First Amendment Effective Date. The Company was required to make quarterly principal payments totaling approximately $1 million in the first year and $8 million in the aggregate over the next four and a half years, with the final payment approximating $66 million.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314"/>
        <w:spacing w:after="0" w:line="261" w:lineRule="auto"/>
        <w:rPr>
          <w:sz w:val="20"/>
          <w:szCs w:val="20"/>
          <w:color w:val="auto"/>
        </w:rPr>
      </w:pPr>
      <w:r>
        <w:rPr>
          <w:rFonts w:ascii="Arial" w:cs="Arial" w:eastAsia="Arial" w:hAnsi="Arial"/>
          <w:sz w:val="17"/>
          <w:szCs w:val="17"/>
          <w:color w:val="auto"/>
        </w:rPr>
        <w:t>The First Amendment reduced the Borrower's ability to incur new tranches of term loans, or increases in commitments under the Amended 2020 Term Loan Facility or the 2020 Revolving Credit Facility. Specifically, such indebtedness could be incurred up to an aggregate dollar amount equal to 75% of the Company's Consolidated Adjusted EBITDA (as defined in the 2020 Credit Facility), reduced from 100% prior to the First Amendment, as of the most recently ended fiscal quarter for which financial statements had been delivered to the lenders, plus additional amounts, so long as the Borrower's Consolidated Net Leverage Ratio (as defined in the 2020 Credit Agreement) did not exceed 2.25:1.00, reduced from 2.75:1.00 under the 2020 Credit Facility. The First Amendment also reduced the amount of Unrestricted Cash (as defined in the 2020 Credit Facility) used in calculating the Borrower's Consolidated Net Leverage Ratio from $25 million to $10 million.</w:t>
      </w:r>
    </w:p>
    <w:p>
      <w:pPr>
        <w:spacing w:after="0" w:line="211" w:lineRule="exact"/>
        <w:rPr>
          <w:sz w:val="20"/>
          <w:szCs w:val="20"/>
          <w:color w:val="auto"/>
        </w:rPr>
      </w:pPr>
    </w:p>
    <w:p>
      <w:pPr>
        <w:ind w:right="120" w:firstLine="314"/>
        <w:spacing w:after="0" w:line="288" w:lineRule="auto"/>
        <w:rPr>
          <w:sz w:val="20"/>
          <w:szCs w:val="20"/>
          <w:color w:val="auto"/>
        </w:rPr>
      </w:pPr>
      <w:r>
        <w:rPr>
          <w:rFonts w:ascii="Arial" w:cs="Arial" w:eastAsia="Arial" w:hAnsi="Arial"/>
          <w:sz w:val="17"/>
          <w:szCs w:val="17"/>
          <w:color w:val="auto"/>
        </w:rPr>
        <w:t>On December 1, 2020, the Borrower entered into a Second Amendment to the 2020 Credit Facility to obtain consent for an equity exchange with AVCT in connection with the Kandy Sale, as well as to amend certain other provisions of the 2020 Credit Facility.</w:t>
      </w:r>
    </w:p>
    <w:p>
      <w:pPr>
        <w:spacing w:after="0" w:line="184" w:lineRule="exact"/>
        <w:rPr>
          <w:sz w:val="20"/>
          <w:szCs w:val="20"/>
          <w:color w:val="auto"/>
        </w:rPr>
      </w:pPr>
    </w:p>
    <w:p>
      <w:pPr>
        <w:ind w:right="20" w:firstLine="314"/>
        <w:spacing w:after="0" w:line="293" w:lineRule="auto"/>
        <w:rPr>
          <w:sz w:val="20"/>
          <w:szCs w:val="20"/>
          <w:color w:val="auto"/>
        </w:rPr>
      </w:pPr>
      <w:r>
        <w:rPr>
          <w:rFonts w:ascii="Arial" w:cs="Arial" w:eastAsia="Arial" w:hAnsi="Arial"/>
          <w:sz w:val="15"/>
          <w:szCs w:val="15"/>
          <w:color w:val="auto"/>
        </w:rPr>
        <w:t>On March 3, 2021 (the "Third Amendment Date"), the Company, the Borrower and certain of its subsidiaries entered into a Third Amendment to Credit Agreement (the "Third Amendment"), which further amended the 2020 Credit Facility. The Third Amendment provided for an incremental term loan facility to the Borrower in the original principal amount of $74.6 million, the proceeds of which were used on the Third Amendment Date to consummate an open market purchase of all outstanding amounts under the Term B Loan. Upon the consummation of the open market purchase, the Term B Loans were assigned to the Borrower and immediately cancelled, such that the outstanding amount under the Term A Loan and incremental term loan facility were combined and held by the Lenders (the "2020 Term Loan") with the same terms as the Term A Loan. The Company wrote off $2.5 million of capitalized debt issuance costs in connection with the Third Amendment, which is included in Interest expense, net, in the Company's condensed consolidated statement of operations for the nine months ended September 30, 2021. The Company was required to make quarterly principal payments on the 2020 Term Loan aggregating approximately</w:t>
      </w:r>
    </w:p>
    <w:p>
      <w:pPr>
        <w:spacing w:after="0"/>
        <w:rPr>
          <w:sz w:val="20"/>
          <w:szCs w:val="20"/>
          <w:color w:val="auto"/>
        </w:rPr>
      </w:pPr>
      <w:r>
        <w:rPr>
          <w:rFonts w:ascii="Arial" w:cs="Arial" w:eastAsia="Arial" w:hAnsi="Arial"/>
          <w:sz w:val="16"/>
          <w:szCs w:val="16"/>
          <w:color w:val="auto"/>
        </w:rPr>
        <w:t>$20 million per year in the first three years and $30 million in the fourth year, with the final payment approximating $300 million due on the maturity date.</w:t>
      </w:r>
    </w:p>
    <w:p>
      <w:pPr>
        <w:spacing w:after="0" w:line="248" w:lineRule="exact"/>
        <w:rPr>
          <w:sz w:val="20"/>
          <w:szCs w:val="20"/>
          <w:color w:val="auto"/>
        </w:rPr>
      </w:pPr>
    </w:p>
    <w:p>
      <w:pPr>
        <w:ind w:firstLine="314"/>
        <w:spacing w:after="0" w:line="263" w:lineRule="auto"/>
        <w:rPr>
          <w:sz w:val="20"/>
          <w:szCs w:val="20"/>
          <w:color w:val="auto"/>
        </w:rPr>
      </w:pPr>
      <w:r>
        <w:rPr>
          <w:rFonts w:ascii="Arial" w:cs="Arial" w:eastAsia="Arial" w:hAnsi="Arial"/>
          <w:sz w:val="17"/>
          <w:szCs w:val="17"/>
          <w:color w:val="auto"/>
        </w:rPr>
        <w:t>The Third Amendment increased the Borrower's ability to incur new incremental revolving commitments or term loans. Such indebtedness can be incurred up to an aggregate dollar limit equal to 100% of the Company's Consolidated Adjusted EBITDA (as defined in the 2020 Credit Facility) as of the most recently ended fiscal quarter for which financial statements have been delivered to the Lenders, plus additional amounts, so long as the Borrower's Consolidated Net Leverage Ratio (as defined in the Credit Agreement) does not exceed 2.75:1.00, increased from 2.25:1.00 under the First Amendment. The Third Amendment also increased the amount of Unrestricted Cash (as defined in the 2020 Credit Facility) used in calculating the Borrower's Consolidated Net Leverage Ratio from $10.0 million to $25.0 million.</w:t>
      </w:r>
    </w:p>
    <w:p>
      <w:pPr>
        <w:spacing w:after="0" w:line="205" w:lineRule="exact"/>
        <w:rPr>
          <w:sz w:val="20"/>
          <w:szCs w:val="20"/>
          <w:color w:val="auto"/>
        </w:rPr>
      </w:pPr>
    </w:p>
    <w:p>
      <w:pPr>
        <w:ind w:right="40" w:firstLine="314"/>
        <w:spacing w:after="0" w:line="282" w:lineRule="auto"/>
        <w:rPr>
          <w:sz w:val="20"/>
          <w:szCs w:val="20"/>
          <w:color w:val="auto"/>
        </w:rPr>
      </w:pPr>
      <w:r>
        <w:rPr>
          <w:rFonts w:ascii="Arial" w:cs="Arial" w:eastAsia="Arial" w:hAnsi="Arial"/>
          <w:sz w:val="16"/>
          <w:szCs w:val="16"/>
          <w:color w:val="auto"/>
        </w:rPr>
        <w:t>On March 10, 2022, the Borrower entered into a Fourth Amendment to the 2020 Credit Facility (the "Fourth Amendment") to increase the Maximum Consolidated Net Leverage Ratio (as defined in the 2020 Credit Facility) to 4.25:1.00 for the first quarter of 2022 and 4.50:1.00 for the second quarter of 2022, with reductions in subsequent quarters through the third quarter of 2023, when the ratio will be fixed at 3.00:1.00. In connection with the Fourth Amendment, the Company made a $15.0 million prepayment that was applied to the final payment due on the maturity date. Subsequent to the Fourth Amendment, the Company was required to make quarterly principal payments on the 2020 Term Loan aggregating approximately $20 million per year for the next two years and $30 million in the following year, with the final payment approximating $285 million due on the maturity date.</w:t>
      </w:r>
    </w:p>
    <w:p>
      <w:pPr>
        <w:spacing w:after="0" w:line="193" w:lineRule="exact"/>
        <w:rPr>
          <w:sz w:val="20"/>
          <w:szCs w:val="20"/>
          <w:color w:val="auto"/>
        </w:rPr>
      </w:pPr>
    </w:p>
    <w:p>
      <w:pPr>
        <w:ind w:right="40" w:firstLine="314"/>
        <w:spacing w:after="0" w:line="278" w:lineRule="auto"/>
        <w:rPr>
          <w:sz w:val="20"/>
          <w:szCs w:val="20"/>
          <w:color w:val="auto"/>
        </w:rPr>
      </w:pPr>
      <w:r>
        <w:rPr>
          <w:rFonts w:ascii="Arial" w:cs="Arial" w:eastAsia="Arial" w:hAnsi="Arial"/>
          <w:sz w:val="16"/>
          <w:szCs w:val="16"/>
          <w:color w:val="auto"/>
        </w:rPr>
        <w:t>On June 30, 2022, the Borrower entered into a Fifth Amendment to the 2020 Credit Facility (the "Fifth Amendment") to increase the Maximum Consolidated Net Leverage Ratio (as defined in the 2020 Credit Facility) to 5.25:1.00 for the second quarter of 2022, 5.00:1.00 for the third quarter of 2022, and 4.75:1.00 for the fourth quarter of 2022. Also, the Fifth Amendment reduced the minimum Consolidated Fixed Charge Coverage Ratio (as defined in the 2020 Credit Facility) to 1.10:1.00 for the second, third and fourth quarters of 2022 and increased the maximum rate at which loans bear interest if the Company's Consolidated Net Leverage Ratio for any quarter is greater than 4.50:1.00. Specifically, pursuant to the Fifth Amendment, loans incurred under the Senior Secured Credit Facilities bear interest, at the Borrower’s option, at either LIBOR plus a margin ranging from 1.50% to 4.50% per year, or the base rate (the highest of the Federal Funds Effective Rate (as defined in the Credit Agreement) plus 0.50%, or the prime rate announced from time to time in The Wall Street Journal) plus a margin ranging from 0.50% to 3.50% per year (such margins being referred to as the “Applicable Margin”). In addition, the Fifth Amendment allows the Company to incur junior secured or unsecured debt in an amount no less than $50 million, subject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461"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to certain conditions, including the requirement that 50% of the aggregate amount of such incurred debt (net of certain costs, fees and other amounts) must be applied to prepay the Senior Secured Credit Facilities, and compliance with certain leverage ratio-based covenant exceptions. In connection with the Fifth Amendment, the Company made a $10.0 million voluntary prepayment that was applied to the final payment due on the maturity date. Subsequent to the Fifth Amendment, the Company is required to make quarterly principal payments on the 2020 Term Loan aggregating approximately $5.0 million per quarter through March 31, 2024 and $10.0 million in each of the three quarters thereafter, with the final payment approximating $275 million due on the maturity date in March 2025.</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September 30, 2022, the Company had an outstanding balance under the 2020 Term Loan of $335.5 million at an average interest rate of 5.4% and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$3.3 million of letters of credit outstanding with an interest rate of 4.5%. At December 31, 2021, the Company had an outstanding 2020 Term Loan balance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$375.5 million at an average interest rate of 3.4% and $4.3 million of letters of credit outstanding with an interest rate of 2.5%. The Company was in compliance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with all covenants of the 2020 Credit Facility at both September 30, 2022 and December 31, 2021.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 and Performance and Bid Bonds</w:t>
      </w:r>
    </w:p>
    <w:p>
      <w:pPr>
        <w:spacing w:after="0" w:line="249" w:lineRule="exact"/>
        <w:rPr>
          <w:sz w:val="20"/>
          <w:szCs w:val="20"/>
          <w:color w:val="auto"/>
        </w:rPr>
      </w:pPr>
    </w:p>
    <w:p>
      <w:pPr>
        <w:ind w:right="40" w:firstLine="314"/>
        <w:spacing w:after="0" w:line="261" w:lineRule="auto"/>
        <w:rPr>
          <w:sz w:val="20"/>
          <w:szCs w:val="20"/>
          <w:color w:val="auto"/>
        </w:rPr>
      </w:pPr>
      <w:r>
        <w:rPr>
          <w:rFonts w:ascii="Arial" w:cs="Arial" w:eastAsia="Arial" w:hAnsi="Arial"/>
          <w:sz w:val="17"/>
          <w:szCs w:val="17"/>
          <w:color w:val="auto"/>
        </w:rPr>
        <w:t>The Company uses letters of credit and performance and bid bonds in the course of its business. At September 30, 2022, the Company had letters of credit, bank guarantees, and performance and bid bonds outstanding (collectively, "Guarantees") aggregating $9.5 million, comprised of the $3.3 million of letters of credit under the 2020 Credit Facility described above (the "Letters of Credit") and $6.3 million of bank guarantees and performance and bid bonds (collectively, the "Other Guarantees") under various uncommitted facilities. At December 31, 2021, the Company had Guarantees aggregating $30.1 million, comprised of the $4.3 million of Letters of Credit noted above and $25.8 million of Other Guarantees. At September 30, 2022 and December 31, 2021, the Company had cash collateral of $0.3 million and $2.6 million, respectively, supporting the Guarantees, which is reported as Restricted cash in the condensed consolidated balance sheets.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 AND HEDGING ACTIVITIES</w:t>
      </w:r>
    </w:p>
    <w:p>
      <w:pPr>
        <w:spacing w:after="0" w:line="255" w:lineRule="exact"/>
        <w:rPr>
          <w:sz w:val="20"/>
          <w:szCs w:val="20"/>
          <w:color w:val="auto"/>
        </w:rPr>
      </w:pPr>
    </w:p>
    <w:p>
      <w:pPr>
        <w:ind w:right="80" w:firstLine="314"/>
        <w:spacing w:after="0" w:line="264" w:lineRule="auto"/>
        <w:rPr>
          <w:sz w:val="20"/>
          <w:szCs w:val="20"/>
          <w:color w:val="auto"/>
        </w:rPr>
      </w:pPr>
      <w:r>
        <w:rPr>
          <w:rFonts w:ascii="Arial" w:cs="Arial" w:eastAsia="Arial" w:hAnsi="Arial"/>
          <w:sz w:val="17"/>
          <w:szCs w:val="17"/>
          <w:color w:val="auto"/>
        </w:rPr>
        <w:t>The Company is exposed to financial market risk related to foreign currency fluctuations and changes in interest rates. These exposures are actively monitored by management. To manage the volatility related to the exposure to changes in interest rates, the Company has entered into a derivative financial instrument. Management's objective is to reduce, where it is deemed appropriate to do so, fluctuations in earnings and cash flows associated with changes in interest rates. Ribbon's policies and practices are to use derivative financial instruments only to the extent necessary to manage exposures. Ribbon does not hold or issue derivative financial instruments for trading or speculative purposes.</w:t>
      </w:r>
    </w:p>
    <w:p>
      <w:pPr>
        <w:spacing w:after="0" w:line="206" w:lineRule="exact"/>
        <w:rPr>
          <w:sz w:val="20"/>
          <w:szCs w:val="20"/>
          <w:color w:val="auto"/>
        </w:rPr>
      </w:pPr>
    </w:p>
    <w:p>
      <w:pPr>
        <w:ind w:firstLine="314"/>
        <w:spacing w:after="0" w:line="278" w:lineRule="auto"/>
        <w:rPr>
          <w:sz w:val="20"/>
          <w:szCs w:val="20"/>
          <w:color w:val="auto"/>
        </w:rPr>
      </w:pPr>
      <w:r>
        <w:rPr>
          <w:rFonts w:ascii="Arial" w:cs="Arial" w:eastAsia="Arial" w:hAnsi="Arial"/>
          <w:sz w:val="16"/>
          <w:szCs w:val="16"/>
          <w:color w:val="auto"/>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Hedge of Interest Rate Risk</w:t>
      </w:r>
    </w:p>
    <w:p>
      <w:pPr>
        <w:spacing w:after="0" w:line="249" w:lineRule="exact"/>
        <w:rPr>
          <w:sz w:val="20"/>
          <w:szCs w:val="20"/>
          <w:color w:val="auto"/>
        </w:rPr>
      </w:pPr>
    </w:p>
    <w:p>
      <w:pPr>
        <w:ind w:right="80" w:firstLine="314"/>
        <w:spacing w:after="0" w:line="267" w:lineRule="auto"/>
        <w:rPr>
          <w:sz w:val="20"/>
          <w:szCs w:val="20"/>
          <w:color w:val="auto"/>
        </w:rPr>
      </w:pPr>
      <w:r>
        <w:rPr>
          <w:rFonts w:ascii="Arial" w:cs="Arial" w:eastAsia="Arial" w:hAnsi="Arial"/>
          <w:sz w:val="17"/>
          <w:szCs w:val="17"/>
          <w:color w:val="auto"/>
        </w:rPr>
        <w:t>The 2020 Term Loan Facility had outstanding balances of $335.5 million and $375.5 million at September 30, 2022 and December 31, 2021, respectively. The 2020 Revolving Credit Facility was undrawn at both September 30, 2022 and December 31, 2021. Borrowings under the 2020 Credit Facility have variable interest rates based on LIBOR (see Note 9). As a result of exposure to interest rate movements, during March 2020, the Company entered into an interest rate swap arrangement, which</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0"/>
        <w:spacing w:after="0" w:line="288" w:lineRule="auto"/>
        <w:rPr>
          <w:sz w:val="20"/>
          <w:szCs w:val="20"/>
          <w:color w:val="auto"/>
        </w:rPr>
      </w:pPr>
      <w:r>
        <w:rPr>
          <w:rFonts w:ascii="Arial" w:cs="Arial" w:eastAsia="Arial" w:hAnsi="Arial"/>
          <w:sz w:val="17"/>
          <w:szCs w:val="17"/>
          <w:color w:val="auto"/>
        </w:rPr>
        <w:t>effectively converted its $400 million term loan with its variable interest rate based upon one-month LIBOR to an aggregate fixed rate of 0.904%, plus a leverage-based margin as defined in the 2020 Credit Facility.</w:t>
      </w:r>
    </w:p>
    <w:p>
      <w:pPr>
        <w:spacing w:after="0" w:line="184"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On July 22, 2022, the Company sold $30 million of the notional amount of its interest rate swap back to its counterparty for $1.5 million, reducing the notional amount of this swap to $370 million. On August 16, 2022 the Company sold another $30 million of the notional amount of its interest rate swap back to its counterparty for $1.6 million, reducing the notional amount to $340 million, which approximates the current level of our term loan debt outstanding. The gain in accumulated other comprehensive (loss) income related to the $60 million notional amount sold of $3.1 million is being released into earnings on a straight line basis over the remaining term of the 2020 Credit Facility as a decrease to interest expense, the amortization of which totaled $0.2 million for the three and nine months ended September 30, 2022. The notional amount of this swap at September 30, 2022 was $340 million, and the swap matures on March 3, 2025, the same date the 2020 Credit Facility matures.</w:t>
      </w:r>
    </w:p>
    <w:p>
      <w:pPr>
        <w:spacing w:after="0" w:line="211" w:lineRule="exact"/>
        <w:rPr>
          <w:sz w:val="20"/>
          <w:szCs w:val="20"/>
          <w:color w:val="auto"/>
        </w:rPr>
      </w:pPr>
    </w:p>
    <w:p>
      <w:pPr>
        <w:ind w:right="20" w:firstLine="314"/>
        <w:spacing w:after="0" w:line="267" w:lineRule="auto"/>
        <w:rPr>
          <w:sz w:val="20"/>
          <w:szCs w:val="20"/>
          <w:color w:val="auto"/>
        </w:rPr>
      </w:pPr>
      <w:r>
        <w:rPr>
          <w:rFonts w:ascii="Arial" w:cs="Arial" w:eastAsia="Arial" w:hAnsi="Arial"/>
          <w:sz w:val="17"/>
          <w:szCs w:val="17"/>
          <w:color w:val="auto"/>
        </w:rPr>
        <w:t>The Company’s objectives in using interest rate derivatives are to add stability to interest expense and to manage its exposure to interest rate movements. To accomplish this objective, the Company is using an interest rate swap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02" w:lineRule="exact"/>
        <w:rPr>
          <w:sz w:val="20"/>
          <w:szCs w:val="20"/>
          <w:color w:val="auto"/>
        </w:rPr>
      </w:pPr>
    </w:p>
    <w:p>
      <w:pPr>
        <w:ind w:right="40" w:firstLine="314"/>
        <w:spacing w:after="0" w:line="264" w:lineRule="auto"/>
        <w:rPr>
          <w:sz w:val="20"/>
          <w:szCs w:val="20"/>
          <w:color w:val="auto"/>
        </w:rPr>
      </w:pPr>
      <w:r>
        <w:rPr>
          <w:rFonts w:ascii="Arial" w:cs="Arial" w:eastAsia="Arial" w:hAnsi="Arial"/>
          <w:sz w:val="17"/>
          <w:szCs w:val="17"/>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 During the three and nine months ended September 30, 2022 and 2021, such a derivative was used to hedge the variable cash flows associated with the outstanding borrowings under the 2020 Credit Facility and the Company has accounted for this derivative as an effective hedge. Any ineffective portion of the change in the fair value of the derivative would be recognized directly in earnings.</w:t>
      </w:r>
    </w:p>
    <w:p>
      <w:pPr>
        <w:spacing w:after="0" w:line="206" w:lineRule="exact"/>
        <w:rPr>
          <w:sz w:val="20"/>
          <w:szCs w:val="20"/>
          <w:color w:val="auto"/>
        </w:rPr>
      </w:pPr>
    </w:p>
    <w:p>
      <w:pPr>
        <w:jc w:val="both"/>
        <w:ind w:right="60" w:firstLine="314"/>
        <w:spacing w:after="0" w:line="272" w:lineRule="auto"/>
        <w:rPr>
          <w:sz w:val="20"/>
          <w:szCs w:val="20"/>
          <w:color w:val="auto"/>
        </w:rPr>
      </w:pPr>
      <w:r>
        <w:rPr>
          <w:rFonts w:ascii="Arial" w:cs="Arial" w:eastAsia="Arial" w:hAnsi="Arial"/>
          <w:sz w:val="17"/>
          <w:szCs w:val="17"/>
          <w:color w:val="auto"/>
        </w:rPr>
        <w:t>Amounts reported in accumulated other comprehensive income related to the Company's derivative are reclassified to interest expense as interest is accrued on the Company’s variable-rate debt. Based upon projected forward rates, the Company estimates as of September 30, 2022 that $11 million may be reclassified as a decrease to interest expense over the next twelve months.</w:t>
      </w:r>
    </w:p>
    <w:p>
      <w:pPr>
        <w:spacing w:after="0" w:line="198" w:lineRule="exact"/>
        <w:rPr>
          <w:sz w:val="20"/>
          <w:szCs w:val="20"/>
          <w:color w:val="auto"/>
        </w:rPr>
      </w:pPr>
    </w:p>
    <w:p>
      <w:pPr>
        <w:ind w:right="300" w:firstLine="314"/>
        <w:spacing w:after="0" w:line="288" w:lineRule="auto"/>
        <w:rPr>
          <w:sz w:val="20"/>
          <w:szCs w:val="20"/>
          <w:color w:val="auto"/>
        </w:rPr>
      </w:pPr>
      <w:r>
        <w:rPr>
          <w:rFonts w:ascii="Arial" w:cs="Arial" w:eastAsia="Arial" w:hAnsi="Arial"/>
          <w:sz w:val="17"/>
          <w:szCs w:val="17"/>
          <w:color w:val="auto"/>
        </w:rPr>
        <w:t>The impact of the Company’s derivative financial instrument on its condensed consolidated statements of comprehensive (loss) income for the three and nine months ended September 30, 2022 and 2021 was as follows, net of tax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4"/>
        </w:trPr>
        <w:tc>
          <w:tcPr>
            <w:tcW w:w="5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80"/>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40"/>
              <w:spacing w:after="0" w:line="124" w:lineRule="exact"/>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2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60"/>
              <w:spacing w:after="0" w:line="124" w:lineRule="exact"/>
              <w:rPr>
                <w:sz w:val="20"/>
                <w:szCs w:val="20"/>
                <w:color w:val="auto"/>
              </w:rPr>
            </w:pPr>
            <w:r>
              <w:rPr>
                <w:rFonts w:ascii="Arial" w:cs="Arial" w:eastAsia="Arial" w:hAnsi="Arial"/>
                <w:sz w:val="14"/>
                <w:szCs w:val="14"/>
                <w:b w:val="1"/>
                <w:bCs w:val="1"/>
                <w:color w:val="auto"/>
                <w:w w:val="91"/>
              </w:rPr>
              <w:t>September 30,</w:t>
            </w:r>
          </w:p>
        </w:tc>
      </w:tr>
      <w:tr>
        <w:trPr>
          <w:trHeight w:val="189"/>
        </w:trPr>
        <w:tc>
          <w:tcPr>
            <w:tcW w:w="5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157"/>
        </w:trPr>
        <w:tc>
          <w:tcPr>
            <w:tcW w:w="5540" w:type="dxa"/>
            <w:vAlign w:val="bottom"/>
            <w:shd w:val="clear" w:color="auto" w:fill="CCEEFF"/>
          </w:tcPr>
          <w:p>
            <w:pPr>
              <w:ind w:left="20"/>
              <w:spacing w:after="0" w:line="158" w:lineRule="exact"/>
              <w:rPr>
                <w:sz w:val="20"/>
                <w:szCs w:val="20"/>
                <w:color w:val="auto"/>
              </w:rPr>
            </w:pPr>
            <w:r>
              <w:rPr>
                <w:rFonts w:ascii="Arial" w:cs="Arial" w:eastAsia="Arial" w:hAnsi="Arial"/>
                <w:sz w:val="17"/>
                <w:szCs w:val="17"/>
                <w:color w:val="auto"/>
                <w:w w:val="97"/>
              </w:rPr>
              <w:t>Gain recognized in other comprehensive income (loss) on derivative, net of</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35"/>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left="542"/>
              <w:spacing w:after="0"/>
              <w:rPr>
                <w:sz w:val="20"/>
                <w:szCs w:val="20"/>
                <w:color w:val="auto"/>
              </w:rPr>
            </w:pPr>
            <w:r>
              <w:rPr>
                <w:rFonts w:ascii="Arial" w:cs="Arial" w:eastAsia="Arial" w:hAnsi="Arial"/>
                <w:sz w:val="17"/>
                <w:szCs w:val="17"/>
                <w:color w:val="auto"/>
                <w:w w:val="93"/>
              </w:rPr>
              <w:t>3,056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21,685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4,905</w:t>
            </w:r>
          </w:p>
        </w:tc>
      </w:tr>
      <w:tr>
        <w:trPr>
          <w:trHeight w:val="171"/>
        </w:trPr>
        <w:tc>
          <w:tcPr>
            <w:tcW w:w="5540" w:type="dxa"/>
            <w:vAlign w:val="bottom"/>
          </w:tcPr>
          <w:p>
            <w:pPr>
              <w:ind w:left="20"/>
              <w:spacing w:after="0" w:line="171" w:lineRule="exact"/>
              <w:rPr>
                <w:sz w:val="20"/>
                <w:szCs w:val="20"/>
                <w:color w:val="auto"/>
              </w:rPr>
            </w:pPr>
            <w:r>
              <w:rPr>
                <w:rFonts w:ascii="Arial" w:cs="Arial" w:eastAsia="Arial" w:hAnsi="Arial"/>
                <w:sz w:val="17"/>
                <w:szCs w:val="17"/>
                <w:color w:val="auto"/>
                <w:w w:val="95"/>
              </w:rPr>
              <w:t>Amount reclassified from accumulated other comprehensive income (loss)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4"/>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522"/>
              <w:spacing w:after="0"/>
              <w:rPr>
                <w:sz w:val="20"/>
                <w:szCs w:val="20"/>
                <w:color w:val="auto"/>
              </w:rPr>
            </w:pPr>
            <w:r>
              <w:rPr>
                <w:rFonts w:ascii="Arial" w:cs="Arial" w:eastAsia="Arial" w:hAnsi="Arial"/>
                <w:sz w:val="17"/>
                <w:szCs w:val="17"/>
                <w:color w:val="auto"/>
                <w:w w:val="92"/>
              </w:rPr>
              <w:t>(1,330)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2,419</w:t>
            </w:r>
          </w:p>
        </w:tc>
      </w:tr>
      <w:tr>
        <w:trPr>
          <w:trHeight w:val="240"/>
        </w:trPr>
        <w:tc>
          <w:tcPr>
            <w:tcW w:w="5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center"/>
              <w:ind w:left="542"/>
              <w:spacing w:after="0"/>
              <w:rPr>
                <w:sz w:val="20"/>
                <w:szCs w:val="20"/>
                <w:color w:val="auto"/>
              </w:rPr>
            </w:pPr>
            <w:r>
              <w:rPr>
                <w:rFonts w:ascii="Arial" w:cs="Arial" w:eastAsia="Arial" w:hAnsi="Arial"/>
                <w:sz w:val="17"/>
                <w:szCs w:val="17"/>
                <w:color w:val="auto"/>
                <w:w w:val="93"/>
              </w:rPr>
              <w:t>1,726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21,248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400" w:firstLine="314"/>
        <w:spacing w:after="0" w:line="288" w:lineRule="auto"/>
        <w:rPr>
          <w:sz w:val="20"/>
          <w:szCs w:val="20"/>
          <w:color w:val="auto"/>
        </w:rPr>
      </w:pPr>
      <w:r>
        <w:rPr>
          <w:rFonts w:ascii="Arial" w:cs="Arial" w:eastAsia="Arial" w:hAnsi="Arial"/>
          <w:sz w:val="17"/>
          <w:szCs w:val="17"/>
          <w:color w:val="auto"/>
        </w:rPr>
        <w:t>The fair values and locations in the condensed consolidated balance sheets at September 30, 2022 and December 31, 2021 of the Company's derivative assets (liabilities) designated as a hedging instrument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Balance sheet location</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3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derivative - asset derivative</w:t>
            </w:r>
          </w:p>
        </w:tc>
        <w:tc>
          <w:tcPr>
            <w:tcW w:w="32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Other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20"/>
              <w:spacing w:after="0"/>
              <w:rPr>
                <w:sz w:val="20"/>
                <w:szCs w:val="20"/>
                <w:color w:val="auto"/>
              </w:rPr>
            </w:pPr>
            <w:r>
              <w:rPr>
                <w:rFonts w:ascii="Arial" w:cs="Arial" w:eastAsia="Arial" w:hAnsi="Arial"/>
                <w:sz w:val="17"/>
                <w:szCs w:val="17"/>
                <w:color w:val="auto"/>
              </w:rPr>
              <w:t>Interest rate derivative - asset derivative</w:t>
            </w:r>
          </w:p>
        </w:tc>
        <w:tc>
          <w:tcPr>
            <w:tcW w:w="32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Other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3,865</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derivative - liability derivative</w:t>
            </w:r>
          </w:p>
        </w:tc>
        <w:tc>
          <w:tcPr>
            <w:tcW w:w="3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Accrued expenses and other</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40" w:firstLine="314"/>
        <w:spacing w:after="0" w:line="288" w:lineRule="auto"/>
        <w:rPr>
          <w:sz w:val="20"/>
          <w:szCs w:val="20"/>
          <w:color w:val="auto"/>
        </w:rPr>
      </w:pPr>
      <w:r>
        <w:rPr>
          <w:rFonts w:ascii="Arial" w:cs="Arial" w:eastAsia="Arial" w:hAnsi="Arial"/>
          <w:sz w:val="17"/>
          <w:szCs w:val="17"/>
          <w:color w:val="auto"/>
        </w:rPr>
        <w:t>The Company has classified the interest rate derivative aggregating $26.3 million and $1.8 million at September 30, 2022 and December 31, 2021, respectively, as Level 2 fair value measurements within the fair value hierarchy (see Note 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REVENUE RECOGNITION</w:t>
      </w:r>
    </w:p>
    <w:p>
      <w:pPr>
        <w:spacing w:after="0" w:line="255" w:lineRule="exact"/>
        <w:rPr>
          <w:sz w:val="20"/>
          <w:szCs w:val="20"/>
          <w:color w:val="auto"/>
        </w:rPr>
      </w:pPr>
    </w:p>
    <w:p>
      <w:pPr>
        <w:ind w:right="160" w:firstLine="314"/>
        <w:spacing w:after="0" w:line="264" w:lineRule="auto"/>
        <w:rPr>
          <w:sz w:val="20"/>
          <w:szCs w:val="20"/>
          <w:color w:val="auto"/>
        </w:rPr>
      </w:pPr>
      <w:r>
        <w:rPr>
          <w:rFonts w:ascii="Arial" w:cs="Arial" w:eastAsia="Arial" w:hAnsi="Arial"/>
          <w:sz w:val="17"/>
          <w:szCs w:val="17"/>
          <w:color w:val="auto"/>
        </w:rPr>
        <w:t>The Company derives revenue from two primary sources: products and services. Product revenue includes the Company's hardware and software that function together to deliver the products' essential functionality. Software and hardware are also sold on a standalone basis. 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spacing w:after="0" w:line="206" w:lineRule="exact"/>
        <w:rPr>
          <w:sz w:val="20"/>
          <w:szCs w:val="20"/>
          <w:color w:val="auto"/>
        </w:rPr>
      </w:pPr>
    </w:p>
    <w:p>
      <w:pPr>
        <w:ind w:right="60" w:firstLine="314"/>
        <w:spacing w:after="0" w:line="272" w:lineRule="auto"/>
        <w:rPr>
          <w:sz w:val="20"/>
          <w:szCs w:val="20"/>
          <w:color w:val="auto"/>
        </w:rPr>
      </w:pPr>
      <w:r>
        <w:rPr>
          <w:rFonts w:ascii="Arial" w:cs="Arial" w:eastAsia="Arial" w:hAnsi="Arial"/>
          <w:sz w:val="17"/>
          <w:szCs w:val="17"/>
          <w:color w:val="auto"/>
        </w:rPr>
        <w:t>When an arrangement contains more than one performance obligation, the Company will allocate the transaction price to each performance obligation on a relative standalone selling price basis. The Company utilizes the observable price of goods and services when they are sold separately to similar customers in order to estimate standalone selling price.</w:t>
      </w:r>
    </w:p>
    <w:p>
      <w:pPr>
        <w:spacing w:after="0" w:line="198" w:lineRule="exact"/>
        <w:rPr>
          <w:sz w:val="20"/>
          <w:szCs w:val="20"/>
          <w:color w:val="auto"/>
        </w:rPr>
      </w:pPr>
    </w:p>
    <w:p>
      <w:pPr>
        <w:ind w:right="120" w:firstLine="314"/>
        <w:spacing w:after="0" w:line="279" w:lineRule="auto"/>
        <w:rPr>
          <w:sz w:val="20"/>
          <w:szCs w:val="20"/>
          <w:color w:val="auto"/>
        </w:rPr>
      </w:pPr>
      <w:r>
        <w:rPr>
          <w:rFonts w:ascii="Arial" w:cs="Arial" w:eastAsia="Arial" w:hAnsi="Arial"/>
          <w:sz w:val="16"/>
          <w:szCs w:val="16"/>
          <w:color w:val="auto"/>
        </w:rPr>
        <w:t>The Company's software licenses typically provide a perpetual right to use the Company's software.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 Product revenue is typically recognized upon transfer of control or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subscription software licenses at the start of the subscription period.</w:t>
      </w:r>
    </w:p>
    <w:p>
      <w:pPr>
        <w:spacing w:after="0" w:line="197" w:lineRule="exact"/>
        <w:rPr>
          <w:sz w:val="20"/>
          <w:szCs w:val="20"/>
          <w:color w:val="auto"/>
        </w:rPr>
      </w:pPr>
    </w:p>
    <w:p>
      <w:pPr>
        <w:jc w:val="both"/>
        <w:ind w:right="100" w:firstLine="314"/>
        <w:spacing w:after="0" w:line="267" w:lineRule="auto"/>
        <w:rPr>
          <w:sz w:val="20"/>
          <w:szCs w:val="20"/>
          <w:color w:val="auto"/>
        </w:rPr>
      </w:pPr>
      <w:r>
        <w:rPr>
          <w:rFonts w:ascii="Arial" w:cs="Arial" w:eastAsia="Arial" w:hAnsi="Arial"/>
          <w:sz w:val="17"/>
          <w:szCs w:val="17"/>
          <w:color w:val="auto"/>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spacing w:after="0" w:line="202" w:lineRule="exact"/>
        <w:rPr>
          <w:sz w:val="20"/>
          <w:szCs w:val="20"/>
          <w:color w:val="auto"/>
        </w:rPr>
      </w:pPr>
    </w:p>
    <w:p>
      <w:pPr>
        <w:jc w:val="both"/>
        <w:ind w:right="120" w:firstLine="314"/>
        <w:spacing w:after="0" w:line="324" w:lineRule="auto"/>
        <w:rPr>
          <w:sz w:val="20"/>
          <w:szCs w:val="20"/>
          <w:color w:val="auto"/>
        </w:rPr>
      </w:pPr>
      <w:r>
        <w:rPr>
          <w:rFonts w:ascii="Arial" w:cs="Arial" w:eastAsia="Arial" w:hAnsi="Arial"/>
          <w:sz w:val="15"/>
          <w:szCs w:val="15"/>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spacing w:after="0" w:line="164" w:lineRule="exact"/>
        <w:rPr>
          <w:sz w:val="20"/>
          <w:szCs w:val="20"/>
          <w:color w:val="auto"/>
        </w:rPr>
      </w:pPr>
    </w:p>
    <w:p>
      <w:pPr>
        <w:ind w:firstLine="314"/>
        <w:spacing w:after="0" w:line="278" w:lineRule="auto"/>
        <w:rPr>
          <w:sz w:val="20"/>
          <w:szCs w:val="20"/>
          <w:color w:val="auto"/>
        </w:rPr>
      </w:pPr>
      <w:r>
        <w:rPr>
          <w:rFonts w:ascii="Arial" w:cs="Arial" w:eastAsia="Arial" w:hAnsi="Arial"/>
          <w:sz w:val="16"/>
          <w:szCs w:val="16"/>
          <w:color w:val="auto"/>
        </w:rPr>
        <w:t>The Company's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 The Company generally uses the input method to measure progress for its contracts because it believes such method best depicts the transfer of assets to the customer, which occurs as the Company incurs costs for the contracts. However, in some instances, the Company uses the output method because it best depicts the transfer of asset to the customer. Under the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include internal labor as well as subcontractor costs.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Customer training includes courses offered by the Company. The related revenue is typically recognized as the training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461" w:right="3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typical performance obligations include the following:</w:t>
      </w:r>
    </w:p>
    <w:p>
      <w:pPr>
        <w:sectPr>
          <w:pgSz w:w="11900" w:h="16838" w:orient="portrait"/>
          <w:cols w:equalWidth="0" w:num="1">
            <w:col w:w="11220"/>
          </w:cols>
          <w:pgMar w:left="320" w:top="461" w:right="35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Performance Obligation</w:t>
            </w:r>
          </w:p>
        </w:tc>
        <w:tc>
          <w:tcPr>
            <w:tcW w:w="100" w:type="dxa"/>
            <w:vAlign w:val="bottom"/>
          </w:tcPr>
          <w:p>
            <w:pPr>
              <w:spacing w:after="0"/>
              <w:rPr>
                <w:sz w:val="17"/>
                <w:szCs w:val="17"/>
                <w:color w:val="auto"/>
              </w:rPr>
            </w:pPr>
          </w:p>
        </w:tc>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0"/>
              </w:rPr>
              <w:t>When Performance Obligation is Typically Satisfied</w:t>
            </w:r>
          </w:p>
        </w:tc>
      </w:tr>
      <w:tr>
        <w:trPr>
          <w:trHeight w:val="218"/>
        </w:trPr>
        <w:tc>
          <w:tcPr>
            <w:tcW w:w="376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Software and Product Revenue</w:t>
            </w:r>
          </w:p>
        </w:tc>
        <w:tc>
          <w:tcPr>
            <w:tcW w:w="3660" w:type="dxa"/>
            <w:vAlign w:val="bottom"/>
          </w:tcPr>
          <w:p>
            <w:pPr>
              <w:spacing w:after="0"/>
              <w:rPr>
                <w:sz w:val="18"/>
                <w:szCs w:val="18"/>
                <w:color w:val="auto"/>
              </w:rPr>
            </w:pPr>
          </w:p>
        </w:tc>
      </w:tr>
      <w:tr>
        <w:trPr>
          <w:trHeight w:val="171"/>
        </w:trPr>
        <w:tc>
          <w:tcPr>
            <w:tcW w:w="376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Software licenses (perpetual or term)</w:t>
            </w:r>
          </w:p>
        </w:tc>
        <w:tc>
          <w:tcPr>
            <w:tcW w:w="3660" w:type="dxa"/>
            <w:vAlign w:val="bottom"/>
          </w:tcPr>
          <w:p>
            <w:pPr>
              <w:ind w:left="20"/>
              <w:spacing w:after="0" w:line="171" w:lineRule="exact"/>
              <w:rPr>
                <w:sz w:val="20"/>
                <w:szCs w:val="20"/>
                <w:color w:val="auto"/>
              </w:rPr>
            </w:pPr>
            <w:r>
              <w:rPr>
                <w:rFonts w:ascii="Arial" w:cs="Arial" w:eastAsia="Arial" w:hAnsi="Arial"/>
                <w:sz w:val="17"/>
                <w:szCs w:val="17"/>
                <w:color w:val="auto"/>
              </w:rPr>
              <w:t>Upon transfer of control; typically, when made</w:t>
            </w:r>
          </w:p>
        </w:tc>
      </w:tr>
      <w:tr>
        <w:trPr>
          <w:trHeight w:val="221"/>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available for download (point in time)</w:t>
            </w:r>
          </w:p>
        </w:tc>
      </w:tr>
      <w:tr>
        <w:trPr>
          <w:trHeight w:val="235"/>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Software licenses (subscription)</w:t>
            </w:r>
          </w:p>
        </w:tc>
        <w:tc>
          <w:tcPr>
            <w:tcW w:w="3660" w:type="dxa"/>
            <w:vAlign w:val="bottom"/>
          </w:tcPr>
          <w:p>
            <w:pPr>
              <w:ind w:left="20"/>
              <w:spacing w:after="0"/>
              <w:rPr>
                <w:sz w:val="20"/>
                <w:szCs w:val="20"/>
                <w:color w:val="auto"/>
              </w:rPr>
            </w:pPr>
            <w:r>
              <w:rPr>
                <w:rFonts w:ascii="Arial" w:cs="Arial" w:eastAsia="Arial" w:hAnsi="Arial"/>
                <w:sz w:val="17"/>
                <w:szCs w:val="17"/>
                <w:color w:val="auto"/>
              </w:rPr>
              <w:t>Upon activation of hosted site (over time)</w:t>
            </w:r>
          </w:p>
        </w:tc>
      </w:tr>
      <w:tr>
        <w:trPr>
          <w:trHeight w:val="171"/>
        </w:trPr>
        <w:tc>
          <w:tcPr>
            <w:tcW w:w="376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Hardware</w:t>
            </w:r>
          </w:p>
        </w:tc>
        <w:tc>
          <w:tcPr>
            <w:tcW w:w="3660" w:type="dxa"/>
            <w:vAlign w:val="bottom"/>
          </w:tcPr>
          <w:p>
            <w:pPr>
              <w:ind w:left="20"/>
              <w:spacing w:after="0" w:line="171" w:lineRule="exact"/>
              <w:rPr>
                <w:sz w:val="20"/>
                <w:szCs w:val="20"/>
                <w:color w:val="auto"/>
              </w:rPr>
            </w:pPr>
            <w:r>
              <w:rPr>
                <w:rFonts w:ascii="Arial" w:cs="Arial" w:eastAsia="Arial" w:hAnsi="Arial"/>
                <w:sz w:val="17"/>
                <w:szCs w:val="17"/>
                <w:color w:val="auto"/>
              </w:rPr>
              <w:t>When control of the hardware passes to the</w:t>
            </w:r>
          </w:p>
        </w:tc>
      </w:tr>
      <w:tr>
        <w:trPr>
          <w:trHeight w:val="221"/>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customer; typically, upon delivery (point in time)</w:t>
            </w:r>
          </w:p>
        </w:tc>
      </w:tr>
      <w:tr>
        <w:trPr>
          <w:trHeight w:val="184"/>
        </w:trPr>
        <w:tc>
          <w:tcPr>
            <w:tcW w:w="3760" w:type="dxa"/>
            <w:vAlign w:val="bottom"/>
            <w:gridSpan w:val="2"/>
          </w:tcPr>
          <w:p>
            <w:pPr>
              <w:ind w:left="20"/>
              <w:spacing w:after="0" w:line="184" w:lineRule="exact"/>
              <w:rPr>
                <w:sz w:val="20"/>
                <w:szCs w:val="20"/>
                <w:color w:val="auto"/>
              </w:rPr>
            </w:pPr>
            <w:r>
              <w:rPr>
                <w:rFonts w:ascii="Arial" w:cs="Arial" w:eastAsia="Arial" w:hAnsi="Arial"/>
                <w:sz w:val="17"/>
                <w:szCs w:val="17"/>
                <w:color w:val="auto"/>
              </w:rPr>
              <w:t>Software upgrades</w:t>
            </w:r>
          </w:p>
        </w:tc>
        <w:tc>
          <w:tcPr>
            <w:tcW w:w="3660" w:type="dxa"/>
            <w:vAlign w:val="bottom"/>
          </w:tcPr>
          <w:p>
            <w:pPr>
              <w:ind w:left="20"/>
              <w:spacing w:after="0" w:line="184" w:lineRule="exact"/>
              <w:rPr>
                <w:sz w:val="20"/>
                <w:szCs w:val="20"/>
                <w:color w:val="auto"/>
              </w:rPr>
            </w:pPr>
            <w:r>
              <w:rPr>
                <w:rFonts w:ascii="Arial" w:cs="Arial" w:eastAsia="Arial" w:hAnsi="Arial"/>
                <w:sz w:val="17"/>
                <w:szCs w:val="17"/>
                <w:color w:val="auto"/>
              </w:rPr>
              <w:t>Upon transfer of control; typically, when made</w:t>
            </w:r>
          </w:p>
        </w:tc>
      </w:tr>
      <w:tr>
        <w:trPr>
          <w:trHeight w:val="221"/>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available for download (point in time)</w:t>
            </w:r>
          </w:p>
        </w:tc>
      </w:tr>
      <w:tr>
        <w:trPr>
          <w:trHeight w:val="235"/>
        </w:trPr>
        <w:tc>
          <w:tcPr>
            <w:tcW w:w="376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Customer Support Revenue</w:t>
            </w:r>
          </w:p>
        </w:tc>
        <w:tc>
          <w:tcPr>
            <w:tcW w:w="3660" w:type="dxa"/>
            <w:vAlign w:val="bottom"/>
          </w:tcPr>
          <w:p>
            <w:pPr>
              <w:spacing w:after="0"/>
              <w:rPr>
                <w:sz w:val="20"/>
                <w:szCs w:val="20"/>
                <w:color w:val="auto"/>
              </w:rPr>
            </w:pPr>
          </w:p>
        </w:tc>
      </w:tr>
      <w:tr>
        <w:trPr>
          <w:trHeight w:val="171"/>
        </w:trPr>
        <w:tc>
          <w:tcPr>
            <w:tcW w:w="376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Customer support</w:t>
            </w:r>
          </w:p>
        </w:tc>
        <w:tc>
          <w:tcPr>
            <w:tcW w:w="3660" w:type="dxa"/>
            <w:vAlign w:val="bottom"/>
          </w:tcPr>
          <w:p>
            <w:pPr>
              <w:ind w:left="20"/>
              <w:spacing w:after="0" w:line="171" w:lineRule="exact"/>
              <w:rPr>
                <w:sz w:val="20"/>
                <w:szCs w:val="20"/>
                <w:color w:val="auto"/>
              </w:rPr>
            </w:pPr>
            <w:r>
              <w:rPr>
                <w:rFonts w:ascii="Arial" w:cs="Arial" w:eastAsia="Arial" w:hAnsi="Arial"/>
                <w:sz w:val="17"/>
                <w:szCs w:val="17"/>
                <w:color w:val="auto"/>
              </w:rPr>
              <w:t>Ratably over the course of the support contract</w:t>
            </w:r>
          </w:p>
        </w:tc>
      </w:tr>
      <w:tr>
        <w:trPr>
          <w:trHeight w:val="221"/>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(over time)</w:t>
            </w:r>
          </w:p>
        </w:tc>
      </w:tr>
      <w:tr>
        <w:trPr>
          <w:trHeight w:val="235"/>
        </w:trPr>
        <w:tc>
          <w:tcPr>
            <w:tcW w:w="376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Professional Services</w:t>
            </w:r>
          </w:p>
        </w:tc>
        <w:tc>
          <w:tcPr>
            <w:tcW w:w="3660" w:type="dxa"/>
            <w:vAlign w:val="bottom"/>
          </w:tcPr>
          <w:p>
            <w:pPr>
              <w:spacing w:after="0"/>
              <w:rPr>
                <w:sz w:val="20"/>
                <w:szCs w:val="20"/>
                <w:color w:val="auto"/>
              </w:rPr>
            </w:pPr>
          </w:p>
        </w:tc>
      </w:tr>
      <w:tr>
        <w:trPr>
          <w:trHeight w:val="171"/>
        </w:trPr>
        <w:tc>
          <w:tcPr>
            <w:tcW w:w="376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Other professional services (excluding training</w:t>
            </w:r>
          </w:p>
        </w:tc>
        <w:tc>
          <w:tcPr>
            <w:tcW w:w="3660" w:type="dxa"/>
            <w:vAlign w:val="bottom"/>
          </w:tcPr>
          <w:p>
            <w:pPr>
              <w:ind w:left="20"/>
              <w:spacing w:after="0" w:line="171" w:lineRule="exact"/>
              <w:rPr>
                <w:sz w:val="20"/>
                <w:szCs w:val="20"/>
                <w:color w:val="auto"/>
              </w:rPr>
            </w:pPr>
            <w:r>
              <w:rPr>
                <w:rFonts w:ascii="Arial" w:cs="Arial" w:eastAsia="Arial" w:hAnsi="Arial"/>
                <w:sz w:val="17"/>
                <w:szCs w:val="17"/>
                <w:color w:val="auto"/>
              </w:rPr>
              <w:t>As work is performed (over time)</w:t>
            </w:r>
          </w:p>
        </w:tc>
      </w:tr>
      <w:tr>
        <w:trPr>
          <w:trHeight w:val="221"/>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services)</w:t>
            </w:r>
          </w:p>
        </w:tc>
        <w:tc>
          <w:tcPr>
            <w:tcW w:w="3660" w:type="dxa"/>
            <w:vAlign w:val="bottom"/>
          </w:tcPr>
          <w:p>
            <w:pPr>
              <w:spacing w:after="0"/>
              <w:rPr>
                <w:sz w:val="19"/>
                <w:szCs w:val="19"/>
                <w:color w:val="auto"/>
              </w:rPr>
            </w:pPr>
          </w:p>
        </w:tc>
      </w:tr>
      <w:tr>
        <w:trPr>
          <w:trHeight w:val="235"/>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Training</w:t>
            </w:r>
          </w:p>
        </w:tc>
        <w:tc>
          <w:tcPr>
            <w:tcW w:w="3660" w:type="dxa"/>
            <w:vAlign w:val="bottom"/>
          </w:tcPr>
          <w:p>
            <w:pPr>
              <w:ind w:left="20"/>
              <w:spacing w:after="0"/>
              <w:rPr>
                <w:sz w:val="20"/>
                <w:szCs w:val="20"/>
                <w:color w:val="auto"/>
              </w:rPr>
            </w:pPr>
            <w:r>
              <w:rPr>
                <w:rFonts w:ascii="Arial" w:cs="Arial" w:eastAsia="Arial" w:hAnsi="Arial"/>
                <w:sz w:val="17"/>
                <w:szCs w:val="17"/>
                <w:color w:val="auto"/>
              </w:rPr>
              <w:t>When the class is taught (point in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-1592580</wp:posOffset>
            </wp:positionV>
            <wp:extent cx="7112000" cy="140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0" cy="1409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-1194435</wp:posOffset>
            </wp:positionV>
            <wp:extent cx="711200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200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-795655</wp:posOffset>
            </wp:positionV>
            <wp:extent cx="711200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-397510</wp:posOffset>
            </wp:positionV>
            <wp:extent cx="7112000"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-1998980</wp:posOffset>
            </wp:positionV>
            <wp:extent cx="7112000" cy="149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0" cy="149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When Payment is Typically Due</w:t>
      </w:r>
    </w:p>
    <w:p>
      <w:pPr>
        <w:spacing w:after="0" w:line="262"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Generally, within 30 days of invoicing except for term licenses, which may be paid for over time</w:t>
      </w:r>
    </w:p>
    <w:p>
      <w:pPr>
        <w:ind w:right="1000"/>
        <w:spacing w:after="0" w:line="338" w:lineRule="auto"/>
        <w:rPr>
          <w:sz w:val="20"/>
          <w:szCs w:val="20"/>
          <w:color w:val="auto"/>
        </w:rPr>
      </w:pPr>
      <w:r>
        <w:rPr>
          <w:rFonts w:ascii="Arial" w:cs="Arial" w:eastAsia="Arial" w:hAnsi="Arial"/>
          <w:sz w:val="16"/>
          <w:szCs w:val="16"/>
          <w:color w:val="auto"/>
        </w:rPr>
        <w:t>Generally, within 30 days of invoicing Generally, within 30 days of invoicing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Generally, within 30 days of invoicing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Generally, within 30 days of invoicing</w:t>
      </w:r>
    </w:p>
    <w:p>
      <w:pPr>
        <w:spacing w:after="0" w:line="200" w:lineRule="exact"/>
        <w:rPr>
          <w:sz w:val="20"/>
          <w:szCs w:val="20"/>
          <w:color w:val="auto"/>
        </w:rPr>
      </w:pPr>
    </w:p>
    <w:p>
      <w:pPr>
        <w:spacing w:after="0" w:line="232"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Generally, within 30 days of invoicing (upon completion of services)</w:t>
      </w:r>
    </w:p>
    <w:p>
      <w:pPr>
        <w:spacing w:after="0" w:line="14" w:lineRule="exact"/>
        <w:rPr>
          <w:sz w:val="20"/>
          <w:szCs w:val="20"/>
          <w:color w:val="auto"/>
        </w:rPr>
      </w:pPr>
    </w:p>
    <w:p>
      <w:pPr>
        <w:ind w:right="660"/>
        <w:spacing w:after="0"/>
        <w:rPr>
          <w:sz w:val="20"/>
          <w:szCs w:val="20"/>
          <w:color w:val="auto"/>
        </w:rPr>
      </w:pPr>
      <w:r>
        <w:rPr>
          <w:rFonts w:ascii="Arial" w:cs="Arial" w:eastAsia="Arial" w:hAnsi="Arial"/>
          <w:sz w:val="17"/>
          <w:szCs w:val="17"/>
          <w:color w:val="auto"/>
        </w:rPr>
        <w:t>Generally, within 30 days of services being performed</w:t>
      </w:r>
    </w:p>
    <w:p>
      <w:pPr>
        <w:spacing w:after="0" w:line="200" w:lineRule="exact"/>
        <w:rPr>
          <w:sz w:val="20"/>
          <w:szCs w:val="20"/>
          <w:color w:val="auto"/>
        </w:rPr>
      </w:pPr>
    </w:p>
    <w:p>
      <w:pPr>
        <w:sectPr>
          <w:pgSz w:w="11900" w:h="16838" w:orient="portrait"/>
          <w:cols w:equalWidth="0" w:num="2">
            <w:col w:w="7420" w:space="120"/>
            <w:col w:w="3680"/>
          </w:cols>
          <w:pgMar w:left="320" w:top="461" w:right="3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Judgments</w:t>
      </w:r>
    </w:p>
    <w:p>
      <w:pPr>
        <w:spacing w:after="0" w:line="249" w:lineRule="exact"/>
        <w:rPr>
          <w:sz w:val="20"/>
          <w:szCs w:val="20"/>
          <w:color w:val="auto"/>
        </w:rPr>
      </w:pPr>
    </w:p>
    <w:p>
      <w:pPr>
        <w:ind w:right="160" w:firstLine="314"/>
        <w:spacing w:after="0" w:line="358" w:lineRule="auto"/>
        <w:rPr>
          <w:sz w:val="20"/>
          <w:szCs w:val="20"/>
          <w:color w:val="auto"/>
        </w:rPr>
      </w:pPr>
      <w:r>
        <w:rPr>
          <w:rFonts w:ascii="Arial" w:cs="Arial" w:eastAsia="Arial" w:hAnsi="Arial"/>
          <w:sz w:val="15"/>
          <w:szCs w:val="15"/>
          <w:color w:val="auto"/>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139" w:lineRule="exact"/>
        <w:rPr>
          <w:sz w:val="20"/>
          <w:szCs w:val="20"/>
          <w:color w:val="auto"/>
        </w:rPr>
      </w:pPr>
    </w:p>
    <w:p>
      <w:pPr>
        <w:ind w:right="100" w:firstLine="314"/>
        <w:spacing w:after="0" w:line="272" w:lineRule="auto"/>
        <w:rPr>
          <w:sz w:val="20"/>
          <w:szCs w:val="20"/>
          <w:color w:val="auto"/>
        </w:rPr>
      </w:pPr>
      <w:r>
        <w:rPr>
          <w:rFonts w:ascii="Arial" w:cs="Arial" w:eastAsia="Arial" w:hAnsi="Arial"/>
          <w:sz w:val="17"/>
          <w:szCs w:val="17"/>
          <w:color w:val="auto"/>
        </w:rPr>
        <w:t>Judgment is required to determine the standalone selling price ("SSP") for each distinct performance obligation. The Company typically has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249" w:lineRule="exact"/>
        <w:rPr>
          <w:sz w:val="20"/>
          <w:szCs w:val="20"/>
          <w:color w:val="auto"/>
        </w:rPr>
      </w:pPr>
    </w:p>
    <w:p>
      <w:pPr>
        <w:ind w:firstLine="314"/>
        <w:spacing w:after="0" w:line="272" w:lineRule="auto"/>
        <w:rPr>
          <w:sz w:val="20"/>
          <w:szCs w:val="20"/>
          <w:color w:val="auto"/>
        </w:rPr>
      </w:pPr>
      <w:r>
        <w:rPr>
          <w:rFonts w:ascii="Arial" w:cs="Arial" w:eastAsia="Arial" w:hAnsi="Arial"/>
          <w:sz w:val="17"/>
          <w:szCs w:val="17"/>
          <w:color w:val="auto"/>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recognition of revenue.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49" w:lineRule="exact"/>
        <w:rPr>
          <w:sz w:val="20"/>
          <w:szCs w:val="20"/>
          <w:color w:val="auto"/>
        </w:rPr>
      </w:pPr>
    </w:p>
    <w:p>
      <w:pPr>
        <w:ind w:firstLine="314"/>
        <w:spacing w:after="0" w:line="321" w:lineRule="auto"/>
        <w:rPr>
          <w:sz w:val="20"/>
          <w:szCs w:val="20"/>
          <w:color w:val="auto"/>
        </w:rPr>
      </w:pPr>
      <w:r>
        <w:rPr>
          <w:rFonts w:ascii="Arial" w:cs="Arial" w:eastAsia="Arial" w:hAnsi="Arial"/>
          <w:sz w:val="16"/>
          <w:szCs w:val="16"/>
          <w:color w:val="auto"/>
        </w:rPr>
        <w:t>The Company disaggregates its revenue from contracts with customers based on the nature of the products and services and the geographic regions in which each customer is domiciled. The Company's revenue for the three and nine months ended September 30, 2022 and 2021 was disaggregated as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461" w:right="35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Service revenue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 revenue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Product revenue</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6"/>
              </w:rPr>
              <w:t>(professional</w:t>
            </w:r>
          </w:p>
        </w:tc>
        <w:tc>
          <w:tcPr>
            <w:tcW w:w="180" w:type="dxa"/>
            <w:vAlign w:val="bottom"/>
          </w:tcPr>
          <w:p>
            <w:pPr>
              <w:spacing w:after="0"/>
              <w:rPr>
                <w:sz w:val="12"/>
                <w:szCs w:val="12"/>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4"/>
              </w:rPr>
              <w:t>Total revenue</w:t>
            </w:r>
          </w:p>
        </w:tc>
        <w:tc>
          <w:tcPr>
            <w:tcW w:w="0" w:type="dxa"/>
            <w:vAlign w:val="bottom"/>
          </w:tcPr>
          <w:p>
            <w:pPr>
              <w:spacing w:after="0"/>
              <w:rPr>
                <w:sz w:val="1"/>
                <w:szCs w:val="1"/>
                <w:color w:val="auto"/>
              </w:rPr>
            </w:pPr>
          </w:p>
        </w:tc>
      </w:tr>
      <w:tr>
        <w:trPr>
          <w:trHeight w:val="191"/>
        </w:trPr>
        <w:tc>
          <w:tcPr>
            <w:tcW w:w="5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(maintenance)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87,037</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Europe, Middle East and Africa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42,454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69,623</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33,645</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16,822</w:t>
            </w:r>
          </w:p>
        </w:tc>
        <w:tc>
          <w:tcPr>
            <w:tcW w:w="0" w:type="dxa"/>
            <w:vAlign w:val="bottom"/>
          </w:tcPr>
          <w:p>
            <w:pPr>
              <w:spacing w:after="0"/>
              <w:rPr>
                <w:sz w:val="1"/>
                <w:szCs w:val="1"/>
                <w:color w:val="auto"/>
              </w:rPr>
            </w:pPr>
          </w:p>
        </w:tc>
      </w:tr>
      <w:tr>
        <w:trPr>
          <w:trHeight w:val="240"/>
        </w:trPr>
        <w:tc>
          <w:tcPr>
            <w:tcW w:w="5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207,127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Service revenue</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 revenue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Product revenue</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(professional</w:t>
            </w:r>
          </w:p>
        </w:tc>
        <w:tc>
          <w:tcPr>
            <w:tcW w:w="180" w:type="dxa"/>
            <w:vAlign w:val="bottom"/>
          </w:tcPr>
          <w:p>
            <w:pPr>
              <w:spacing w:after="0"/>
              <w:rPr>
                <w:sz w:val="12"/>
                <w:szCs w:val="12"/>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4"/>
              </w:rPr>
              <w:t>Total revenue</w:t>
            </w:r>
          </w:p>
        </w:tc>
        <w:tc>
          <w:tcPr>
            <w:tcW w:w="0" w:type="dxa"/>
            <w:vAlign w:val="bottom"/>
          </w:tcPr>
          <w:p>
            <w:pPr>
              <w:spacing w:after="0"/>
              <w:rPr>
                <w:sz w:val="1"/>
                <w:szCs w:val="1"/>
                <w:color w:val="auto"/>
              </w:rPr>
            </w:pPr>
          </w:p>
        </w:tc>
      </w:tr>
      <w:tr>
        <w:trPr>
          <w:trHeight w:val="187"/>
        </w:trPr>
        <w:tc>
          <w:tcPr>
            <w:tcW w:w="5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(maintenance)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93,289</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Europe, Middle East and Africa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7,971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59,495</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40,920</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16,694</w:t>
            </w:r>
          </w:p>
        </w:tc>
        <w:tc>
          <w:tcPr>
            <w:tcW w:w="0" w:type="dxa"/>
            <w:vAlign w:val="bottom"/>
          </w:tcPr>
          <w:p>
            <w:pPr>
              <w:spacing w:after="0"/>
              <w:rPr>
                <w:sz w:val="1"/>
                <w:szCs w:val="1"/>
                <w:color w:val="auto"/>
              </w:rPr>
            </w:pPr>
          </w:p>
        </w:tc>
      </w:tr>
      <w:tr>
        <w:trPr>
          <w:trHeight w:val="240"/>
        </w:trPr>
        <w:tc>
          <w:tcPr>
            <w:tcW w:w="5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210,398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Service revenue</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 revenue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Product revenue</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(professional</w:t>
            </w:r>
          </w:p>
        </w:tc>
        <w:tc>
          <w:tcPr>
            <w:tcW w:w="180" w:type="dxa"/>
            <w:vAlign w:val="bottom"/>
          </w:tcPr>
          <w:p>
            <w:pPr>
              <w:spacing w:after="0"/>
              <w:rPr>
                <w:sz w:val="12"/>
                <w:szCs w:val="12"/>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4"/>
              </w:rPr>
              <w:t>Total revenue</w:t>
            </w:r>
          </w:p>
        </w:tc>
        <w:tc>
          <w:tcPr>
            <w:tcW w:w="0" w:type="dxa"/>
            <w:vAlign w:val="bottom"/>
          </w:tcPr>
          <w:p>
            <w:pPr>
              <w:spacing w:after="0"/>
              <w:rPr>
                <w:sz w:val="1"/>
                <w:szCs w:val="1"/>
                <w:color w:val="auto"/>
              </w:rPr>
            </w:pPr>
          </w:p>
        </w:tc>
      </w:tr>
      <w:tr>
        <w:trPr>
          <w:trHeight w:val="189"/>
        </w:trPr>
        <w:tc>
          <w:tcPr>
            <w:tcW w:w="5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(maintenance)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260,835</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Europe, Middle East and Africa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172,359</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106,440</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46,487</w:t>
            </w:r>
          </w:p>
        </w:tc>
        <w:tc>
          <w:tcPr>
            <w:tcW w:w="0" w:type="dxa"/>
            <w:vAlign w:val="bottom"/>
          </w:tcPr>
          <w:p>
            <w:pPr>
              <w:spacing w:after="0"/>
              <w:rPr>
                <w:sz w:val="1"/>
                <w:szCs w:val="1"/>
                <w:color w:val="auto"/>
              </w:rPr>
            </w:pPr>
          </w:p>
        </w:tc>
      </w:tr>
      <w:tr>
        <w:trPr>
          <w:trHeight w:val="240"/>
        </w:trPr>
        <w:tc>
          <w:tcPr>
            <w:tcW w:w="5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305,809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586,121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Service revenue</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 revenue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Product revenue</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(professional</w:t>
            </w:r>
          </w:p>
        </w:tc>
        <w:tc>
          <w:tcPr>
            <w:tcW w:w="180" w:type="dxa"/>
            <w:vAlign w:val="bottom"/>
          </w:tcPr>
          <w:p>
            <w:pPr>
              <w:spacing w:after="0"/>
              <w:rPr>
                <w:sz w:val="12"/>
                <w:szCs w:val="12"/>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4"/>
              </w:rPr>
              <w:t>Total revenue</w:t>
            </w:r>
          </w:p>
        </w:tc>
        <w:tc>
          <w:tcPr>
            <w:tcW w:w="0" w:type="dxa"/>
            <w:vAlign w:val="bottom"/>
          </w:tcPr>
          <w:p>
            <w:pPr>
              <w:spacing w:after="0"/>
              <w:rPr>
                <w:sz w:val="1"/>
                <w:szCs w:val="1"/>
                <w:color w:val="auto"/>
              </w:rPr>
            </w:pPr>
          </w:p>
        </w:tc>
      </w:tr>
      <w:tr>
        <w:trPr>
          <w:trHeight w:val="187"/>
        </w:trPr>
        <w:tc>
          <w:tcPr>
            <w:tcW w:w="5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(maintenance)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140,074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273,403</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Europe, Middle East and Africa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174,057</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115,803</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51,117</w:t>
            </w:r>
          </w:p>
        </w:tc>
        <w:tc>
          <w:tcPr>
            <w:tcW w:w="0" w:type="dxa"/>
            <w:vAlign w:val="bottom"/>
          </w:tcPr>
          <w:p>
            <w:pPr>
              <w:spacing w:after="0"/>
              <w:rPr>
                <w:sz w:val="1"/>
                <w:szCs w:val="1"/>
                <w:color w:val="auto"/>
              </w:rPr>
            </w:pPr>
          </w:p>
        </w:tc>
      </w:tr>
      <w:tr>
        <w:trPr>
          <w:trHeight w:val="240"/>
        </w:trPr>
        <w:tc>
          <w:tcPr>
            <w:tcW w:w="5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212,812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614,380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340" w:firstLine="314"/>
        <w:spacing w:after="0" w:line="288" w:lineRule="auto"/>
        <w:rPr>
          <w:sz w:val="20"/>
          <w:szCs w:val="20"/>
          <w:color w:val="auto"/>
        </w:rPr>
      </w:pPr>
      <w:r>
        <w:rPr>
          <w:rFonts w:ascii="Arial" w:cs="Arial" w:eastAsia="Arial" w:hAnsi="Arial"/>
          <w:sz w:val="17"/>
          <w:szCs w:val="17"/>
          <w:color w:val="auto"/>
        </w:rPr>
        <w:t>The Company's product revenue from indirect sales through its channel partner program and from its direct sales program for the three and nine months ended September 30, 2022 and 2021 was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2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60"/>
              <w:spacing w:after="0" w:line="124"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2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60"/>
              <w:spacing w:after="0" w:line="124" w:lineRule="exact"/>
              <w:rPr>
                <w:sz w:val="20"/>
                <w:szCs w:val="20"/>
                <w:color w:val="auto"/>
              </w:rPr>
            </w:pPr>
            <w:r>
              <w:rPr>
                <w:rFonts w:ascii="Arial" w:cs="Arial" w:eastAsia="Arial" w:hAnsi="Arial"/>
                <w:sz w:val="14"/>
                <w:szCs w:val="14"/>
                <w:b w:val="1"/>
                <w:bCs w:val="1"/>
                <w:color w:val="auto"/>
                <w:w w:val="91"/>
              </w:rPr>
              <w:t>September 30,</w:t>
            </w:r>
          </w:p>
        </w:tc>
      </w:tr>
      <w:tr>
        <w:trPr>
          <w:trHeight w:val="189"/>
        </w:trPr>
        <w:tc>
          <w:tcPr>
            <w:tcW w:w="5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Indirect sales through channel partner program</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34,382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86,335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72,491</w:t>
            </w:r>
          </w:p>
        </w:tc>
      </w:tr>
      <w:tr>
        <w:trPr>
          <w:trHeight w:val="222"/>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Direct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76,770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86,512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219,474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250,253</w:t>
            </w:r>
          </w:p>
        </w:tc>
      </w:tr>
      <w:tr>
        <w:trPr>
          <w:trHeight w:val="240"/>
        </w:trPr>
        <w:tc>
          <w:tcPr>
            <w:tcW w:w="5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111,152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111,726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305,809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322,744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Company's product revenue from sales to enterprise customers and from sales to service provider customers for the three and nine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 was as follows (in thousands):</w:t>
      </w:r>
    </w:p>
    <w:p>
      <w:pPr>
        <w:sectPr>
          <w:pgSz w:w="11900" w:h="16838" w:orient="portrait"/>
          <w:cols w:equalWidth="0" w:num="1">
            <w:col w:w="11240"/>
          </w:cols>
          <w:pgMar w:left="320" w:top="461"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5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4"/>
        </w:trPr>
        <w:tc>
          <w:tcPr>
            <w:tcW w:w="5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60"/>
              <w:spacing w:after="0" w:line="124"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40"/>
              <w:spacing w:after="0" w:line="124" w:lineRule="exact"/>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60"/>
              <w:spacing w:after="0" w:line="124"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40"/>
              <w:spacing w:after="0" w:line="124" w:lineRule="exact"/>
              <w:rPr>
                <w:sz w:val="20"/>
                <w:szCs w:val="20"/>
                <w:color w:val="auto"/>
              </w:rPr>
            </w:pPr>
            <w:r>
              <w:rPr>
                <w:rFonts w:ascii="Arial" w:cs="Arial" w:eastAsia="Arial" w:hAnsi="Arial"/>
                <w:sz w:val="14"/>
                <w:szCs w:val="14"/>
                <w:b w:val="1"/>
                <w:bCs w:val="1"/>
                <w:color w:val="auto"/>
                <w:w w:val="93"/>
              </w:rPr>
              <w:t>September 30,</w:t>
            </w:r>
          </w:p>
        </w:tc>
      </w:tr>
      <w:tr>
        <w:trPr>
          <w:trHeight w:val="189"/>
        </w:trPr>
        <w:tc>
          <w:tcPr>
            <w:tcW w:w="5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to enterprise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33,136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78,056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67,225</w:t>
            </w:r>
          </w:p>
        </w:tc>
      </w:tr>
      <w:tr>
        <w:trPr>
          <w:trHeight w:val="222"/>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Sales to service provider customers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78,016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91,692</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227,753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255,519</w:t>
            </w:r>
          </w:p>
        </w:tc>
      </w:tr>
      <w:tr>
        <w:trPr>
          <w:trHeight w:val="240"/>
        </w:trPr>
        <w:tc>
          <w:tcPr>
            <w:tcW w:w="5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111,152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111,726</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305,809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322,744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Company's product revenue and service revenue components by segment for the three and nine months ended September 30, 2022 and 2021 were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6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7"/>
        </w:trPr>
        <w:tc>
          <w:tcPr>
            <w:tcW w:w="5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2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6"/>
              <w:spacing w:after="0" w:line="12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2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6"/>
              <w:spacing w:after="0" w:line="127" w:lineRule="exact"/>
              <w:rPr>
                <w:sz w:val="20"/>
                <w:szCs w:val="20"/>
                <w:color w:val="auto"/>
              </w:rPr>
            </w:pPr>
            <w:r>
              <w:rPr>
                <w:rFonts w:ascii="Arial" w:cs="Arial" w:eastAsia="Arial" w:hAnsi="Arial"/>
                <w:sz w:val="14"/>
                <w:szCs w:val="14"/>
                <w:b w:val="1"/>
                <w:bCs w:val="1"/>
                <w:color w:val="auto"/>
                <w:w w:val="91"/>
              </w:rPr>
              <w:t>September 30,</w:t>
            </w:r>
          </w:p>
        </w:tc>
      </w:tr>
      <w:tr>
        <w:trPr>
          <w:trHeight w:val="187"/>
        </w:trPr>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560" w:type="dxa"/>
            <w:vAlign w:val="bottom"/>
          </w:tcPr>
          <w:p>
            <w:pPr>
              <w:ind w:left="100"/>
              <w:spacing w:after="0"/>
              <w:rPr>
                <w:sz w:val="20"/>
                <w:szCs w:val="20"/>
                <w:color w:val="auto"/>
              </w:rPr>
            </w:pPr>
            <w:r>
              <w:rPr>
                <w:rFonts w:ascii="Arial" w:cs="Arial" w:eastAsia="Arial" w:hAnsi="Arial"/>
                <w:sz w:val="17"/>
                <w:szCs w:val="17"/>
                <w:color w:val="auto"/>
              </w:rPr>
              <w:t>Cloud and Edge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51,321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65,587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153,081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180,100</w:t>
            </w:r>
          </w:p>
        </w:tc>
      </w:tr>
      <w:tr>
        <w:trPr>
          <w:trHeight w:val="222"/>
        </w:trPr>
        <w:tc>
          <w:tcPr>
            <w:tcW w:w="5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IP Optical Networks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46,139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152,728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142,644</w:t>
            </w:r>
          </w:p>
        </w:tc>
      </w:tr>
      <w:tr>
        <w:trPr>
          <w:trHeight w:val="215"/>
        </w:trPr>
        <w:tc>
          <w:tcPr>
            <w:tcW w:w="5560" w:type="dxa"/>
            <w:vAlign w:val="bottom"/>
          </w:tcPr>
          <w:p>
            <w:pPr>
              <w:ind w:left="200"/>
              <w:spacing w:after="0"/>
              <w:rPr>
                <w:sz w:val="20"/>
                <w:szCs w:val="20"/>
                <w:color w:val="auto"/>
              </w:rPr>
            </w:pPr>
            <w:r>
              <w:rPr>
                <w:rFonts w:ascii="Arial" w:cs="Arial" w:eastAsia="Arial" w:hAnsi="Arial"/>
                <w:sz w:val="17"/>
                <w:szCs w:val="17"/>
                <w:color w:val="auto"/>
              </w:rPr>
              <w:t>Total product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111,152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111,726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305,809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322,744</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2"/>
        </w:trPr>
        <w:tc>
          <w:tcPr>
            <w:tcW w:w="5560" w:type="dxa"/>
            <w:vAlign w:val="bottom"/>
          </w:tcPr>
          <w:p>
            <w:pPr>
              <w:ind w:left="20"/>
              <w:spacing w:after="0"/>
              <w:rPr>
                <w:sz w:val="20"/>
                <w:szCs w:val="20"/>
                <w:color w:val="auto"/>
              </w:rPr>
            </w:pPr>
            <w:r>
              <w:rPr>
                <w:rFonts w:ascii="Arial" w:cs="Arial" w:eastAsia="Arial" w:hAnsi="Arial"/>
                <w:sz w:val="17"/>
                <w:szCs w:val="17"/>
                <w:color w:val="auto"/>
              </w:rPr>
              <w:t>Service revenue: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5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Maintenance: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5560" w:type="dxa"/>
            <w:vAlign w:val="bottom"/>
          </w:tcPr>
          <w:p>
            <w:pPr>
              <w:ind w:left="200"/>
              <w:spacing w:after="0"/>
              <w:rPr>
                <w:sz w:val="20"/>
                <w:szCs w:val="20"/>
                <w:color w:val="auto"/>
              </w:rPr>
            </w:pPr>
            <w:r>
              <w:rPr>
                <w:rFonts w:ascii="Arial" w:cs="Arial" w:eastAsia="Arial" w:hAnsi="Arial"/>
                <w:sz w:val="17"/>
                <w:szCs w:val="17"/>
                <w:color w:val="auto"/>
              </w:rPr>
              <w:t>Cloud and Edge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55,686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56,786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165,895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169,445</w:t>
            </w:r>
          </w:p>
        </w:tc>
      </w:tr>
      <w:tr>
        <w:trPr>
          <w:trHeight w:val="222"/>
        </w:trPr>
        <w:tc>
          <w:tcPr>
            <w:tcW w:w="5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IP Optical Networks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43,367</w:t>
            </w:r>
          </w:p>
        </w:tc>
      </w:tr>
      <w:tr>
        <w:trPr>
          <w:trHeight w:val="215"/>
        </w:trPr>
        <w:tc>
          <w:tcPr>
            <w:tcW w:w="55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Total maintenance revenue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71,670</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212,812</w:t>
            </w:r>
          </w:p>
        </w:tc>
      </w:tr>
      <w:tr>
        <w:trPr>
          <w:trHeight w:val="202"/>
        </w:trPr>
        <w:tc>
          <w:tcPr>
            <w:tcW w:w="5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Professional services: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2"/>
        </w:trPr>
        <w:tc>
          <w:tcPr>
            <w:tcW w:w="5560" w:type="dxa"/>
            <w:vAlign w:val="bottom"/>
          </w:tcPr>
          <w:p>
            <w:pPr>
              <w:ind w:left="200"/>
              <w:spacing w:after="0"/>
              <w:rPr>
                <w:sz w:val="20"/>
                <w:szCs w:val="20"/>
                <w:color w:val="auto"/>
              </w:rPr>
            </w:pPr>
            <w:r>
              <w:rPr>
                <w:rFonts w:ascii="Arial" w:cs="Arial" w:eastAsia="Arial" w:hAnsi="Arial"/>
                <w:sz w:val="17"/>
                <w:szCs w:val="17"/>
                <w:color w:val="auto"/>
              </w:rPr>
              <w:t>Cloud and Edge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59,735</w:t>
            </w:r>
          </w:p>
        </w:tc>
      </w:tr>
      <w:tr>
        <w:trPr>
          <w:trHeight w:val="222"/>
        </w:trPr>
        <w:tc>
          <w:tcPr>
            <w:tcW w:w="5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IP Optical Networks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6,938</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19,089</w:t>
            </w:r>
          </w:p>
        </w:tc>
      </w:tr>
      <w:tr>
        <w:trPr>
          <w:trHeight w:val="215"/>
        </w:trPr>
        <w:tc>
          <w:tcPr>
            <w:tcW w:w="55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Total professional services revenue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27,002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78,824</w:t>
            </w:r>
          </w:p>
        </w:tc>
      </w:tr>
      <w:tr>
        <w:trPr>
          <w:trHeight w:val="24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service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98,672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280,312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291,636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Contract Balances</w:t>
      </w:r>
    </w:p>
    <w:p>
      <w:pPr>
        <w:spacing w:after="0" w:line="249" w:lineRule="exact"/>
        <w:rPr>
          <w:sz w:val="20"/>
          <w:szCs w:val="20"/>
          <w:color w:val="auto"/>
        </w:rPr>
      </w:pPr>
    </w:p>
    <w:p>
      <w:pPr>
        <w:ind w:right="60" w:firstLine="314"/>
        <w:spacing w:after="0" w:line="278"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which are contract assets; and customer advances and deposits, which are contract liabilities, in the Company's condensed consolidated balance sheets. Amounts are billed as work progresses in accordance with agreed-upon contractual terms, either at periodic intervals or upon achievement of contractual milestones. Completion of services and billing may occur subsequent to revenue recognition, resulting in contract assets. The Company may receive advances or deposits from its customers before revenue is recognized, resulting in contract liabilities that are classified as deferred revenue. These assets and liabilities are reported in the Company's condensed consolidated balance sheets on a contract-by-contract basis as of the end of each reporting period. Changes in the contract asset and liability balances during the three months ended September 30, 2022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w:t>
      </w:r>
    </w:p>
    <w:p>
      <w:pPr>
        <w:spacing w:after="0" w:line="199" w:lineRule="exact"/>
        <w:rPr>
          <w:sz w:val="20"/>
          <w:szCs w:val="20"/>
          <w:color w:val="auto"/>
        </w:rPr>
      </w:pPr>
    </w:p>
    <w:p>
      <w:pPr>
        <w:ind w:right="180" w:firstLine="314"/>
        <w:spacing w:after="0" w:line="284" w:lineRule="auto"/>
        <w:rPr>
          <w:sz w:val="20"/>
          <w:szCs w:val="20"/>
          <w:color w:val="auto"/>
        </w:rPr>
      </w:pPr>
      <w:r>
        <w:rPr>
          <w:rFonts w:ascii="Arial" w:cs="Arial" w:eastAsia="Arial" w:hAnsi="Arial"/>
          <w:sz w:val="16"/>
          <w:szCs w:val="16"/>
          <w:color w:val="auto"/>
        </w:rPr>
        <w:t>In some arrangements, the Company allows customers to pay for term-based software licenses and products over the term of the software license. The Company also sells SaaS-based software under subscription arrangements, with 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condensed consolidated balance sheets. The changes in the Company's accounts receivable, unbilled receivables and deferred revenue balances for the nine months ended September 30, 2022 were as follows (in thousands):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9"/>
              </w:rPr>
              <w:t>Accounts receivable</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Unbilled accounts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Deferred revenue</w:t>
            </w:r>
          </w:p>
        </w:tc>
        <w:tc>
          <w:tcPr>
            <w:tcW w:w="12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Deferred revenue</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receivable</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(current)</w:t>
            </w:r>
          </w:p>
        </w:tc>
        <w:tc>
          <w:tcPr>
            <w:tcW w:w="1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22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 2022</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208,972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20,619</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Increase (decrease), net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1,566</w:t>
            </w:r>
          </w:p>
        </w:tc>
        <w:tc>
          <w:tcPr>
            <w:tcW w:w="0" w:type="dxa"/>
            <w:vAlign w:val="bottom"/>
          </w:tcPr>
          <w:p>
            <w:pPr>
              <w:spacing w:after="0"/>
              <w:rPr>
                <w:sz w:val="1"/>
                <w:szCs w:val="1"/>
                <w:color w:val="auto"/>
              </w:rPr>
            </w:pPr>
          </w:p>
        </w:tc>
      </w:tr>
      <w:tr>
        <w:trPr>
          <w:trHeight w:val="24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right="40" w:firstLine="314"/>
        <w:spacing w:after="0" w:line="264" w:lineRule="auto"/>
        <w:rPr>
          <w:sz w:val="20"/>
          <w:szCs w:val="20"/>
          <w:color w:val="auto"/>
        </w:rPr>
      </w:pPr>
      <w:r>
        <w:rPr>
          <w:rFonts w:ascii="Arial" w:cs="Arial" w:eastAsia="Arial" w:hAnsi="Arial"/>
          <w:sz w:val="17"/>
          <w:szCs w:val="17"/>
          <w:color w:val="auto"/>
        </w:rPr>
        <w:t>The Company recognized approximately $85 million of revenue in the nine months ended September 30, 2022 that was recorded as deferred revenue at December 31, 2021 and approximately $81 million of revenue in the nine months ended September 30, 2021 that was recorded as deferred revenue at December 31, 2020. Of the Company's deferred revenue reported as long-term in its condensed consolidated balance sheet at September 30, 2022, the Company expects that approximately $4 million will be recognized as revenue in 2023, approximately $10 million will be recognized as revenue in 2024 and approximately $8 million will be recognized as revenue in 2025 and beyond.</w:t>
      </w:r>
    </w:p>
    <w:p>
      <w:pPr>
        <w:spacing w:after="0" w:line="206" w:lineRule="exact"/>
        <w:rPr>
          <w:sz w:val="20"/>
          <w:szCs w:val="20"/>
          <w:color w:val="auto"/>
        </w:rPr>
      </w:pPr>
    </w:p>
    <w:p>
      <w:pPr>
        <w:ind w:firstLine="314"/>
        <w:spacing w:after="0" w:line="272" w:lineRule="auto"/>
        <w:rPr>
          <w:sz w:val="20"/>
          <w:szCs w:val="20"/>
          <w:color w:val="auto"/>
        </w:rPr>
      </w:pPr>
      <w:r>
        <w:rPr>
          <w:rFonts w:ascii="Arial" w:cs="Arial" w:eastAsia="Arial" w:hAnsi="Arial"/>
          <w:sz w:val="17"/>
          <w:szCs w:val="17"/>
          <w:color w:val="auto"/>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condensed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 Cost</w:t>
      </w:r>
    </w:p>
    <w:p>
      <w:pPr>
        <w:spacing w:after="0" w:line="249" w:lineRule="exact"/>
        <w:rPr>
          <w:sz w:val="20"/>
          <w:szCs w:val="20"/>
          <w:color w:val="auto"/>
        </w:rPr>
      </w:pPr>
    </w:p>
    <w:p>
      <w:pPr>
        <w:ind w:right="60" w:firstLine="314"/>
        <w:spacing w:after="0" w:line="313" w:lineRule="auto"/>
        <w:rPr>
          <w:sz w:val="20"/>
          <w:szCs w:val="20"/>
          <w:color w:val="auto"/>
        </w:rPr>
      </w:pPr>
      <w:r>
        <w:rPr>
          <w:rFonts w:ascii="Arial" w:cs="Arial" w:eastAsia="Arial" w:hAnsi="Arial"/>
          <w:sz w:val="15"/>
          <w:szCs w:val="15"/>
          <w:color w:val="auto"/>
        </w:rPr>
        <w:t>Sales commissions earned by the Company's employees are considered incremental and recoverable costs of obtaining a contract with a customer. Expense related to commission payments has been deferred on our condensed consolidated balance sheet and is being amortized over the expected life of the customer contract, which averages five years. The current and long-term portions of deferred commission expense are included as components of Other current assets and Other assets, respectively. At both September 30, 2022 and December 31, 2021, the Company had $3.8 million of deferred sales commissions capitalized.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OPERATING SEGMENT INFORMATION</w:t>
      </w:r>
    </w:p>
    <w:p>
      <w:pPr>
        <w:spacing w:after="0" w:line="255" w:lineRule="exact"/>
        <w:rPr>
          <w:sz w:val="20"/>
          <w:szCs w:val="20"/>
          <w:color w:val="auto"/>
        </w:rPr>
      </w:pPr>
    </w:p>
    <w:p>
      <w:pPr>
        <w:ind w:right="80" w:firstLine="314"/>
        <w:spacing w:after="0" w:line="288" w:lineRule="auto"/>
        <w:rPr>
          <w:sz w:val="20"/>
          <w:szCs w:val="20"/>
          <w:color w:val="auto"/>
        </w:rPr>
      </w:pPr>
      <w:r>
        <w:rPr>
          <w:rFonts w:ascii="Arial" w:cs="Arial" w:eastAsia="Arial" w:hAnsi="Arial"/>
          <w:sz w:val="17"/>
          <w:szCs w:val="17"/>
          <w:color w:val="auto"/>
        </w:rPr>
        <w:t>The Company has two reportable segments, which are intended to align with the manner in which the business is managed: Cloud and Edge, and IP Optical Networks.</w:t>
      </w:r>
    </w:p>
    <w:p>
      <w:pPr>
        <w:spacing w:after="0" w:line="184" w:lineRule="exact"/>
        <w:rPr>
          <w:sz w:val="20"/>
          <w:szCs w:val="20"/>
          <w:color w:val="auto"/>
        </w:rPr>
      </w:pPr>
    </w:p>
    <w:p>
      <w:pPr>
        <w:ind w:right="80" w:firstLine="314"/>
        <w:spacing w:after="0" w:line="307" w:lineRule="auto"/>
        <w:rPr>
          <w:sz w:val="20"/>
          <w:szCs w:val="20"/>
          <w:color w:val="auto"/>
        </w:rPr>
      </w:pPr>
      <w:r>
        <w:rPr>
          <w:rFonts w:ascii="Arial" w:cs="Arial" w:eastAsia="Arial" w:hAnsi="Arial"/>
          <w:sz w:val="15"/>
          <w:szCs w:val="15"/>
          <w:color w:val="auto"/>
        </w:rPr>
        <w:t>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 cloud-native for deployment on private, public or hybrid cloud infrastructures, in data centers, on enterprise premises and within service provider networks. Ribbon's Cloud and Edge product portfolio consists of its Session Border Controller ("SBC") products and its Network Transformation ("NTR") products.</w:t>
      </w:r>
    </w:p>
    <w:p>
      <w:pPr>
        <w:spacing w:after="0" w:line="178" w:lineRule="exact"/>
        <w:rPr>
          <w:sz w:val="20"/>
          <w:szCs w:val="20"/>
          <w:color w:val="auto"/>
        </w:rPr>
      </w:pPr>
    </w:p>
    <w:p>
      <w:pPr>
        <w:ind w:right="140" w:firstLine="314"/>
        <w:spacing w:after="0" w:line="267" w:lineRule="auto"/>
        <w:rPr>
          <w:sz w:val="20"/>
          <w:szCs w:val="20"/>
          <w:color w:val="auto"/>
        </w:rPr>
      </w:pPr>
      <w:r>
        <w:rPr>
          <w:rFonts w:ascii="Arial" w:cs="Arial" w:eastAsia="Arial" w:hAnsi="Arial"/>
          <w:sz w:val="17"/>
          <w:szCs w:val="17"/>
          <w:color w:val="auto"/>
        </w:rPr>
        <w:t>The IP Optical Networks segment provides high-performance, secure solutions for IP networking and optical transport, supporting wireless networks including 5G, metro and edge aggregation, core networking, data center interconnect, legacy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202" w:lineRule="exact"/>
        <w:rPr>
          <w:sz w:val="20"/>
          <w:szCs w:val="20"/>
          <w:color w:val="auto"/>
        </w:rPr>
      </w:pPr>
    </w:p>
    <w:p>
      <w:pPr>
        <w:ind w:right="120" w:firstLine="314"/>
        <w:spacing w:after="0" w:line="272" w:lineRule="auto"/>
        <w:rPr>
          <w:sz w:val="20"/>
          <w:szCs w:val="20"/>
          <w:color w:val="auto"/>
        </w:rPr>
      </w:pPr>
      <w:r>
        <w:rPr>
          <w:rFonts w:ascii="Arial" w:cs="Arial" w:eastAsia="Arial" w:hAnsi="Arial"/>
          <w:sz w:val="17"/>
          <w:szCs w:val="17"/>
          <w:color w:val="auto"/>
        </w:rPr>
        <w:t>The Company has not provided segment asset information as such information is not provided to the CODM and accordingly, asset information is not used in assessing segment performance. Segment revenue and expenses included in the tables below represent direct revenue and expense attributable to each segment. Please see Note 4 for information regarding the allocation of goodwill between segments.</w:t>
      </w:r>
    </w:p>
    <w:p>
      <w:pPr>
        <w:spacing w:after="0" w:line="198" w:lineRule="exact"/>
        <w:rPr>
          <w:sz w:val="20"/>
          <w:szCs w:val="20"/>
          <w:color w:val="auto"/>
        </w:rPr>
      </w:pPr>
    </w:p>
    <w:p>
      <w:pPr>
        <w:ind w:right="120" w:firstLine="314"/>
        <w:spacing w:after="0" w:line="288" w:lineRule="auto"/>
        <w:rPr>
          <w:sz w:val="20"/>
          <w:szCs w:val="20"/>
          <w:color w:val="auto"/>
        </w:rPr>
      </w:pPr>
      <w:r>
        <w:rPr>
          <w:rFonts w:ascii="Arial" w:cs="Arial" w:eastAsia="Arial" w:hAnsi="Arial"/>
          <w:sz w:val="17"/>
          <w:szCs w:val="17"/>
          <w:color w:val="auto"/>
        </w:rPr>
        <w:t>The CODM utilizes revenue and adjusted gross profit to measure and assess each segment's performance. The Company calculates adjusted gross profit by excluding from cost of revenue: amortization of acquired technology and stock-based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compensation, and may also exclude other items in future periods that the Company believes are not part of the Company's core business. Adjusted gross profit is not a financial measure determined in accordance with U.S. GAAP and may not be comparable to similarly titled measures used by other companies, and should not be considered a substitute for gross profit or other results reported in accordance with U.S. GAAP. See below for a reconciliation of adjusted gross profit to gross profit, which is the most directly comparable U.S. GAAP measure.</w:t>
      </w:r>
    </w:p>
    <w:p>
      <w:pPr>
        <w:spacing w:after="0" w:line="202" w:lineRule="exact"/>
        <w:rPr>
          <w:sz w:val="20"/>
          <w:szCs w:val="20"/>
          <w:color w:val="auto"/>
        </w:rPr>
      </w:pPr>
    </w:p>
    <w:p>
      <w:pPr>
        <w:ind w:right="500" w:firstLine="314"/>
        <w:spacing w:after="0" w:line="288" w:lineRule="auto"/>
        <w:rPr>
          <w:sz w:val="20"/>
          <w:szCs w:val="20"/>
          <w:color w:val="auto"/>
        </w:rPr>
      </w:pPr>
      <w:r>
        <w:rPr>
          <w:rFonts w:ascii="Arial" w:cs="Arial" w:eastAsia="Arial" w:hAnsi="Arial"/>
          <w:sz w:val="17"/>
          <w:szCs w:val="17"/>
          <w:color w:val="auto"/>
        </w:rPr>
        <w:t>The tables below provide information regarding revenue, adjusted gross profit, and depreciation expense by reportable segment for the three and nine months ended September 30, 2022 and 2021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719"/>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7"/>
        </w:trPr>
        <w:tc>
          <w:tcPr>
            <w:tcW w:w="55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280"/>
              <w:spacing w:after="0" w:line="127" w:lineRule="exact"/>
              <w:rPr>
                <w:sz w:val="20"/>
                <w:szCs w:val="20"/>
                <w:color w:val="auto"/>
              </w:rPr>
            </w:pPr>
            <w:r>
              <w:rPr>
                <w:rFonts w:ascii="Arial" w:cs="Arial" w:eastAsia="Arial" w:hAnsi="Arial"/>
                <w:sz w:val="14"/>
                <w:szCs w:val="14"/>
                <w:b w:val="1"/>
                <w:bCs w:val="1"/>
                <w:color w:val="auto"/>
                <w:w w:val="87"/>
              </w:rPr>
              <w:t>September 30,</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9"/>
              <w:spacing w:after="0" w:line="127" w:lineRule="exact"/>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280"/>
              <w:spacing w:after="0" w:line="127"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9"/>
              <w:spacing w:after="0" w:line="127" w:lineRule="exact"/>
              <w:rPr>
                <w:sz w:val="20"/>
                <w:szCs w:val="20"/>
                <w:color w:val="auto"/>
              </w:rPr>
            </w:pPr>
            <w:r>
              <w:rPr>
                <w:rFonts w:ascii="Arial" w:cs="Arial" w:eastAsia="Arial" w:hAnsi="Arial"/>
                <w:sz w:val="14"/>
                <w:szCs w:val="14"/>
                <w:b w:val="1"/>
                <w:bCs w:val="1"/>
                <w:color w:val="auto"/>
                <w:w w:val="87"/>
              </w:rPr>
              <w:t>September 30,</w:t>
            </w:r>
          </w:p>
        </w:tc>
      </w:tr>
      <w:tr>
        <w:trPr>
          <w:trHeight w:val="187"/>
        </w:trPr>
        <w:tc>
          <w:tcPr>
            <w:tcW w:w="5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520" w:type="dxa"/>
            <w:vAlign w:val="bottom"/>
          </w:tcPr>
          <w:p>
            <w:pPr>
              <w:ind w:left="100"/>
              <w:spacing w:after="0"/>
              <w:rPr>
                <w:sz w:val="20"/>
                <w:szCs w:val="20"/>
                <w:color w:val="auto"/>
              </w:rPr>
            </w:pPr>
            <w:r>
              <w:rPr>
                <w:rFonts w:ascii="Arial" w:cs="Arial" w:eastAsia="Arial" w:hAnsi="Arial"/>
                <w:sz w:val="17"/>
                <w:szCs w:val="17"/>
                <w:color w:val="auto"/>
              </w:rPr>
              <w:t>Cloud and Edge</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124,685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142,437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371,571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409,280</w:t>
            </w:r>
          </w:p>
        </w:tc>
      </w:tr>
      <w:tr>
        <w:trPr>
          <w:trHeight w:val="222"/>
        </w:trPr>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IP Optical Networks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67,961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214,550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205,100</w:t>
            </w:r>
          </w:p>
        </w:tc>
      </w:tr>
      <w:tr>
        <w:trPr>
          <w:trHeight w:val="215"/>
        </w:trPr>
        <w:tc>
          <w:tcPr>
            <w:tcW w:w="5520" w:type="dxa"/>
            <w:vAlign w:val="bottom"/>
          </w:tcPr>
          <w:p>
            <w:pPr>
              <w:ind w:left="200"/>
              <w:spacing w:after="0"/>
              <w:rPr>
                <w:sz w:val="20"/>
                <w:szCs w:val="20"/>
                <w:color w:val="auto"/>
              </w:rPr>
            </w:pPr>
            <w:r>
              <w:rPr>
                <w:rFonts w:ascii="Arial" w:cs="Arial" w:eastAsia="Arial" w:hAnsi="Arial"/>
                <w:sz w:val="17"/>
                <w:szCs w:val="17"/>
                <w:color w:val="auto"/>
              </w:rPr>
              <w:t>Revenue</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614,380</w:t>
            </w:r>
          </w:p>
        </w:tc>
      </w:tr>
      <w:tr>
        <w:trPr>
          <w:trHeight w:val="20"/>
        </w:trPr>
        <w:tc>
          <w:tcPr>
            <w:tcW w:w="5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570"/>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719"/>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280"/>
              <w:spacing w:after="0" w:line="124" w:lineRule="exact"/>
              <w:rPr>
                <w:sz w:val="20"/>
                <w:szCs w:val="20"/>
                <w:color w:val="auto"/>
              </w:rPr>
            </w:pPr>
            <w:r>
              <w:rPr>
                <w:rFonts w:ascii="Arial" w:cs="Arial" w:eastAsia="Arial" w:hAnsi="Arial"/>
                <w:sz w:val="14"/>
                <w:szCs w:val="14"/>
                <w:b w:val="1"/>
                <w:bCs w:val="1"/>
                <w:color w:val="auto"/>
                <w:w w:val="87"/>
              </w:rPr>
              <w:t>September 30,</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99"/>
              <w:spacing w:after="0" w:line="124" w:lineRule="exact"/>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280"/>
              <w:spacing w:after="0" w:line="124"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99"/>
              <w:spacing w:after="0" w:line="124" w:lineRule="exact"/>
              <w:rPr>
                <w:sz w:val="20"/>
                <w:szCs w:val="20"/>
                <w:color w:val="auto"/>
              </w:rPr>
            </w:pPr>
            <w:r>
              <w:rPr>
                <w:rFonts w:ascii="Arial" w:cs="Arial" w:eastAsia="Arial" w:hAnsi="Arial"/>
                <w:sz w:val="14"/>
                <w:szCs w:val="14"/>
                <w:b w:val="1"/>
                <w:bCs w:val="1"/>
                <w:color w:val="auto"/>
                <w:w w:val="87"/>
              </w:rPr>
              <w:t>September 30,</w:t>
            </w:r>
          </w:p>
        </w:tc>
      </w:tr>
      <w:tr>
        <w:trPr>
          <w:trHeight w:val="189"/>
        </w:trPr>
        <w:tc>
          <w:tcPr>
            <w:tcW w:w="5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520" w:type="dxa"/>
            <w:vAlign w:val="bottom"/>
          </w:tcPr>
          <w:p>
            <w:pPr>
              <w:ind w:left="100"/>
              <w:spacing w:after="0"/>
              <w:rPr>
                <w:sz w:val="20"/>
                <w:szCs w:val="20"/>
                <w:color w:val="auto"/>
              </w:rPr>
            </w:pPr>
            <w:r>
              <w:rPr>
                <w:rFonts w:ascii="Arial" w:cs="Arial" w:eastAsia="Arial" w:hAnsi="Arial"/>
                <w:sz w:val="17"/>
                <w:szCs w:val="17"/>
                <w:color w:val="auto"/>
              </w:rPr>
              <w:t>Cloud and Edge</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95,998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243,196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276,170</w:t>
            </w:r>
          </w:p>
        </w:tc>
      </w:tr>
      <w:tr>
        <w:trPr>
          <w:trHeight w:val="222"/>
        </w:trPr>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IP Optical Networks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84,544</w:t>
            </w:r>
          </w:p>
        </w:tc>
      </w:tr>
      <w:tr>
        <w:trPr>
          <w:trHeight w:val="215"/>
        </w:trPr>
        <w:tc>
          <w:tcPr>
            <w:tcW w:w="5520" w:type="dxa"/>
            <w:vAlign w:val="bottom"/>
          </w:tcPr>
          <w:p>
            <w:pPr>
              <w:ind w:left="200"/>
              <w:spacing w:after="0"/>
              <w:rPr>
                <w:sz w:val="20"/>
                <w:szCs w:val="20"/>
                <w:color w:val="auto"/>
              </w:rPr>
            </w:pPr>
            <w:r>
              <w:rPr>
                <w:rFonts w:ascii="Arial" w:cs="Arial" w:eastAsia="Arial" w:hAnsi="Arial"/>
                <w:sz w:val="17"/>
                <w:szCs w:val="17"/>
                <w:color w:val="auto"/>
              </w:rPr>
              <w:t>Total segment adjusted gross profit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112,811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120,916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312,752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360,714</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w:t>
            </w:r>
          </w:p>
        </w:tc>
      </w:tr>
      <w:tr>
        <w:trPr>
          <w:trHeight w:val="222"/>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acquired technology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(29,435)</w:t>
            </w:r>
          </w:p>
        </w:tc>
      </w:tr>
      <w:tr>
        <w:trPr>
          <w:trHeight w:val="24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Gross profit</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110,654</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286,923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329,867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85"/>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99"/>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7"/>
        </w:trPr>
        <w:tc>
          <w:tcPr>
            <w:tcW w:w="5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260"/>
              <w:spacing w:after="0" w:line="127" w:lineRule="exact"/>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60"/>
              <w:spacing w:after="0" w:line="127" w:lineRule="exact"/>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260"/>
              <w:spacing w:after="0" w:line="127"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9"/>
              <w:spacing w:after="0" w:line="127" w:lineRule="exact"/>
              <w:rPr>
                <w:sz w:val="20"/>
                <w:szCs w:val="20"/>
                <w:color w:val="auto"/>
              </w:rPr>
            </w:pPr>
            <w:r>
              <w:rPr>
                <w:rFonts w:ascii="Arial" w:cs="Arial" w:eastAsia="Arial" w:hAnsi="Arial"/>
                <w:sz w:val="14"/>
                <w:szCs w:val="14"/>
                <w:b w:val="1"/>
                <w:bCs w:val="1"/>
                <w:color w:val="auto"/>
                <w:w w:val="87"/>
              </w:rPr>
              <w:t>September 30,</w:t>
            </w:r>
          </w:p>
        </w:tc>
      </w:tr>
      <w:tr>
        <w:trPr>
          <w:trHeight w:val="187"/>
        </w:trPr>
        <w:tc>
          <w:tcPr>
            <w:tcW w:w="5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depreciation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520" w:type="dxa"/>
            <w:vAlign w:val="bottom"/>
          </w:tcPr>
          <w:p>
            <w:pPr>
              <w:ind w:left="100"/>
              <w:spacing w:after="0"/>
              <w:rPr>
                <w:sz w:val="20"/>
                <w:szCs w:val="20"/>
                <w:color w:val="auto"/>
              </w:rPr>
            </w:pPr>
            <w:r>
              <w:rPr>
                <w:rFonts w:ascii="Arial" w:cs="Arial" w:eastAsia="Arial" w:hAnsi="Arial"/>
                <w:sz w:val="17"/>
                <w:szCs w:val="17"/>
                <w:color w:val="auto"/>
              </w:rPr>
              <w:t>Cloud and Edge</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9,297</w:t>
            </w:r>
          </w:p>
        </w:tc>
      </w:tr>
      <w:tr>
        <w:trPr>
          <w:trHeight w:val="222"/>
        </w:trPr>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IP Optical Networks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15"/>
        </w:trPr>
        <w:tc>
          <w:tcPr>
            <w:tcW w:w="552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4,209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11,688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12,684</w:t>
            </w: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340" w:hanging="335"/>
        <w:spacing w:after="0"/>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MAJOR CUSTOMERS</w:t>
      </w:r>
    </w:p>
    <w:p>
      <w:pPr>
        <w:spacing w:after="0" w:line="254"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The following customers contributed 10% or more of the Company's revenue in the three and nine months ended September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298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3"/>
          </w:tcPr>
          <w:p>
            <w:pPr>
              <w:ind w:left="800"/>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1420" w:type="dxa"/>
            <w:vAlign w:val="bottom"/>
            <w:tcBorders>
              <w:top w:val="single" w:sz="8" w:color="auto"/>
            </w:tcBorders>
            <w:gridSpan w:val="2"/>
          </w:tcPr>
          <w:p>
            <w:pPr>
              <w:ind w:left="240"/>
              <w:spacing w:after="0" w:line="124"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ind w:left="240"/>
              <w:spacing w:after="0" w:line="124"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0"/>
                <w:szCs w:val="10"/>
                <w:color w:val="auto"/>
              </w:rPr>
            </w:pPr>
          </w:p>
        </w:tc>
        <w:tc>
          <w:tcPr>
            <w:tcW w:w="1420" w:type="dxa"/>
            <w:vAlign w:val="bottom"/>
            <w:tcBorders>
              <w:top w:val="single" w:sz="8" w:color="auto"/>
            </w:tcBorders>
            <w:gridSpan w:val="2"/>
          </w:tcPr>
          <w:p>
            <w:pPr>
              <w:ind w:left="240"/>
              <w:spacing w:after="0" w:line="124"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ind w:left="240"/>
              <w:spacing w:after="0" w:line="124"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55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Verizon Communications Inc.</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17%</w:t>
            </w: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AT&amp;T</w:t>
            </w: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10%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Less than 10% of total revenue.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01" w:lineRule="exact"/>
        <w:rPr>
          <w:sz w:val="20"/>
          <w:szCs w:val="20"/>
          <w:color w:val="auto"/>
        </w:rPr>
      </w:pPr>
    </w:p>
    <w:p>
      <w:pPr>
        <w:ind w:right="20" w:firstLine="314"/>
        <w:spacing w:after="0" w:line="272" w:lineRule="auto"/>
        <w:rPr>
          <w:sz w:val="20"/>
          <w:szCs w:val="20"/>
          <w:color w:val="auto"/>
        </w:rPr>
      </w:pPr>
      <w:r>
        <w:rPr>
          <w:rFonts w:ascii="Arial" w:cs="Arial" w:eastAsia="Arial" w:hAnsi="Arial"/>
          <w:sz w:val="17"/>
          <w:szCs w:val="17"/>
          <w:color w:val="auto"/>
        </w:rPr>
        <w:t>At September 30, 2022, no customer accounted for 10% or more of the Company's accounts receivable balance. At December 31, 2021, one customer accounted for 10% or more of the Company's accounts receivable balance, representing approximately 15% of total accounts receivable. The Company performs ongoing credit evaluations of its customers and</w:t>
      </w:r>
    </w:p>
    <w:p>
      <w:pPr>
        <w:sectPr>
          <w:pgSz w:w="11900" w:h="16838" w:orient="portrait"/>
          <w:cols w:equalWidth="0" w:num="1">
            <w:col w:w="11240"/>
          </w:cols>
          <w:pgMar w:left="320" w:top="46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29" w:name="page30"/>
    <w:bookmarkEnd w:id="29"/>
    <w:p>
      <w:pPr>
        <w:jc w:val="center"/>
        <w:ind w:right="-59"/>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660"/>
        <w:spacing w:after="0" w:line="272" w:lineRule="auto"/>
        <w:rPr>
          <w:sz w:val="20"/>
          <w:szCs w:val="20"/>
          <w:color w:val="auto"/>
        </w:rPr>
      </w:pPr>
      <w:r>
        <w:rPr>
          <w:rFonts w:ascii="Arial" w:cs="Arial" w:eastAsia="Arial" w:hAnsi="Arial"/>
          <w:sz w:val="17"/>
          <w:szCs w:val="17"/>
          <w:color w:val="auto"/>
        </w:rPr>
        <w:t>generally does not require collateral on accounts receivable, although in some instances the Company may require letters of credit to support customer outstanding accounts receivable balances. The Company maintains an allowance for doubtful accounts and such losses have been within management's expectations.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COMPENSATION PLANS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Stock Incentive Plan</w:t>
      </w:r>
    </w:p>
    <w:p>
      <w:pPr>
        <w:spacing w:after="0" w:line="249" w:lineRule="exact"/>
        <w:rPr>
          <w:sz w:val="20"/>
          <w:szCs w:val="20"/>
          <w:color w:val="auto"/>
        </w:rPr>
      </w:pPr>
    </w:p>
    <w:p>
      <w:pPr>
        <w:ind w:firstLine="314"/>
        <w:spacing w:after="0" w:line="288" w:lineRule="auto"/>
        <w:rPr>
          <w:sz w:val="20"/>
          <w:szCs w:val="20"/>
          <w:color w:val="auto"/>
        </w:rPr>
      </w:pPr>
      <w:r>
        <w:rPr>
          <w:rFonts w:ascii="Arial" w:cs="Arial" w:eastAsia="Arial" w:hAnsi="Arial"/>
          <w:sz w:val="16"/>
          <w:szCs w:val="16"/>
          <w:color w:val="auto"/>
        </w:rPr>
        <w:t>The Company's Amended and Restated 2019 Incentive Award Plan (the "2019 Plan") provides for the award of options to purchase the Company's common stock ("stock options"), stock appreciation rights ("SARs"), restricted stock awards ("RSAs"), performance-based stock awards ("PSAs"), restricted stock units ("RSUs"), performance-based stock units ("PSUs") and other stock- or cash-based awards. Awards can be granted under the 2019 Plan to the Company's employees, officers and non-employee directors, as well as consultants and advisors of the Company and its subsidiaries.</w:t>
      </w:r>
    </w:p>
    <w:p>
      <w:pPr>
        <w:spacing w:after="0" w:line="188" w:lineRule="exact"/>
        <w:rPr>
          <w:sz w:val="20"/>
          <w:szCs w:val="20"/>
          <w:color w:val="auto"/>
        </w:rPr>
      </w:pPr>
    </w:p>
    <w:p>
      <w:pPr>
        <w:ind w:right="60" w:firstLine="314"/>
        <w:spacing w:after="0" w:line="288" w:lineRule="auto"/>
        <w:rPr>
          <w:sz w:val="20"/>
          <w:szCs w:val="20"/>
          <w:color w:val="auto"/>
        </w:rPr>
      </w:pPr>
      <w:r>
        <w:rPr>
          <w:rFonts w:ascii="Arial" w:cs="Arial" w:eastAsia="Arial" w:hAnsi="Arial"/>
          <w:sz w:val="17"/>
          <w:szCs w:val="17"/>
          <w:color w:val="auto"/>
        </w:rPr>
        <w:t>At the Company's annual meeting of stockholders held on May 25, 2022, the Company's stockholders approved an amendment to the 2019 Plan to increase the number of shares of the Company's common stock authorized for issuance under the 2019 Plan by 10.0 million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Assumed Stock Plans</w:t>
      </w:r>
    </w:p>
    <w:p>
      <w:pPr>
        <w:spacing w:after="0" w:line="249" w:lineRule="exact"/>
        <w:rPr>
          <w:sz w:val="20"/>
          <w:szCs w:val="20"/>
          <w:color w:val="auto"/>
        </w:rPr>
      </w:pPr>
    </w:p>
    <w:p>
      <w:pPr>
        <w:ind w:right="80" w:firstLine="314"/>
        <w:spacing w:after="0" w:line="267" w:lineRule="auto"/>
        <w:rPr>
          <w:sz w:val="20"/>
          <w:szCs w:val="20"/>
          <w:color w:val="auto"/>
        </w:rPr>
      </w:pPr>
      <w:r>
        <w:rPr>
          <w:rFonts w:ascii="Arial" w:cs="Arial" w:eastAsia="Arial" w:hAnsi="Arial"/>
          <w:sz w:val="17"/>
          <w:szCs w:val="17"/>
          <w:color w:val="auto"/>
        </w:rPr>
        <w:t>In connection with the acquisition of Edgewater Networks, Inc. in August 2018, the Company assumed Edgewater's Amended and Restated 2002 Stock Option Plan (the "Edgewater Plan") to the extent of the shares underlying the options outstanding under the Edgewater Plan as of the Edgewater Acquisition Date (the "Edgewater Options"). The Edgewater Options were converted to Ribbon stock options (the "Ribbon Replacement Options") which are vesting under the same schedules as the respective Edgewater Options.</w:t>
      </w:r>
    </w:p>
    <w:p>
      <w:pPr>
        <w:spacing w:after="0" w:line="202" w:lineRule="exact"/>
        <w:rPr>
          <w:sz w:val="20"/>
          <w:szCs w:val="20"/>
          <w:color w:val="auto"/>
        </w:rPr>
      </w:pPr>
    </w:p>
    <w:p>
      <w:pPr>
        <w:ind w:right="40" w:firstLine="314"/>
        <w:spacing w:after="0" w:line="267" w:lineRule="auto"/>
        <w:rPr>
          <w:sz w:val="20"/>
          <w:szCs w:val="20"/>
          <w:color w:val="auto"/>
        </w:rPr>
      </w:pPr>
      <w:r>
        <w:rPr>
          <w:rFonts w:ascii="Arial" w:cs="Arial" w:eastAsia="Arial" w:hAnsi="Arial"/>
          <w:sz w:val="17"/>
          <w:szCs w:val="17"/>
          <w:color w:val="auto"/>
        </w:rPr>
        <w:t>In connection with the Company's acquisitions of Performance Technologies Inc. ("PT") in 2014, and Network Equipment Technologies, Inc. ("NET") in 2012, the Company assumed their stock plans (collectively, the "Assumed Plans"). Any outstanding awards under the Assumed Plans that in the future expire, terminate, are cancelled or surrendered, or are repurchased by the Company will be returned to the 2019 Plan. Accordingly, no additional shares may be granted under the Assumed Plans.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Equity Arrangements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Inducement Awards</w:t>
      </w:r>
    </w:p>
    <w:p>
      <w:pPr>
        <w:spacing w:after="0" w:line="249" w:lineRule="exact"/>
        <w:rPr>
          <w:sz w:val="20"/>
          <w:szCs w:val="20"/>
          <w:color w:val="auto"/>
        </w:rPr>
      </w:pPr>
    </w:p>
    <w:p>
      <w:pPr>
        <w:ind w:right="80" w:firstLine="314"/>
        <w:spacing w:after="0" w:line="263" w:lineRule="auto"/>
        <w:rPr>
          <w:sz w:val="20"/>
          <w:szCs w:val="20"/>
          <w:color w:val="auto"/>
        </w:rPr>
      </w:pPr>
      <w:r>
        <w:rPr>
          <w:rFonts w:ascii="Arial" w:cs="Arial" w:eastAsia="Arial" w:hAnsi="Arial"/>
          <w:sz w:val="17"/>
          <w:szCs w:val="17"/>
          <w:color w:val="auto"/>
        </w:rPr>
        <w:t>In connection with his appointment as President and Chief Executive Office of Ribbon, and as an inducement for Bruce McClelland's ("Mr. McClelland") commencement of employment, the Company awarded Mr. McClelland sign-on equity grants, comprised of 462,963 RSUs and a PSU grant with both market and service conditions (the "Inducement PSUs") on March 16, 2020. The RSUs vested and were released to Mr. McClelland on March 16, 2021. Subject to Mr. McClelland's continued employment, the Inducement PSUs are eligible to vest and be settled in up to 4,750,000 shares of Ribbon common stock upon the achievement of specified share price thresholds on or prior to September 1, 2024. The first share price threshold for Mr. McClelland’s Inducement PSUs was achieved on February 26, 2021, and accordingly 1,333,333 shares were released to him.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Stock Grants</w:t>
      </w:r>
    </w:p>
    <w:p>
      <w:pPr>
        <w:spacing w:after="0" w:line="249" w:lineRule="exact"/>
        <w:rPr>
          <w:sz w:val="20"/>
          <w:szCs w:val="20"/>
          <w:color w:val="auto"/>
        </w:rPr>
      </w:pPr>
    </w:p>
    <w:p>
      <w:pPr>
        <w:ind w:right="580" w:firstLine="314"/>
        <w:spacing w:after="0" w:line="288" w:lineRule="auto"/>
        <w:rPr>
          <w:sz w:val="20"/>
          <w:szCs w:val="20"/>
          <w:color w:val="auto"/>
        </w:rPr>
      </w:pPr>
      <w:r>
        <w:rPr>
          <w:rFonts w:ascii="Arial" w:cs="Arial" w:eastAsia="Arial" w:hAnsi="Arial"/>
          <w:sz w:val="17"/>
          <w:szCs w:val="17"/>
          <w:color w:val="auto"/>
        </w:rPr>
        <w:t>In addition to granting RSUs to its executives and certain of its employees, the Company also grants PSUs to certain of its executives, including the Inducement PSUs granted to Mr. McClelland as described above.</w:t>
      </w:r>
    </w:p>
    <w:p>
      <w:pPr>
        <w:spacing w:after="0" w:line="184" w:lineRule="exact"/>
        <w:rPr>
          <w:sz w:val="20"/>
          <w:szCs w:val="20"/>
          <w:color w:val="auto"/>
        </w:rPr>
      </w:pPr>
    </w:p>
    <w:p>
      <w:pPr>
        <w:ind w:right="240" w:firstLine="314"/>
        <w:spacing w:after="0" w:line="272" w:lineRule="auto"/>
        <w:rPr>
          <w:sz w:val="20"/>
          <w:szCs w:val="20"/>
          <w:color w:val="auto"/>
        </w:rPr>
      </w:pPr>
      <w:r>
        <w:rPr>
          <w:rFonts w:ascii="Arial" w:cs="Arial" w:eastAsia="Arial" w:hAnsi="Arial"/>
          <w:sz w:val="17"/>
          <w:szCs w:val="17"/>
          <w:color w:val="auto"/>
        </w:rPr>
        <w:t>Each year, beginning in 2019 and continuing through 2022, the Company has granted certain of its executives (the "2022 PSUs", "2021 PSUs", "2020 PSUs" and "2019 PSUs", respectively), of which 60% of each executive's PSU grant had both performance and service conditions (the "Performance PSUs") and 40% had both market and service conditions (the "Market</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461" w:right="3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PSUs"). The 2019 PSUs earned were released on March 15, 2022; these releases are included in the table below.</w:t>
      </w:r>
    </w:p>
    <w:p>
      <w:pPr>
        <w:spacing w:after="0" w:line="249" w:lineRule="exact"/>
        <w:rPr>
          <w:sz w:val="20"/>
          <w:szCs w:val="20"/>
          <w:color w:val="auto"/>
        </w:rPr>
      </w:pPr>
    </w:p>
    <w:p>
      <w:pPr>
        <w:ind w:firstLine="314"/>
        <w:spacing w:after="0" w:line="260" w:lineRule="auto"/>
        <w:rPr>
          <w:sz w:val="20"/>
          <w:szCs w:val="20"/>
          <w:color w:val="auto"/>
        </w:rPr>
      </w:pPr>
      <w:r>
        <w:rPr>
          <w:rFonts w:ascii="Arial" w:cs="Arial" w:eastAsia="Arial" w:hAnsi="Arial"/>
          <w:sz w:val="17"/>
          <w:szCs w:val="17"/>
          <w:color w:val="auto"/>
        </w:rPr>
        <w:t>Each executive's Performance PSU grant is comprised of three consecutive fiscal year performance periods beginning in the year of grant (each, a "Fiscal Year Performance Period"), with one-third of the Performance PSUs attributable to each Fiscal Year Performance Period. The number of shares that will vest for each Fiscal Year Performance Period, if any, will be based on the achievement of certain metrics related to the Company's financial performance for the applicable year on a standalone basis (each, a "Fiscal Year Performance Condition"). The Company's achievement of the goals for each Fiscal Year Performance Condition (and the number of shares of Company common stock to vest as a result thereof) are being measured on a linear sliding scale in relation to specific threshold, target and stretch performance conditions, with any shares earned vesting in the first quarter of the fiscal year following the third Performance Period of the grant, pending each executive's continued employment with the Company through that date. The number of shares of common stock underlying the Performance PSUs that can be earned will in no event exceed 200% of the Performance PSUs. Shares subject to the Performance PSUs that fail to be earned will be forfeited.</w:t>
      </w:r>
    </w:p>
    <w:p>
      <w:pPr>
        <w:spacing w:after="0" w:line="211" w:lineRule="exact"/>
        <w:rPr>
          <w:sz w:val="20"/>
          <w:szCs w:val="20"/>
          <w:color w:val="auto"/>
        </w:rPr>
      </w:pPr>
    </w:p>
    <w:p>
      <w:pPr>
        <w:ind w:firstLine="314"/>
        <w:spacing w:after="0" w:line="261" w:lineRule="auto"/>
        <w:rPr>
          <w:sz w:val="20"/>
          <w:szCs w:val="20"/>
          <w:color w:val="auto"/>
        </w:rPr>
      </w:pPr>
      <w:r>
        <w:rPr>
          <w:rFonts w:ascii="Arial" w:cs="Arial" w:eastAsia="Arial" w:hAnsi="Arial"/>
          <w:sz w:val="17"/>
          <w:szCs w:val="17"/>
          <w:color w:val="auto"/>
        </w:rPr>
        <w:t>The Market PSUs have one three-year performance period, beginning January 1 in the year of grant and ending on December 31, three years thereafter (the "Market Performance Period"). The number of shares subject to the Market PSUs that will vest, if any, will be dependent upon the Company's total shareholder return ("TSR") compared with the TSR of the companies included in a custom index for the applicable Market Performance Period, measured by the Compensation Committee after the Market Performance Period ends, with any shares earned vesting in the first quarter of the fiscal year following the respective Market Performance Period, pending each executive's continued employment with the Company through that date. The number of shares of common stock underlying the Market PSUs that can be earned will in no event exceed 200% of the Market PSUs. Shares subject to the Market PSUs that fail to be earned will be forfeited.</w:t>
      </w:r>
    </w:p>
    <w:p>
      <w:pPr>
        <w:spacing w:after="0" w:line="211" w:lineRule="exact"/>
        <w:rPr>
          <w:sz w:val="20"/>
          <w:szCs w:val="20"/>
          <w:color w:val="auto"/>
        </w:rPr>
      </w:pPr>
    </w:p>
    <w:p>
      <w:pPr>
        <w:ind w:right="20" w:firstLine="314"/>
        <w:spacing w:after="0" w:line="261" w:lineRule="auto"/>
        <w:rPr>
          <w:sz w:val="20"/>
          <w:szCs w:val="20"/>
          <w:color w:val="auto"/>
        </w:rPr>
      </w:pPr>
      <w:r>
        <w:rPr>
          <w:rFonts w:ascii="Arial" w:cs="Arial" w:eastAsia="Arial" w:hAnsi="Arial"/>
          <w:sz w:val="17"/>
          <w:szCs w:val="17"/>
          <w:u w:val="single" w:color="auto"/>
          <w:color w:val="auto"/>
        </w:rPr>
        <w:t>Accounting for Performance PSUs.</w:t>
      </w:r>
      <w:r>
        <w:rPr>
          <w:rFonts w:ascii="Arial" w:cs="Arial" w:eastAsia="Arial" w:hAnsi="Arial"/>
          <w:sz w:val="17"/>
          <w:szCs w:val="17"/>
          <w:color w:val="auto"/>
        </w:rPr>
        <w:t xml:space="preserve"> Once the grant date criteria have been met for a Fiscal Year Performance Period, the Company records stock-based compensation expense for the respective underlying Performance PSUs based on its assessment of the probability that each performance condition will be achieved and the level, if any, of such achievement. The Compensation Committee determines the number of shares earned, if any, after the Company's financial results for each Fiscal Year Performance Period are finalized. Upon the determination by the Compensation Committee of the number of shares that will be received upon vesting of the Performance PSUs, such number of shares becomes fixed and the unamortized expense is recorded through the remainder of the service period, generally three years from the date of grant, at which time the total Performance PSUs earned, if any, will vest, pending each executive's continued employment with the Company through that date.</w:t>
      </w:r>
    </w:p>
    <w:p>
      <w:pPr>
        <w:spacing w:after="0" w:line="211" w:lineRule="exact"/>
        <w:rPr>
          <w:sz w:val="20"/>
          <w:szCs w:val="20"/>
          <w:color w:val="auto"/>
        </w:rPr>
      </w:pPr>
    </w:p>
    <w:p>
      <w:pPr>
        <w:ind w:right="40" w:firstLine="314"/>
        <w:spacing w:after="0" w:line="267" w:lineRule="auto"/>
        <w:rPr>
          <w:sz w:val="20"/>
          <w:szCs w:val="20"/>
          <w:color w:val="auto"/>
        </w:rPr>
      </w:pPr>
      <w:r>
        <w:rPr>
          <w:rFonts w:ascii="Arial" w:cs="Arial" w:eastAsia="Arial" w:hAnsi="Arial"/>
          <w:sz w:val="17"/>
          <w:szCs w:val="17"/>
          <w:u w:val="single" w:color="auto"/>
          <w:color w:val="auto"/>
        </w:rPr>
        <w:t>Accounting for Market PSUs</w:t>
      </w:r>
      <w:r>
        <w:rPr>
          <w:rFonts w:ascii="Arial" w:cs="Arial" w:eastAsia="Arial" w:hAnsi="Arial"/>
          <w:sz w:val="17"/>
          <w:szCs w:val="17"/>
          <w:color w:val="auto"/>
        </w:rPr>
        <w:t>. PSUs that include a market condition require the use of a Monte Carlo simulation approach to model future stock price movements based upon the risk-free rate of return, the date of return, the volatility of each entity and the pair-wise covariance between each entity. These results are then used to calculate the grant date fair values of the respective PSUs. The Company is required to record expense for the PSUs with market conditions through their respective final vesting dates, regardless of the number of shares that are ultimately earned.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461"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activity related to the Company's outstanding stock options for the nine months ended September 30, 2022 was as follows:</w:t>
      </w:r>
    </w:p>
    <w:p>
      <w:pPr>
        <w:spacing w:after="0" w:line="120"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Weighted</w:t>
      </w:r>
    </w:p>
    <w:p>
      <w:pPr>
        <w:ind w:left="8920"/>
        <w:spacing w:after="0" w:line="214" w:lineRule="auto"/>
        <w:rPr>
          <w:sz w:val="20"/>
          <w:szCs w:val="20"/>
          <w:color w:val="auto"/>
        </w:rPr>
      </w:pPr>
      <w:r>
        <w:rPr>
          <w:rFonts w:ascii="Arial" w:cs="Arial" w:eastAsia="Arial" w:hAnsi="Arial"/>
          <w:sz w:val="14"/>
          <w:szCs w:val="14"/>
          <w:b w:val="1"/>
          <w:bCs w:val="1"/>
          <w:color w:val="auto"/>
        </w:rPr>
        <w:t>Average</w:t>
      </w:r>
    </w:p>
    <w:tbl>
      <w:tblPr>
        <w:tblLayout w:type="fixed"/>
        <w:tblInd w:w="0" w:type="dxa"/>
        <w:tblCellMar>
          <w:top w:w="0" w:type="dxa"/>
          <w:left w:w="0" w:type="dxa"/>
          <w:bottom w:w="0" w:type="dxa"/>
          <w:right w:w="0" w:type="dxa"/>
        </w:tblCellMar>
      </w:tblPr>
      <w:tr>
        <w:trPr>
          <w:trHeight w:val="124"/>
        </w:trPr>
        <w:tc>
          <w:tcPr>
            <w:tcW w:w="5660" w:type="dxa"/>
            <w:vAlign w:val="bottom"/>
          </w:tcPr>
          <w:p>
            <w:pPr>
              <w:spacing w:after="0"/>
              <w:rPr>
                <w:sz w:val="10"/>
                <w:szCs w:val="10"/>
                <w:color w:val="auto"/>
              </w:rPr>
            </w:pPr>
          </w:p>
        </w:tc>
        <w:tc>
          <w:tcPr>
            <w:tcW w:w="13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88"/>
              </w:rPr>
              <w:t>Weighted</w:t>
            </w:r>
          </w:p>
        </w:tc>
        <w:tc>
          <w:tcPr>
            <w:tcW w:w="14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0"/>
                <w:szCs w:val="10"/>
                <w:color w:val="auto"/>
              </w:rPr>
            </w:pPr>
          </w:p>
        </w:tc>
        <w:tc>
          <w:tcPr>
            <w:tcW w:w="1160" w:type="dxa"/>
            <w:vAlign w:val="bottom"/>
          </w:tcPr>
          <w:p>
            <w:pPr>
              <w:jc w:val="center"/>
              <w:ind w:right="82"/>
              <w:spacing w:after="0" w:line="125"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6"/>
              </w:rPr>
              <w:t>Average</w:t>
            </w:r>
          </w:p>
        </w:tc>
        <w:tc>
          <w:tcPr>
            <w:tcW w:w="14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3"/>
              </w:rPr>
              <w:t>Contractual Term</w:t>
            </w:r>
          </w:p>
        </w:tc>
        <w:tc>
          <w:tcPr>
            <w:tcW w:w="160" w:type="dxa"/>
            <w:vAlign w:val="bottom"/>
          </w:tcPr>
          <w:p>
            <w:pPr>
              <w:spacing w:after="0"/>
              <w:rPr>
                <w:sz w:val="12"/>
                <w:szCs w:val="12"/>
                <w:color w:val="auto"/>
              </w:rPr>
            </w:pPr>
          </w:p>
        </w:tc>
        <w:tc>
          <w:tcPr>
            <w:tcW w:w="1160" w:type="dxa"/>
            <w:vAlign w:val="bottom"/>
          </w:tcPr>
          <w:p>
            <w:pPr>
              <w:jc w:val="center"/>
              <w:ind w:right="82"/>
              <w:spacing w:after="0" w:line="144"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Exercise Price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320" w:type="dxa"/>
            <w:vAlign w:val="bottom"/>
          </w:tcPr>
          <w:p>
            <w:pPr>
              <w:jc w:val="right"/>
              <w:spacing w:after="0"/>
              <w:rPr>
                <w:sz w:val="20"/>
                <w:szCs w:val="20"/>
                <w:color w:val="auto"/>
              </w:rPr>
            </w:pPr>
            <w:r>
              <w:rPr>
                <w:rFonts w:ascii="Arial" w:cs="Arial" w:eastAsia="Arial" w:hAnsi="Arial"/>
                <w:sz w:val="17"/>
                <w:szCs w:val="17"/>
                <w:color w:val="auto"/>
              </w:rPr>
              <w:t>(708)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7"/>
                <w:szCs w:val="17"/>
                <w:color w:val="auto"/>
              </w:rPr>
              <w:t>Outstanding at September 30,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171,852</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or expected to vest at September 30, 2022</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Exercisable at September 30, 2022</w:t>
            </w:r>
          </w:p>
        </w:tc>
        <w:tc>
          <w:tcPr>
            <w:tcW w:w="1320" w:type="dxa"/>
            <w:vAlign w:val="bottom"/>
          </w:tcPr>
          <w:p>
            <w:pPr>
              <w:jc w:val="right"/>
              <w:spacing w:after="0"/>
              <w:rPr>
                <w:sz w:val="20"/>
                <w:szCs w:val="20"/>
                <w:color w:val="auto"/>
              </w:rPr>
            </w:pPr>
            <w:r>
              <w:rPr>
                <w:rFonts w:ascii="Arial" w:cs="Arial" w:eastAsia="Arial" w:hAnsi="Arial"/>
                <w:sz w:val="17"/>
                <w:szCs w:val="17"/>
                <w:color w:val="auto"/>
              </w:rPr>
              <w:t>171,852</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360" w:firstLine="314"/>
        <w:spacing w:after="0" w:line="288" w:lineRule="auto"/>
        <w:rPr>
          <w:sz w:val="20"/>
          <w:szCs w:val="20"/>
          <w:color w:val="auto"/>
        </w:rPr>
      </w:pPr>
      <w:r>
        <w:rPr>
          <w:rFonts w:ascii="Arial" w:cs="Arial" w:eastAsia="Arial" w:hAnsi="Arial"/>
          <w:sz w:val="17"/>
          <w:szCs w:val="17"/>
          <w:color w:val="auto"/>
        </w:rPr>
        <w:t>Both the total intrinsic value of options exercised and cash received in connection with those exercises was nominal in the three and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activity related to the Company's RSUs for the nine months ended September 30, 2022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41"/>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0"/>
        </w:trPr>
        <w:tc>
          <w:tcPr>
            <w:tcW w:w="8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1"/>
              <w:spacing w:after="0" w:line="140"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8500" w:type="dxa"/>
            <w:vAlign w:val="bottom"/>
          </w:tcPr>
          <w:p>
            <w:pPr>
              <w:spacing w:after="0"/>
              <w:rPr>
                <w:sz w:val="11"/>
                <w:szCs w:val="11"/>
                <w:color w:val="auto"/>
              </w:rPr>
            </w:pP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2"/>
        </w:trPr>
        <w:tc>
          <w:tcPr>
            <w:tcW w:w="8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balance at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5,389,611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22"/>
        </w:trPr>
        <w:tc>
          <w:tcPr>
            <w:tcW w:w="8500" w:type="dxa"/>
            <w:vAlign w:val="bottom"/>
          </w:tcPr>
          <w:p>
            <w:pPr>
              <w:ind w:left="14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5,665,068</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(2,808,137)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22"/>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(685,571)</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4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September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7,560,971</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total grant date fair value of shares of restricted stock underlying RSUs that vested during the nine months ended September 30, 2022 was $16.8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Stock Units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activity related to the Company's PSUs for the nine months ended September 30, 2022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4"/>
        </w:trPr>
        <w:tc>
          <w:tcPr>
            <w:tcW w:w="8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1"/>
              <w:spacing w:after="0" w:line="144"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0"/>
        </w:trPr>
        <w:tc>
          <w:tcPr>
            <w:tcW w:w="8240" w:type="dxa"/>
            <w:vAlign w:val="bottom"/>
          </w:tcPr>
          <w:p>
            <w:pPr>
              <w:spacing w:after="0"/>
              <w:rPr>
                <w:sz w:val="12"/>
                <w:szCs w:val="12"/>
                <w:color w:val="auto"/>
              </w:rPr>
            </w:pPr>
          </w:p>
        </w:tc>
        <w:tc>
          <w:tcPr>
            <w:tcW w:w="14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1"/>
              <w:spacing w:after="0" w:line="140"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balance at January 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4,987,876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22"/>
        </w:trPr>
        <w:tc>
          <w:tcPr>
            <w:tcW w:w="8240" w:type="dxa"/>
            <w:vAlign w:val="bottom"/>
          </w:tcPr>
          <w:p>
            <w:pPr>
              <w:ind w:left="14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2,228,073</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22"/>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(383,262)</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4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6,653,503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total grant date fair value of shares of restricted stock underlying PSUs that vested during the nine months ended September 30, 2022 was $0.9 million.</w:t>
      </w:r>
    </w:p>
    <w:p>
      <w:pPr>
        <w:sectPr>
          <w:pgSz w:w="11900" w:h="16838" w:orient="portrait"/>
          <w:cols w:equalWidth="0" w:num="1">
            <w:col w:w="11240"/>
          </w:cols>
          <w:pgMar w:left="320" w:top="4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9" w:lineRule="exact"/>
        <w:rPr>
          <w:sz w:val="20"/>
          <w:szCs w:val="20"/>
          <w:color w:val="auto"/>
        </w:rPr>
      </w:pPr>
    </w:p>
    <w:p>
      <w:pPr>
        <w:ind w:right="100" w:firstLine="314"/>
        <w:spacing w:after="0" w:line="288" w:lineRule="auto"/>
        <w:rPr>
          <w:sz w:val="20"/>
          <w:szCs w:val="20"/>
          <w:color w:val="auto"/>
        </w:rPr>
      </w:pPr>
      <w:r>
        <w:rPr>
          <w:rFonts w:ascii="Arial" w:cs="Arial" w:eastAsia="Arial" w:hAnsi="Arial"/>
          <w:sz w:val="17"/>
          <w:szCs w:val="17"/>
          <w:color w:val="auto"/>
        </w:rPr>
        <w:t>The condensed consolidated statements of operations include stock-based compensation for the three and nine months ended September 30, 2022 and 2021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230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520" w:type="dxa"/>
            <w:vAlign w:val="bottom"/>
          </w:tcPr>
          <w:p>
            <w:pPr>
              <w:spacing w:after="0"/>
              <w:rPr>
                <w:sz w:val="10"/>
                <w:szCs w:val="10"/>
                <w:color w:val="auto"/>
              </w:rPr>
            </w:pPr>
          </w:p>
        </w:tc>
        <w:tc>
          <w:tcPr>
            <w:tcW w:w="14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57"/>
              <w:spacing w:after="0" w:line="124"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0"/>
                <w:szCs w:val="10"/>
                <w:color w:val="auto"/>
              </w:rPr>
            </w:pPr>
          </w:p>
        </w:tc>
        <w:tc>
          <w:tcPr>
            <w:tcW w:w="14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57"/>
              <w:spacing w:after="0" w:line="124"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 cost of revenue</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Service cost of revenue</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1,196</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3,010</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1,581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5,207</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4,782</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4,561</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80" w:firstLine="314"/>
        <w:spacing w:after="0" w:line="288" w:lineRule="auto"/>
        <w:rPr>
          <w:sz w:val="20"/>
          <w:szCs w:val="20"/>
          <w:color w:val="auto"/>
        </w:rPr>
      </w:pPr>
      <w:r>
        <w:rPr>
          <w:rFonts w:ascii="Arial" w:cs="Arial" w:eastAsia="Arial" w:hAnsi="Arial"/>
          <w:sz w:val="17"/>
          <w:szCs w:val="17"/>
          <w:color w:val="auto"/>
        </w:rPr>
        <w:t>At September 30, 2022, there was $26.7 million, net of expected forfeitures, of unrecognized stock-based compensation expense related to unvested stock options and stock units. This expense is expected to be recognized over a weighted average period of approximately two years.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LEASES</w:t>
      </w:r>
    </w:p>
    <w:p>
      <w:pPr>
        <w:spacing w:after="0" w:line="255" w:lineRule="exact"/>
        <w:rPr>
          <w:sz w:val="20"/>
          <w:szCs w:val="20"/>
          <w:color w:val="auto"/>
        </w:rPr>
      </w:pPr>
    </w:p>
    <w:p>
      <w:pPr>
        <w:ind w:right="120" w:firstLine="314"/>
        <w:spacing w:after="0" w:line="272" w:lineRule="auto"/>
        <w:rPr>
          <w:sz w:val="20"/>
          <w:szCs w:val="20"/>
          <w:color w:val="auto"/>
        </w:rPr>
      </w:pPr>
      <w:r>
        <w:rPr>
          <w:rFonts w:ascii="Arial" w:cs="Arial" w:eastAsia="Arial" w:hAnsi="Arial"/>
          <w:sz w:val="17"/>
          <w:szCs w:val="17"/>
          <w:color w:val="auto"/>
        </w:rPr>
        <w:t>The Company has operating and finance leases for corporate offices, research and development facilities, and certain equipment. Operating leases are reported separately in the Company's condensed consolidated balance sheets. Assets acquired under finance leases are included in Property and equipment, net, in the condensed consolidated balance sheets.</w:t>
      </w:r>
    </w:p>
    <w:p>
      <w:pPr>
        <w:spacing w:after="0" w:line="198" w:lineRule="exact"/>
        <w:rPr>
          <w:sz w:val="20"/>
          <w:szCs w:val="20"/>
          <w:color w:val="auto"/>
        </w:rPr>
      </w:pPr>
    </w:p>
    <w:p>
      <w:pPr>
        <w:ind w:firstLine="314"/>
        <w:spacing w:after="0" w:line="264" w:lineRule="auto"/>
        <w:rPr>
          <w:sz w:val="20"/>
          <w:szCs w:val="20"/>
          <w:color w:val="auto"/>
        </w:rPr>
      </w:pPr>
      <w:r>
        <w:rPr>
          <w:rFonts w:ascii="Arial" w:cs="Arial" w:eastAsia="Arial" w:hAnsi="Arial"/>
          <w:sz w:val="17"/>
          <w:szCs w:val="17"/>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spacing w:after="0" w:line="206" w:lineRule="exact"/>
        <w:rPr>
          <w:sz w:val="20"/>
          <w:szCs w:val="20"/>
          <w:color w:val="auto"/>
        </w:rPr>
      </w:pPr>
    </w:p>
    <w:p>
      <w:pPr>
        <w:ind w:firstLine="314"/>
        <w:spacing w:after="0" w:line="279" w:lineRule="auto"/>
        <w:rPr>
          <w:sz w:val="20"/>
          <w:szCs w:val="20"/>
          <w:color w:val="auto"/>
        </w:rPr>
      </w:pPr>
      <w:r>
        <w:rPr>
          <w:rFonts w:ascii="Arial" w:cs="Arial" w:eastAsia="Arial" w:hAnsi="Arial"/>
          <w:sz w:val="16"/>
          <w:szCs w:val="16"/>
          <w:color w:val="auto"/>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 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September 30, 2022 and December 31, 2021 and determined no impairment has occurred.</w:t>
      </w:r>
    </w:p>
    <w:p>
      <w:pPr>
        <w:spacing w:after="0" w:line="197" w:lineRule="exact"/>
        <w:rPr>
          <w:sz w:val="20"/>
          <w:szCs w:val="20"/>
          <w:color w:val="auto"/>
        </w:rPr>
      </w:pPr>
    </w:p>
    <w:p>
      <w:pPr>
        <w:ind w:right="200" w:firstLine="314"/>
        <w:spacing w:after="0" w:line="297" w:lineRule="auto"/>
        <w:rPr>
          <w:sz w:val="20"/>
          <w:szCs w:val="20"/>
          <w:color w:val="auto"/>
        </w:rPr>
      </w:pPr>
      <w:r>
        <w:rPr>
          <w:rFonts w:ascii="Arial" w:cs="Arial" w:eastAsia="Arial" w:hAnsi="Arial"/>
          <w:sz w:val="16"/>
          <w:szCs w:val="16"/>
          <w:color w:val="auto"/>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spacing w:after="0" w:line="179" w:lineRule="exact"/>
        <w:rPr>
          <w:sz w:val="20"/>
          <w:szCs w:val="20"/>
          <w:color w:val="auto"/>
        </w:rPr>
      </w:pPr>
    </w:p>
    <w:p>
      <w:pPr>
        <w:ind w:right="200" w:firstLine="314"/>
        <w:spacing w:after="0" w:line="313" w:lineRule="auto"/>
        <w:rPr>
          <w:sz w:val="20"/>
          <w:szCs w:val="20"/>
          <w:color w:val="auto"/>
        </w:rPr>
      </w:pPr>
      <w:r>
        <w:rPr>
          <w:rFonts w:ascii="Arial" w:cs="Arial" w:eastAsia="Arial" w:hAnsi="Arial"/>
          <w:sz w:val="15"/>
          <w:szCs w:val="15"/>
          <w:color w:val="auto"/>
        </w:rPr>
        <w:t>For operating leases, lease expense for minimum fixed lease payments is recognized on a straight-line basis over the lease term. The expense for finance leases includes both interest and amortization expense components, with the interest component calculated based on the effective interest method and the amortization component calculated based on straight-line amortization of the right-of-use asset over the lease term. Lease contracts may contain variable lease costs, such as common area maintenance, utilities and tax reimbursements that vary over the term of the contract. Variable lease costs are not included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minimum fixed lease payments and as a result, are excluded from the measurement of the right-of-use assets and lease liabilities. The Company expenses all variable lease costs as incurred.</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Certain leased facilities are being partially or fully vacated as part of the 2022 Restructuring Plan and for some of those facilities, the Company has no plans</w:t>
      </w:r>
    </w:p>
    <w:p>
      <w:pPr>
        <w:spacing w:after="0" w:line="63"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to enter into sublease agreements. Accordingly, the Company accelerated the amortization of those lease assets through the planned cease-use date of each facility, resulting in additional amortization expense of $0.6 million and $1.6 million in the three and nine months ended September 30, 2022, respectively. The Company also recorded expense of $0.7 million and $1.0 million in the three and nine months ended September 30, 2022, respectively, for all estimated future variable lease costs related to those facilities.</w:t>
      </w:r>
    </w:p>
    <w:p>
      <w:pPr>
        <w:spacing w:after="0" w:line="202" w:lineRule="exact"/>
        <w:rPr>
          <w:sz w:val="20"/>
          <w:szCs w:val="20"/>
          <w:color w:val="auto"/>
        </w:rPr>
      </w:pPr>
    </w:p>
    <w:p>
      <w:pPr>
        <w:ind w:right="60" w:firstLine="314"/>
        <w:spacing w:after="0" w:line="297" w:lineRule="auto"/>
        <w:rPr>
          <w:sz w:val="20"/>
          <w:szCs w:val="20"/>
          <w:color w:val="auto"/>
        </w:rPr>
      </w:pPr>
      <w:r>
        <w:rPr>
          <w:rFonts w:ascii="Arial" w:cs="Arial" w:eastAsia="Arial" w:hAnsi="Arial"/>
          <w:sz w:val="15"/>
          <w:szCs w:val="15"/>
          <w:color w:val="auto"/>
        </w:rPr>
        <w:t>In connection with the 2020 Restructuring Plan, the Company accelerated amortization totaling $0.2 million and $0.6 million in the three and nine months ended September 30, 2021, respectively for leased facilities that were vacated in 2021 as part of the consolidation of certain sites following the ECI Acquisition. The Company did not record estimated future variable lease costs in the three or nine months ended September 30, 2022 related to the 2020 Restructuring Plan.</w:t>
      </w:r>
    </w:p>
    <w:p>
      <w:pPr>
        <w:spacing w:after="0" w:line="170" w:lineRule="exact"/>
        <w:rPr>
          <w:sz w:val="20"/>
          <w:szCs w:val="20"/>
          <w:color w:val="auto"/>
        </w:rPr>
      </w:pPr>
    </w:p>
    <w:p>
      <w:pPr>
        <w:ind w:right="440" w:firstLine="314"/>
        <w:spacing w:after="0" w:line="327" w:lineRule="auto"/>
        <w:rPr>
          <w:sz w:val="20"/>
          <w:szCs w:val="20"/>
          <w:color w:val="auto"/>
        </w:rPr>
      </w:pPr>
      <w:r>
        <w:rPr>
          <w:rFonts w:ascii="Arial" w:cs="Arial" w:eastAsia="Arial" w:hAnsi="Arial"/>
          <w:sz w:val="15"/>
          <w:szCs w:val="15"/>
          <w:color w:val="auto"/>
        </w:rPr>
        <w:t>In connection with the 2019 Restructuring Plan, certain lease assets related to facilities were partially or fully vacated as the Company consolidated its facilities. The Company had no plans to enter into sublease agreements for some of those facilities. The Company ceased use of those facilities in the first</w:t>
      </w:r>
    </w:p>
    <w:p>
      <w:pPr>
        <w:ind w:right="60"/>
        <w:spacing w:after="0" w:line="290" w:lineRule="auto"/>
        <w:rPr>
          <w:sz w:val="20"/>
          <w:szCs w:val="20"/>
          <w:color w:val="auto"/>
        </w:rPr>
      </w:pPr>
      <w:r>
        <w:rPr>
          <w:rFonts w:ascii="Arial" w:cs="Arial" w:eastAsia="Arial" w:hAnsi="Arial"/>
          <w:sz w:val="15"/>
          <w:szCs w:val="15"/>
          <w:color w:val="auto"/>
        </w:rPr>
        <w:t>quarter of 2021, the first and fourth quarters of 2020, and the third quarter of 2019. Accordingly, the Company accelerated the amortization of the associated lease assets through the planned cease-use date of each facility, resulting in additional amortization expense of $3.4 million in the nine months ended September 30, 2021. The Company also recorded expense of $1.4 million in the nine months ended September 30, 2021 for all estimated future variable lease costs related</w:t>
      </w:r>
    </w:p>
    <w:p>
      <w:pPr>
        <w:spacing w:after="0" w:line="2" w:lineRule="exact"/>
        <w:rPr>
          <w:sz w:val="20"/>
          <w:szCs w:val="20"/>
          <w:color w:val="auto"/>
        </w:rPr>
      </w:pPr>
    </w:p>
    <w:p>
      <w:pPr>
        <w:jc w:val="both"/>
        <w:ind w:right="580"/>
        <w:spacing w:after="0" w:line="279" w:lineRule="auto"/>
        <w:rPr>
          <w:sz w:val="20"/>
          <w:szCs w:val="20"/>
          <w:color w:val="auto"/>
        </w:rPr>
      </w:pPr>
      <w:r>
        <w:rPr>
          <w:rFonts w:ascii="Arial" w:cs="Arial" w:eastAsia="Arial" w:hAnsi="Arial"/>
          <w:sz w:val="16"/>
          <w:szCs w:val="16"/>
          <w:color w:val="auto"/>
        </w:rPr>
        <w:t>to those facilities. The Company did not record expense for accelerated amortization or estimated future variable lease costs in connection with the 2019 Restructuring Plan in the three months ended September 30, 2021. The Company did not record expense for accelerated amortization or estimated future variable lease costs in connection with the 2019 Restructuring Plan in the three or nine months ended September 30, 2022.</w:t>
      </w:r>
    </w:p>
    <w:p>
      <w:pPr>
        <w:spacing w:after="0" w:line="19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All accelerated amortization and accrual of future variable costs are recorded as Restructuring and related expense in the Company's condensed consolidated statements of operations. At September 30, 2022 and December 31, 2021, the Company had accruals of $2.2 million and $1.6 million, respectively, for all future anticipated variable lease costs related to these facilities. The Company may incur additional future expense if it is unable to sublease other locations included in the Facilities Initiative.</w:t>
      </w:r>
    </w:p>
    <w:p>
      <w:pPr>
        <w:spacing w:after="0" w:line="202" w:lineRule="exact"/>
        <w:rPr>
          <w:sz w:val="20"/>
          <w:szCs w:val="20"/>
          <w:color w:val="auto"/>
        </w:rPr>
      </w:pPr>
    </w:p>
    <w:p>
      <w:pPr>
        <w:ind w:right="180" w:firstLine="314"/>
        <w:spacing w:after="0" w:line="274" w:lineRule="auto"/>
        <w:rPr>
          <w:sz w:val="20"/>
          <w:szCs w:val="20"/>
          <w:color w:val="auto"/>
        </w:rPr>
      </w:pPr>
      <w:r>
        <w:rPr>
          <w:rFonts w:ascii="Arial" w:cs="Arial" w:eastAsia="Arial" w:hAnsi="Arial"/>
          <w:sz w:val="17"/>
          <w:szCs w:val="17"/>
          <w:color w:val="auto"/>
        </w:rPr>
        <w:t>The Company leases its corporate offices and other facilities under operating leases, which expire at various times through 2032. The Company's right-of-use lease assets and lease liabilities at September 30, 2022 and December 31, 2021 were as follows (in thousands):</w:t>
      </w:r>
    </w:p>
    <w:tbl>
      <w:tblPr>
        <w:tblLayout w:type="fixed"/>
        <w:tblInd w:w="0" w:type="dxa"/>
        <w:tblCellMar>
          <w:top w:w="0" w:type="dxa"/>
          <w:left w:w="0" w:type="dxa"/>
          <w:bottom w:w="0" w:type="dxa"/>
          <w:right w:w="0" w:type="dxa"/>
        </w:tblCellMar>
      </w:tblPr>
      <w:tr>
        <w:trPr>
          <w:trHeight w:val="141"/>
        </w:trPr>
        <w:tc>
          <w:tcPr>
            <w:tcW w:w="4100" w:type="dxa"/>
            <w:vAlign w:val="bottom"/>
          </w:tcPr>
          <w:p>
            <w:pPr>
              <w:spacing w:after="0"/>
              <w:rPr>
                <w:sz w:val="12"/>
                <w:szCs w:val="12"/>
                <w:color w:val="auto"/>
              </w:rPr>
            </w:pPr>
          </w:p>
        </w:tc>
        <w:tc>
          <w:tcPr>
            <w:tcW w:w="440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Pr>
          <w:p>
            <w:pPr>
              <w:spacing w:after="0"/>
              <w:rPr>
                <w:sz w:val="12"/>
                <w:szCs w:val="12"/>
                <w:color w:val="auto"/>
              </w:rPr>
            </w:pPr>
          </w:p>
        </w:tc>
        <w:tc>
          <w:tcPr>
            <w:tcW w:w="126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140" w:type="dxa"/>
            <w:vAlign w:val="bottom"/>
          </w:tcPr>
          <w:p>
            <w:pPr>
              <w:jc w:val="right"/>
              <w:ind w:right="176"/>
              <w:spacing w:after="0" w:line="141"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7"/>
                <w:szCs w:val="17"/>
                <w:color w:val="auto"/>
              </w:rPr>
              <w:t>Assets:</w:t>
            </w:r>
          </w:p>
        </w:tc>
        <w:tc>
          <w:tcPr>
            <w:tcW w:w="4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Operating lease assets</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53,147</w:t>
            </w:r>
          </w:p>
        </w:tc>
        <w:tc>
          <w:tcPr>
            <w:tcW w:w="0" w:type="dxa"/>
            <w:vAlign w:val="bottom"/>
          </w:tcPr>
          <w:p>
            <w:pPr>
              <w:spacing w:after="0"/>
              <w:rPr>
                <w:sz w:val="1"/>
                <w:szCs w:val="1"/>
                <w:color w:val="auto"/>
              </w:rPr>
            </w:pPr>
          </w:p>
        </w:tc>
      </w:tr>
      <w:tr>
        <w:trPr>
          <w:trHeight w:val="222"/>
        </w:trPr>
        <w:tc>
          <w:tcPr>
            <w:tcW w:w="4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Finance lease assets*</w:t>
            </w:r>
          </w:p>
        </w:tc>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40"/>
        </w:trPr>
        <w:tc>
          <w:tcPr>
            <w:tcW w:w="4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leased assets</w:t>
            </w: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53,434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100"/>
              <w:spacing w:after="0"/>
              <w:rPr>
                <w:sz w:val="20"/>
                <w:szCs w:val="20"/>
                <w:color w:val="auto"/>
              </w:rPr>
            </w:pPr>
            <w:r>
              <w:rPr>
                <w:rFonts w:ascii="Arial" w:cs="Arial" w:eastAsia="Arial" w:hAnsi="Arial"/>
                <w:sz w:val="17"/>
                <w:szCs w:val="17"/>
                <w:color w:val="auto"/>
              </w:rPr>
              <w:t>Current:</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17,403</w:t>
            </w:r>
          </w:p>
        </w:tc>
        <w:tc>
          <w:tcPr>
            <w:tcW w:w="0" w:type="dxa"/>
            <w:vAlign w:val="bottom"/>
          </w:tcPr>
          <w:p>
            <w:pPr>
              <w:spacing w:after="0"/>
              <w:rPr>
                <w:sz w:val="1"/>
                <w:szCs w:val="1"/>
                <w:color w:val="auto"/>
              </w:rPr>
            </w:pPr>
          </w:p>
        </w:tc>
      </w:tr>
      <w:tr>
        <w:trPr>
          <w:trHeight w:val="222"/>
        </w:trPr>
        <w:tc>
          <w:tcPr>
            <w:tcW w:w="4100" w:type="dxa"/>
            <w:vAlign w:val="bottom"/>
          </w:tcPr>
          <w:p>
            <w:pPr>
              <w:ind w:left="200"/>
              <w:spacing w:after="0"/>
              <w:rPr>
                <w:sz w:val="20"/>
                <w:szCs w:val="20"/>
                <w:color w:val="auto"/>
              </w:rPr>
            </w:pPr>
            <w:r>
              <w:rPr>
                <w:rFonts w:ascii="Arial" w:cs="Arial" w:eastAsia="Arial" w:hAnsi="Arial"/>
                <w:sz w:val="17"/>
                <w:szCs w:val="17"/>
                <w:color w:val="auto"/>
              </w:rPr>
              <w:t>Finance</w:t>
            </w:r>
          </w:p>
        </w:tc>
        <w:tc>
          <w:tcPr>
            <w:tcW w:w="4400" w:type="dxa"/>
            <w:vAlign w:val="bottom"/>
            <w:gridSpan w:val="2"/>
          </w:tcPr>
          <w:p>
            <w:pPr>
              <w:ind w:left="20"/>
              <w:spacing w:after="0"/>
              <w:rPr>
                <w:sz w:val="20"/>
                <w:szCs w:val="20"/>
                <w:color w:val="auto"/>
              </w:rPr>
            </w:pPr>
            <w:r>
              <w:rPr>
                <w:rFonts w:ascii="Arial" w:cs="Arial" w:eastAsia="Arial" w:hAnsi="Arial"/>
                <w:sz w:val="17"/>
                <w:szCs w:val="17"/>
                <w:color w:val="auto"/>
              </w:rPr>
              <w:t>Accrued expenses and other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Noncurrent:</w:t>
            </w: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00"/>
              <w:spacing w:after="0"/>
              <w:rPr>
                <w:sz w:val="20"/>
                <w:szCs w:val="20"/>
                <w:color w:val="auto"/>
              </w:rPr>
            </w:pPr>
            <w:r>
              <w:rPr>
                <w:rFonts w:ascii="Arial" w:cs="Arial" w:eastAsia="Arial" w:hAnsi="Arial"/>
                <w:sz w:val="17"/>
                <w:szCs w:val="17"/>
                <w:color w:val="auto"/>
              </w:rPr>
              <w:t>Operating</w:t>
            </w:r>
          </w:p>
        </w:tc>
        <w:tc>
          <w:tcPr>
            <w:tcW w:w="440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 net of 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55,196</w:t>
            </w: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5"/>
        </w:trPr>
        <w:tc>
          <w:tcPr>
            <w:tcW w:w="4100" w:type="dxa"/>
            <w:vAlign w:val="bottom"/>
          </w:tcPr>
          <w:p>
            <w:pPr>
              <w:ind w:left="280"/>
              <w:spacing w:after="0"/>
              <w:rPr>
                <w:sz w:val="20"/>
                <w:szCs w:val="20"/>
                <w:color w:val="auto"/>
              </w:rPr>
            </w:pPr>
            <w:r>
              <w:rPr>
                <w:rFonts w:ascii="Arial" w:cs="Arial" w:eastAsia="Arial" w:hAnsi="Arial"/>
                <w:sz w:val="17"/>
                <w:szCs w:val="17"/>
                <w:color w:val="auto"/>
              </w:rPr>
              <w:t>Total lease liabilities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73,166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40" w:right="760" w:hanging="235"/>
        <w:spacing w:after="0" w:line="288" w:lineRule="auto"/>
        <w:tabs>
          <w:tab w:leader="none" w:pos="135"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Finance lease assets were recorded net of accumulated depreciation of $1.2 million and $1.8 million at September 30, 2022 and December 31, 2021,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34" w:name="page35"/>
    <w:bookmarkEnd w:id="34"/>
    <w:p>
      <w:pPr>
        <w:jc w:val="center"/>
        <w:ind w:right="100"/>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expense for the three and nine months ended September 30, 2022 and 2021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2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57"/>
              <w:spacing w:after="0" w:line="124"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2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57"/>
              <w:spacing w:after="0" w:line="124" w:lineRule="exact"/>
              <w:rPr>
                <w:sz w:val="20"/>
                <w:szCs w:val="20"/>
                <w:color w:val="auto"/>
              </w:rPr>
            </w:pPr>
            <w:r>
              <w:rPr>
                <w:rFonts w:ascii="Arial" w:cs="Arial" w:eastAsia="Arial" w:hAnsi="Arial"/>
                <w:sz w:val="14"/>
                <w:szCs w:val="14"/>
                <w:b w:val="1"/>
                <w:bCs w:val="1"/>
                <w:color w:val="auto"/>
                <w:w w:val="91"/>
              </w:rPr>
              <w:t>September 30,</w:t>
            </w:r>
          </w:p>
        </w:tc>
      </w:tr>
      <w:tr>
        <w:trPr>
          <w:trHeight w:val="189"/>
        </w:trPr>
        <w:tc>
          <w:tcPr>
            <w:tcW w:w="5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19,027</w:t>
            </w: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Amortization of leased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r>
      <w:tr>
        <w:trPr>
          <w:trHeight w:val="222"/>
        </w:trPr>
        <w:tc>
          <w:tcPr>
            <w:tcW w:w="5520" w:type="dxa"/>
            <w:vAlign w:val="bottom"/>
          </w:tcPr>
          <w:p>
            <w:pPr>
              <w:ind w:left="100"/>
              <w:spacing w:after="0"/>
              <w:rPr>
                <w:sz w:val="20"/>
                <w:szCs w:val="20"/>
                <w:color w:val="auto"/>
              </w:rPr>
            </w:pPr>
            <w:r>
              <w:rPr>
                <w:rFonts w:ascii="Arial" w:cs="Arial" w:eastAsia="Arial" w:hAnsi="Arial"/>
                <w:sz w:val="17"/>
                <w:szCs w:val="17"/>
                <w:color w:val="auto"/>
              </w:rPr>
              <w:t>Interest on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9,889</w:t>
            </w:r>
          </w:p>
        </w:tc>
      </w:tr>
      <w:tr>
        <w:trPr>
          <w:trHeight w:val="222"/>
        </w:trPr>
        <w:tc>
          <w:tcPr>
            <w:tcW w:w="5520" w:type="dxa"/>
            <w:vAlign w:val="bottom"/>
          </w:tcPr>
          <w:p>
            <w:pPr>
              <w:ind w:left="20"/>
              <w:spacing w:after="0"/>
              <w:rPr>
                <w:sz w:val="20"/>
                <w:szCs w:val="20"/>
                <w:color w:val="auto"/>
              </w:rPr>
            </w:pPr>
            <w:r>
              <w:rPr>
                <w:rFonts w:ascii="Arial" w:cs="Arial" w:eastAsia="Arial" w:hAnsi="Arial"/>
                <w:sz w:val="17"/>
                <w:szCs w:val="17"/>
                <w:color w:val="auto"/>
                <w:w w:val="96"/>
              </w:rPr>
              <w:t>Variable lease costs (costs excluded from minimum fixed lease payments)**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3,247</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Sublease income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r>
      <w:tr>
        <w:trPr>
          <w:trHeight w:val="215"/>
        </w:trPr>
        <w:tc>
          <w:tcPr>
            <w:tcW w:w="5520" w:type="dxa"/>
            <w:vAlign w:val="bottom"/>
          </w:tcPr>
          <w:p>
            <w:pPr>
              <w:ind w:left="200"/>
              <w:spacing w:after="0"/>
              <w:rPr>
                <w:sz w:val="20"/>
                <w:szCs w:val="20"/>
                <w:color w:val="auto"/>
              </w:rPr>
            </w:pPr>
            <w:r>
              <w:rPr>
                <w:rFonts w:ascii="Arial" w:cs="Arial" w:eastAsia="Arial" w:hAnsi="Arial"/>
                <w:sz w:val="17"/>
                <w:szCs w:val="17"/>
                <w:color w:val="auto"/>
              </w:rPr>
              <w:t>Net lease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8,572</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31,803</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right"/>
        <w:ind w:left="240" w:right="100" w:hanging="235"/>
        <w:spacing w:after="0" w:line="299" w:lineRule="auto"/>
        <w:tabs>
          <w:tab w:leader="none" w:pos="135" w:val="left"/>
        </w:tabs>
        <w:numPr>
          <w:ilvl w:val="0"/>
          <w:numId w:val="8"/>
        </w:numPr>
        <w:rPr>
          <w:rFonts w:ascii="Arial" w:cs="Arial" w:eastAsia="Arial" w:hAnsi="Arial"/>
          <w:sz w:val="15"/>
          <w:szCs w:val="15"/>
          <w:color w:val="auto"/>
        </w:rPr>
      </w:pPr>
      <w:r>
        <w:rPr>
          <w:rFonts w:ascii="Arial" w:cs="Arial" w:eastAsia="Arial" w:hAnsi="Arial"/>
          <w:sz w:val="15"/>
          <w:szCs w:val="15"/>
          <w:color w:val="auto"/>
        </w:rPr>
        <w:t>Operating lease costs for the three and nine months ended September 30, 2022 included $0.6 million and $1.6 million, respectively, of accelerated amortization for certain assets partially or fully vacated with no intent or ability to sublease. Operating lease costs for the nine months ended September 30, 2021 included</w:t>
      </w:r>
    </w:p>
    <w:p>
      <w:pPr>
        <w:spacing w:after="0" w:line="1" w:lineRule="exact"/>
        <w:rPr>
          <w:sz w:val="20"/>
          <w:szCs w:val="20"/>
          <w:color w:val="auto"/>
        </w:rPr>
      </w:pPr>
    </w:p>
    <w:p>
      <w:pPr>
        <w:ind w:left="240" w:right="100"/>
        <w:spacing w:after="0" w:line="256" w:lineRule="auto"/>
        <w:rPr>
          <w:sz w:val="20"/>
          <w:szCs w:val="20"/>
          <w:color w:val="auto"/>
        </w:rPr>
      </w:pPr>
      <w:r>
        <w:rPr>
          <w:rFonts w:ascii="Arial" w:cs="Arial" w:eastAsia="Arial" w:hAnsi="Arial"/>
          <w:sz w:val="17"/>
          <w:szCs w:val="17"/>
          <w:color w:val="auto"/>
        </w:rPr>
        <w:t>$3.4 million of accelerated amortization for certain assets partially or fully vacated with no intent or ability to sublease. No such accelerated amortization was recorded in the three months ended September 30, 2021.</w:t>
      </w:r>
    </w:p>
    <w:p>
      <w:pPr>
        <w:spacing w:after="0" w:line="1" w:lineRule="exact"/>
        <w:rPr>
          <w:sz w:val="20"/>
          <w:szCs w:val="20"/>
          <w:color w:val="auto"/>
        </w:rPr>
      </w:pPr>
    </w:p>
    <w:p>
      <w:pPr>
        <w:ind w:left="240" w:right="220" w:hanging="235"/>
        <w:spacing w:after="0" w:line="283" w:lineRule="auto"/>
        <w:tabs>
          <w:tab w:leader="none" w:pos="222" w:val="left"/>
        </w:tabs>
        <w:numPr>
          <w:ilvl w:val="0"/>
          <w:numId w:val="9"/>
        </w:numPr>
        <w:rPr>
          <w:rFonts w:ascii="Arial" w:cs="Arial" w:eastAsia="Arial" w:hAnsi="Arial"/>
          <w:sz w:val="16"/>
          <w:szCs w:val="16"/>
          <w:color w:val="auto"/>
        </w:rPr>
      </w:pPr>
      <w:r>
        <w:rPr>
          <w:rFonts w:ascii="Arial" w:cs="Arial" w:eastAsia="Arial" w:hAnsi="Arial"/>
          <w:sz w:val="16"/>
          <w:szCs w:val="16"/>
          <w:color w:val="auto"/>
        </w:rPr>
        <w:t>Variable lease costs for the three and nine months ended September 30, 2022 included accruals of $0.7 million and $1.0 million, respectively, for future estimated variable expenses related to certain assets partially or fully vacated with no intent or ability to sublease. Variable lease costs for the nine months ended September 30, 2021 included accruals of $1.4 million for all future estimated variable expenses related to certain assets partially or fully vacated with no intent or ability to sublease. No such variable costs were accrued in the three months ended September 30, 2021.</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flow information related to the Company's leases for the nine months ended September 30, 2022 and 2021 was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7"/>
          </w:tcPr>
          <w:p>
            <w:pPr>
              <w:ind w:left="600"/>
              <w:spacing w:after="0"/>
              <w:rPr>
                <w:sz w:val="20"/>
                <w:szCs w:val="20"/>
                <w:color w:val="auto"/>
              </w:rPr>
            </w:pPr>
            <w:r>
              <w:rPr>
                <w:rFonts w:ascii="Arial" w:cs="Arial" w:eastAsia="Arial" w:hAnsi="Arial"/>
                <w:sz w:val="14"/>
                <w:szCs w:val="14"/>
                <w:b w:val="1"/>
                <w:bCs w:val="1"/>
                <w:color w:val="auto"/>
              </w:rPr>
              <w:t>Nine months ended</w:t>
            </w:r>
          </w:p>
        </w:tc>
      </w:tr>
      <w:tr>
        <w:trPr>
          <w:trHeight w:val="23"/>
        </w:trPr>
        <w:tc>
          <w:tcPr>
            <w:tcW w:w="4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127"/>
        </w:trPr>
        <w:tc>
          <w:tcPr>
            <w:tcW w:w="48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62"/>
              <w:spacing w:after="0" w:line="127"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right"/>
              <w:ind w:right="170"/>
              <w:spacing w:after="0" w:line="127"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r>
      <w:tr>
        <w:trPr>
          <w:trHeight w:val="187"/>
        </w:trPr>
        <w:tc>
          <w:tcPr>
            <w:tcW w:w="480" w:type="dxa"/>
            <w:vAlign w:val="bottom"/>
            <w:tcBorders>
              <w:bottom w:val="single" w:sz="8" w:color="CCEEFF"/>
            </w:tcBorders>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7"/>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500" w:type="dxa"/>
            <w:vAlign w:val="bottom"/>
            <w:gridSpan w:val="2"/>
          </w:tcPr>
          <w:p>
            <w:pPr>
              <w:ind w:left="100"/>
              <w:spacing w:after="0"/>
              <w:rPr>
                <w:sz w:val="20"/>
                <w:szCs w:val="20"/>
                <w:color w:val="auto"/>
              </w:rPr>
            </w:pPr>
            <w:r>
              <w:rPr>
                <w:rFonts w:ascii="Arial" w:cs="Arial" w:eastAsia="Arial" w:hAnsi="Arial"/>
                <w:sz w:val="17"/>
                <w:szCs w:val="17"/>
                <w:color w:val="auto"/>
              </w:rPr>
              <w:t>Operating cash flows for operating leases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15,662</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16,509</w:t>
            </w:r>
          </w:p>
        </w:tc>
        <w:tc>
          <w:tcPr>
            <w:tcW w:w="100" w:type="dxa"/>
            <w:vAlign w:val="bottom"/>
          </w:tcPr>
          <w:p>
            <w:pPr>
              <w:spacing w:after="0"/>
              <w:rPr>
                <w:sz w:val="19"/>
                <w:szCs w:val="19"/>
                <w:color w:val="auto"/>
              </w:rPr>
            </w:pPr>
          </w:p>
        </w:tc>
      </w:tr>
      <w:tr>
        <w:trPr>
          <w:trHeight w:val="222"/>
        </w:trPr>
        <w:tc>
          <w:tcPr>
            <w:tcW w:w="8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Operating cash flows for finance leases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r>
      <w:tr>
        <w:trPr>
          <w:trHeight w:val="222"/>
        </w:trPr>
        <w:tc>
          <w:tcPr>
            <w:tcW w:w="8500" w:type="dxa"/>
            <w:vAlign w:val="bottom"/>
            <w:gridSpan w:val="2"/>
          </w:tcPr>
          <w:p>
            <w:pPr>
              <w:ind w:left="100"/>
              <w:spacing w:after="0"/>
              <w:rPr>
                <w:sz w:val="20"/>
                <w:szCs w:val="20"/>
                <w:color w:val="auto"/>
              </w:rPr>
            </w:pPr>
            <w:r>
              <w:rPr>
                <w:rFonts w:ascii="Arial" w:cs="Arial" w:eastAsia="Arial" w:hAnsi="Arial"/>
                <w:sz w:val="17"/>
                <w:szCs w:val="17"/>
                <w:color w:val="auto"/>
              </w:rPr>
              <w:t>Financing cash flows for finance leases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433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19"/>
                <w:szCs w:val="19"/>
                <w:color w:val="auto"/>
              </w:rPr>
            </w:pPr>
          </w:p>
        </w:tc>
      </w:tr>
      <w:tr>
        <w:trPr>
          <w:trHeight w:val="536"/>
        </w:trPr>
        <w:tc>
          <w:tcPr>
            <w:tcW w:w="8500" w:type="dxa"/>
            <w:vAlign w:val="bottom"/>
            <w:gridSpan w:val="2"/>
          </w:tcPr>
          <w:p>
            <w:pPr>
              <w:ind w:left="320"/>
              <w:spacing w:after="0"/>
              <w:rPr>
                <w:sz w:val="20"/>
                <w:szCs w:val="20"/>
                <w:color w:val="auto"/>
              </w:rPr>
            </w:pPr>
            <w:r>
              <w:rPr>
                <w:rFonts w:ascii="Arial" w:cs="Arial" w:eastAsia="Arial" w:hAnsi="Arial"/>
                <w:sz w:val="17"/>
                <w:szCs w:val="17"/>
                <w:color w:val="auto"/>
                <w:w w:val="92"/>
              </w:rPr>
              <w:t>Other information related to the Company's leases as of September 30, 2022 and December 31, 2021 was as follows: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48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ind w:right="280"/>
              <w:spacing w:after="0" w:line="157"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48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6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48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Weighted average remaining lease term (years):</w:t>
            </w: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8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Operating leases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2"/>
        </w:trPr>
        <w:tc>
          <w:tcPr>
            <w:tcW w:w="480" w:type="dxa"/>
            <w:vAlign w:val="bottom"/>
          </w:tcPr>
          <w:p>
            <w:pPr>
              <w:spacing w:after="0"/>
              <w:rPr>
                <w:sz w:val="19"/>
                <w:szCs w:val="19"/>
                <w:color w:val="auto"/>
              </w:rPr>
            </w:pPr>
          </w:p>
        </w:tc>
        <w:tc>
          <w:tcPr>
            <w:tcW w:w="8020" w:type="dxa"/>
            <w:vAlign w:val="bottom"/>
          </w:tcPr>
          <w:p>
            <w:pPr>
              <w:ind w:left="100"/>
              <w:spacing w:after="0"/>
              <w:rPr>
                <w:sz w:val="20"/>
                <w:szCs w:val="20"/>
                <w:color w:val="auto"/>
              </w:rPr>
            </w:pPr>
            <w:r>
              <w:rPr>
                <w:rFonts w:ascii="Arial" w:cs="Arial" w:eastAsia="Arial" w:hAnsi="Arial"/>
                <w:sz w:val="17"/>
                <w:szCs w:val="17"/>
                <w:color w:val="auto"/>
              </w:rPr>
              <w:t>Finance leases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w w:val="90"/>
              </w:rPr>
              <w:t>0.42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8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2"/>
        </w:trPr>
        <w:tc>
          <w:tcPr>
            <w:tcW w:w="480" w:type="dxa"/>
            <w:vAlign w:val="bottom"/>
          </w:tcPr>
          <w:p>
            <w:pPr>
              <w:spacing w:after="0"/>
              <w:rPr>
                <w:sz w:val="19"/>
                <w:szCs w:val="19"/>
                <w:color w:val="auto"/>
              </w:rPr>
            </w:pPr>
          </w:p>
        </w:tc>
        <w:tc>
          <w:tcPr>
            <w:tcW w:w="8020" w:type="dxa"/>
            <w:vAlign w:val="bottom"/>
          </w:tcPr>
          <w:p>
            <w:pPr>
              <w:ind w:left="100"/>
              <w:spacing w:after="0"/>
              <w:rPr>
                <w:sz w:val="20"/>
                <w:szCs w:val="20"/>
                <w:color w:val="auto"/>
              </w:rPr>
            </w:pPr>
            <w:r>
              <w:rPr>
                <w:rFonts w:ascii="Arial" w:cs="Arial" w:eastAsia="Arial" w:hAnsi="Arial"/>
                <w:sz w:val="17"/>
                <w:szCs w:val="17"/>
                <w:color w:val="auto"/>
              </w:rPr>
              <w:t>Operating leases</w:t>
            </w:r>
          </w:p>
        </w:tc>
        <w:tc>
          <w:tcPr>
            <w:tcW w:w="2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5.70 %</w:t>
            </w:r>
          </w:p>
        </w:tc>
        <w:tc>
          <w:tcPr>
            <w:tcW w:w="1200" w:type="dxa"/>
            <w:vAlign w:val="bottom"/>
            <w:gridSpan w:val="4"/>
          </w:tcPr>
          <w:p>
            <w:pPr>
              <w:jc w:val="right"/>
              <w:ind w:right="20"/>
              <w:spacing w:after="0"/>
              <w:rPr>
                <w:sz w:val="20"/>
                <w:szCs w:val="20"/>
                <w:color w:val="auto"/>
              </w:rPr>
            </w:pPr>
            <w:r>
              <w:rPr>
                <w:rFonts w:ascii="Arial" w:cs="Arial" w:eastAsia="Arial" w:hAnsi="Arial"/>
                <w:sz w:val="17"/>
                <w:szCs w:val="17"/>
                <w:color w:val="auto"/>
              </w:rPr>
              <w:t>5.</w:t>
            </w:r>
          </w:p>
        </w:tc>
      </w:tr>
      <w:tr>
        <w:trPr>
          <w:trHeight w:val="222"/>
        </w:trPr>
        <w:tc>
          <w:tcPr>
            <w:tcW w:w="480" w:type="dxa"/>
            <w:vAlign w:val="bottom"/>
          </w:tcPr>
          <w:p>
            <w:pPr>
              <w:spacing w:after="0"/>
              <w:rPr>
                <w:sz w:val="19"/>
                <w:szCs w:val="19"/>
                <w:color w:val="auto"/>
              </w:rPr>
            </w:pPr>
          </w:p>
        </w:tc>
        <w:tc>
          <w:tcPr>
            <w:tcW w:w="8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Finance leases</w:t>
            </w: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3.20 %</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fixed lease payments under noncancelable leases at September 30, 2022 were as follows (in thousands):</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46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5"/>
                <w:szCs w:val="15"/>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96"/>
        </w:trPr>
        <w:tc>
          <w:tcPr>
            <w:tcW w:w="8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leases</w:t>
            </w:r>
          </w:p>
        </w:tc>
        <w:tc>
          <w:tcPr>
            <w:tcW w:w="260" w:type="dxa"/>
            <w:vAlign w:val="bottom"/>
          </w:tcPr>
          <w:p>
            <w:pPr>
              <w:spacing w:after="0"/>
              <w:rPr>
                <w:sz w:val="17"/>
                <w:szCs w:val="17"/>
                <w:color w:val="auto"/>
              </w:rPr>
            </w:pPr>
          </w:p>
        </w:tc>
        <w:tc>
          <w:tcPr>
            <w:tcW w:w="1060" w:type="dxa"/>
            <w:vAlign w:val="bottom"/>
          </w:tcPr>
          <w:p>
            <w:pPr>
              <w:jc w:val="right"/>
              <w:ind w:right="396"/>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Arial" w:cs="Arial" w:eastAsia="Arial" w:hAnsi="Arial"/>
                <w:sz w:val="17"/>
                <w:szCs w:val="17"/>
                <w:color w:val="auto"/>
              </w:rPr>
              <w:t>Remainder of 2022</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500" w:type="dxa"/>
            <w:vAlign w:val="bottom"/>
            <w:vMerge w:val="continue"/>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4,758</w:t>
            </w:r>
          </w:p>
        </w:tc>
        <w:tc>
          <w:tcPr>
            <w:tcW w:w="10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7"/>
                <w:szCs w:val="17"/>
                <w:color w:val="auto"/>
              </w:rPr>
              <w:t>2026</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 and beyond</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500" w:type="dxa"/>
            <w:vAlign w:val="bottom"/>
          </w:tcPr>
          <w:p>
            <w:pPr>
              <w:ind w:left="100"/>
              <w:spacing w:after="0"/>
              <w:rPr>
                <w:sz w:val="20"/>
                <w:szCs w:val="20"/>
                <w:color w:val="auto"/>
              </w:rPr>
            </w:pPr>
            <w:r>
              <w:rPr>
                <w:rFonts w:ascii="Arial" w:cs="Arial" w:eastAsia="Arial" w:hAnsi="Arial"/>
                <w:sz w:val="17"/>
                <w:szCs w:val="17"/>
                <w:color w:val="auto"/>
              </w:rPr>
              <w:t>Total lease payments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77,477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2"/>
        </w:trPr>
        <w:tc>
          <w:tcPr>
            <w:tcW w:w="8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Less: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5"/>
        </w:trPr>
        <w:tc>
          <w:tcPr>
            <w:tcW w:w="8500" w:type="dxa"/>
            <w:vAlign w:val="bottom"/>
          </w:tcPr>
          <w:p>
            <w:pPr>
              <w:ind w:left="200"/>
              <w:spacing w:after="0"/>
              <w:rPr>
                <w:sz w:val="20"/>
                <w:szCs w:val="20"/>
                <w:color w:val="auto"/>
              </w:rPr>
            </w:pPr>
            <w:r>
              <w:rPr>
                <w:rFonts w:ascii="Arial" w:cs="Arial" w:eastAsia="Arial" w:hAnsi="Arial"/>
                <w:sz w:val="17"/>
                <w:szCs w:val="17"/>
                <w:color w:val="auto"/>
              </w:rPr>
              <w:t>Present value of lease liabilities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255" w:lineRule="exact"/>
        <w:rPr>
          <w:sz w:val="20"/>
          <w:szCs w:val="20"/>
          <w:color w:val="auto"/>
        </w:rPr>
      </w:pPr>
    </w:p>
    <w:p>
      <w:pPr>
        <w:ind w:right="240" w:firstLine="314"/>
        <w:spacing w:after="0" w:line="261" w:lineRule="auto"/>
        <w:rPr>
          <w:sz w:val="20"/>
          <w:szCs w:val="20"/>
          <w:color w:val="auto"/>
        </w:rPr>
      </w:pPr>
      <w:r>
        <w:rPr>
          <w:rFonts w:ascii="Arial" w:cs="Arial" w:eastAsia="Arial" w:hAnsi="Arial"/>
          <w:sz w:val="17"/>
          <w:szCs w:val="17"/>
          <w:color w:val="auto"/>
        </w:rPr>
        <w:t>The Company's income tax provisions for the nine months ended September 30, 2022 and 2021 reflect the Company's estimates of the effective rates expected to be applicable for the respective full years, adjusted for any discrete events, which are recorded in the period that they occur. These estimates are reevaluated each quarter based on the Company's estimated tax expense for the full year. The estimated effective tax rate includes the impact of valuation allowances in various jurisdictions. The Company intends to continue to maintain a valuation allowance on its deferred tax assets until there is sufficient evidence to support the reversal of all or some portion of the respective allowances. During the three months ended September 30, 2022, the Company recognized a tax benefit of $6.8M related to the release of a valuation allowance on the capital loss deferred tax asset related to its investment in AVCT. The Company generated a capital loss from the cancellation of the AVCT Debenture Shares and Warrants, which it concluded will be carried back to offset capital gains recognized in a prior tax year.</w:t>
      </w:r>
    </w:p>
    <w:p>
      <w:pPr>
        <w:spacing w:after="0" w:line="207" w:lineRule="exact"/>
        <w:rPr>
          <w:sz w:val="20"/>
          <w:szCs w:val="20"/>
          <w:color w:val="auto"/>
        </w:rPr>
      </w:pPr>
    </w:p>
    <w:p>
      <w:pPr>
        <w:ind w:right="200" w:firstLine="314"/>
        <w:spacing w:after="0" w:line="288" w:lineRule="auto"/>
        <w:rPr>
          <w:sz w:val="20"/>
          <w:szCs w:val="20"/>
          <w:color w:val="auto"/>
        </w:rPr>
      </w:pPr>
      <w:r>
        <w:rPr>
          <w:rFonts w:ascii="Arial" w:cs="Arial" w:eastAsia="Arial" w:hAnsi="Arial"/>
          <w:sz w:val="16"/>
          <w:szCs w:val="16"/>
          <w:color w:val="auto"/>
        </w:rPr>
        <w:t>Beginning in 2022, the Tax Cuts and Jobs Act of 2017 (the "TCJA") eliminates the option to deduct research and development expenditures currently and requires taxpayers to amortize them over a minimum of five years pursuant to IRC Section 174. Although Congress is considering legislation that would defer the amortization requirement to later years, the Company has no assurance that the provision will be repealed or otherwise modified. If this provision of the TCJA is not repealed or otherwise modified, it will materially reduce the Company's operating cash flows in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Liabilities for Royalty Payments to the IIA</w:t>
      </w:r>
    </w:p>
    <w:p>
      <w:pPr>
        <w:spacing w:after="0" w:line="249" w:lineRule="exact"/>
        <w:rPr>
          <w:sz w:val="20"/>
          <w:szCs w:val="20"/>
          <w:color w:val="auto"/>
        </w:rPr>
      </w:pPr>
    </w:p>
    <w:p>
      <w:pPr>
        <w:ind w:right="40" w:firstLine="314"/>
        <w:spacing w:after="0" w:line="261" w:lineRule="auto"/>
        <w:rPr>
          <w:sz w:val="20"/>
          <w:szCs w:val="20"/>
          <w:color w:val="auto"/>
        </w:rPr>
      </w:pPr>
      <w:r>
        <w:rPr>
          <w:rFonts w:ascii="Arial" w:cs="Arial" w:eastAsia="Arial" w:hAnsi="Arial"/>
          <w:sz w:val="17"/>
          <w:szCs w:val="17"/>
          <w:color w:val="auto"/>
        </w:rPr>
        <w:t>Prior to the ECI Acquisition, ECI had received research and development grants from the Office of the Innovation Authority of the Israeli Ministry of Economics (the "IIA"). The Company assumed ECI's contract with the IIA, which requires the Company to pay royalties to the IIA on proceeds from the sale of products which the Israeli government has supported by way of research and development grants. The royalties for grants prior to 2017 were calculated at the rates of 1.3% to 5.0% of the aggregated proceeds from the sale of such products developed at certain of the Company's R&amp;D centers, up to an amount not exceeding 100% of such grants plus interest at LIBOR. Effective for grants approved in 2017 and subsequently, interest was calculated at the higher of LIBOR plus 1.5% to 2.75%. At September 30, 2022, the Company's maximum possible future royalties commitment, including $4.6 million of unpaid royalties accrued, was $31.0 million, including interest of $1.5 million, based on estimates of future product sales, grants received from the IIA not yet repaid, and management's estimation of products still to be sold.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Grants</w:t>
      </w:r>
    </w:p>
    <w:p>
      <w:pPr>
        <w:spacing w:after="0" w:line="249" w:lineRule="exact"/>
        <w:rPr>
          <w:sz w:val="20"/>
          <w:szCs w:val="20"/>
          <w:color w:val="auto"/>
        </w:rPr>
      </w:pPr>
    </w:p>
    <w:p>
      <w:pPr>
        <w:jc w:val="both"/>
        <w:ind w:right="580" w:firstLine="314"/>
        <w:spacing w:after="0" w:line="272" w:lineRule="auto"/>
        <w:rPr>
          <w:sz w:val="20"/>
          <w:szCs w:val="20"/>
          <w:color w:val="auto"/>
        </w:rPr>
      </w:pPr>
      <w:r>
        <w:rPr>
          <w:rFonts w:ascii="Arial" w:cs="Arial" w:eastAsia="Arial" w:hAnsi="Arial"/>
          <w:sz w:val="17"/>
          <w:szCs w:val="17"/>
          <w:color w:val="auto"/>
        </w:rPr>
        <w:t>The Company records grants received from the IIA as a reduction to research and development expense. Royalties payable to the IIA are recognized pursuant to sales of related products and are classified as Cost of revenue. The Company does not anticipate receiving material grants from the IIA in the foreseeable future.</w:t>
      </w:r>
    </w:p>
    <w:p>
      <w:pPr>
        <w:sectPr>
          <w:pgSz w:w="11900" w:h="16838" w:orient="portrait"/>
          <w:cols w:equalWidth="0" w:num="1">
            <w:col w:w="11240"/>
          </w:cols>
          <w:pgMar w:left="320" w:top="4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36" w:name="page37"/>
    <w:bookmarkEnd w:id="36"/>
    <w:p>
      <w:pPr>
        <w:jc w:val="center"/>
        <w:ind w:right="-59"/>
        <w:spacing w:after="0"/>
        <w:rPr>
          <w:sz w:val="20"/>
          <w:szCs w:val="20"/>
          <w:color w:val="auto"/>
        </w:rPr>
      </w:pPr>
      <w:r>
        <w:rPr>
          <w:rFonts w:ascii="Arial" w:cs="Arial" w:eastAsia="Arial" w:hAnsi="Arial"/>
          <w:sz w:val="17"/>
          <w:szCs w:val="17"/>
          <w:b w:val="1"/>
          <w:bCs w:val="1"/>
          <w:color w:val="auto"/>
        </w:rPr>
        <w:t>RIBBON COMMUNICATIONS INC.</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88" w:lineRule="exact"/>
        <w:rPr>
          <w:sz w:val="20"/>
          <w:szCs w:val="20"/>
          <w:color w:val="auto"/>
        </w:rPr>
      </w:pPr>
    </w:p>
    <w:p>
      <w:pPr>
        <w:ind w:firstLine="314"/>
        <w:spacing w:after="0" w:line="318" w:lineRule="auto"/>
        <w:rPr>
          <w:sz w:val="20"/>
          <w:szCs w:val="20"/>
          <w:color w:val="auto"/>
        </w:rPr>
      </w:pPr>
      <w:r>
        <w:rPr>
          <w:rFonts w:ascii="Arial" w:cs="Arial" w:eastAsia="Arial" w:hAnsi="Arial"/>
          <w:sz w:val="15"/>
          <w:szCs w:val="15"/>
          <w:color w:val="auto"/>
        </w:rPr>
        <w:t>The Company is often a party to disputes and legal proceedings that it considers routine and incidental to its business, including those described below. The Company believes that it has meritorious defenses to the allegations made in the pending cases and intends to vigorously defend these lawsuits; however, the</w:t>
      </w:r>
    </w:p>
    <w:p>
      <w:pPr>
        <w:ind w:right="220"/>
        <w:spacing w:after="0" w:line="297" w:lineRule="auto"/>
        <w:rPr>
          <w:sz w:val="20"/>
          <w:szCs w:val="20"/>
          <w:color w:val="auto"/>
        </w:rPr>
      </w:pPr>
      <w:r>
        <w:rPr>
          <w:rFonts w:ascii="Arial" w:cs="Arial" w:eastAsia="Arial" w:hAnsi="Arial"/>
          <w:sz w:val="16"/>
          <w:szCs w:val="16"/>
          <w:color w:val="auto"/>
        </w:rPr>
        <w:t>Company is unable currently to forecast the ultimate outcome of these or similar matters. Since it is difficult to predict the outcome of legal proceedings, it is possible that the ultimate outcomes could materially and adversely affect the Company’s business, financial position, results of operations or cash flows. Accordingly, with respect to these proceedings, the Company is currently unable to reasonably estimate the possible loss or range of possible loss.</w:t>
      </w:r>
    </w:p>
    <w:p>
      <w:pPr>
        <w:spacing w:after="0" w:line="179" w:lineRule="exact"/>
        <w:rPr>
          <w:sz w:val="20"/>
          <w:szCs w:val="20"/>
          <w:color w:val="auto"/>
        </w:rPr>
      </w:pPr>
    </w:p>
    <w:p>
      <w:pPr>
        <w:ind w:right="60" w:firstLine="314"/>
        <w:spacing w:after="0" w:line="302" w:lineRule="auto"/>
        <w:rPr>
          <w:sz w:val="20"/>
          <w:szCs w:val="20"/>
          <w:color w:val="auto"/>
        </w:rPr>
      </w:pPr>
      <w:r>
        <w:rPr>
          <w:rFonts w:ascii="Arial" w:cs="Arial" w:eastAsia="Arial" w:hAnsi="Arial"/>
          <w:sz w:val="15"/>
          <w:szCs w:val="15"/>
          <w:i w:val="1"/>
          <w:iCs w:val="1"/>
          <w:color w:val="auto"/>
        </w:rPr>
        <w:t xml:space="preserve">Miller Complaint. </w:t>
      </w:r>
      <w:r>
        <w:rPr>
          <w:rFonts w:ascii="Arial" w:cs="Arial" w:eastAsia="Arial" w:hAnsi="Arial"/>
          <w:sz w:val="15"/>
          <w:szCs w:val="15"/>
          <w:color w:val="auto"/>
        </w:rPr>
        <w:t>On November 8, 2018, Ron Miller, a purported stockholder of the Company, filed a Class Action Complaint (the "Miller Complaint") in</w:t>
      </w:r>
      <w:r>
        <w:rPr>
          <w:rFonts w:ascii="Arial" w:cs="Arial" w:eastAsia="Arial" w:hAnsi="Arial"/>
          <w:sz w:val="15"/>
          <w:szCs w:val="15"/>
          <w:i w:val="1"/>
          <w:iCs w:val="1"/>
          <w:color w:val="auto"/>
        </w:rPr>
        <w:t xml:space="preserve"> </w:t>
      </w:r>
      <w:r>
        <w:rPr>
          <w:rFonts w:ascii="Arial" w:cs="Arial" w:eastAsia="Arial" w:hAnsi="Arial"/>
          <w:sz w:val="15"/>
          <w:szCs w:val="15"/>
          <w:color w:val="auto"/>
        </w:rPr>
        <w:t>the United States District Court for the District of Massachusetts (the "Massachusetts District Court") against the Company and three of its former officers (collectively, the "Defendants"), claiming to represent a class of purchasers of Sonus common stock during the period from January 8, 2015 through March 24, 2015 and alleging violations of the federal securities laws. Similar to a previous complaint entitled Sousa et al. vs. Sonus Networks, Inc. et al., which was dismissed with prejudice by an order dated June 6, 2017, the Miller Complaint claims that the Defendants made misleading forward-looking statements concerning Sonus' expected fiscal first quarter of 2015 financial performance, which statements were also the subject of an August 7, 2018 Securities and Exchange Commission Cease and Desist Order, whose findings the Company neither admitted nor denied. The Miller plaintiffs are seeking monetary damages.</w:t>
      </w:r>
    </w:p>
    <w:p>
      <w:pPr>
        <w:spacing w:after="0" w:line="180" w:lineRule="exact"/>
        <w:rPr>
          <w:sz w:val="20"/>
          <w:szCs w:val="20"/>
          <w:color w:val="auto"/>
        </w:rPr>
      </w:pPr>
    </w:p>
    <w:p>
      <w:pPr>
        <w:ind w:right="20" w:firstLine="314"/>
        <w:spacing w:after="0" w:line="264" w:lineRule="auto"/>
        <w:rPr>
          <w:sz w:val="20"/>
          <w:szCs w:val="20"/>
          <w:color w:val="auto"/>
        </w:rPr>
      </w:pPr>
      <w:r>
        <w:rPr>
          <w:rFonts w:ascii="Arial" w:cs="Arial" w:eastAsia="Arial" w:hAnsi="Arial"/>
          <w:sz w:val="17"/>
          <w:szCs w:val="17"/>
          <w:color w:val="auto"/>
        </w:rPr>
        <w:t>After the Miller Complaint was filed, several parties filed and briefed motions seeking to be selected by the Massachusetts District Court to serve as a Lead Plaintiff in the action. On June 21, 2019, the Massachusetts District Court appointed a group as Lead Plaintiffs and the Lead Plaintiffs filed an amended complaint on July 19, 2019. On August 30, 2019, the Defendants filed a motion to dismiss the Miller Complaint and, on October 4, 2019, the Lead Plaintiffs filed an opposition to the motion to dismiss. There was an oral argument on the motion to dismiss on February 12, 2020, and on October 20, 2022 the court denied the motion to dismiss. No schedule has been set by the court for this matter.</w:t>
      </w:r>
    </w:p>
    <w:p>
      <w:pPr>
        <w:spacing w:after="0" w:line="206" w:lineRule="exact"/>
        <w:rPr>
          <w:sz w:val="20"/>
          <w:szCs w:val="20"/>
          <w:color w:val="auto"/>
        </w:rPr>
      </w:pPr>
    </w:p>
    <w:p>
      <w:pPr>
        <w:ind w:firstLine="314"/>
        <w:spacing w:after="0" w:line="304" w:lineRule="auto"/>
        <w:rPr>
          <w:sz w:val="20"/>
          <w:szCs w:val="20"/>
          <w:color w:val="auto"/>
        </w:rPr>
      </w:pPr>
      <w:r>
        <w:rPr>
          <w:rFonts w:ascii="Arial" w:cs="Arial" w:eastAsia="Arial" w:hAnsi="Arial"/>
          <w:sz w:val="15"/>
          <w:szCs w:val="15"/>
          <w:i w:val="1"/>
          <w:iCs w:val="1"/>
          <w:color w:val="auto"/>
        </w:rPr>
        <w:t xml:space="preserve">Charter Complaint. </w:t>
      </w:r>
      <w:r>
        <w:rPr>
          <w:rFonts w:ascii="Arial" w:cs="Arial" w:eastAsia="Arial" w:hAnsi="Arial"/>
          <w:sz w:val="15"/>
          <w:szCs w:val="15"/>
          <w:color w:val="auto"/>
        </w:rPr>
        <w:t>On September 19, 2022, Charter Communications Operating, LLC (“Charter”) filed two complaints against two of our subsidiaries</w:t>
      </w:r>
      <w:r>
        <w:rPr>
          <w:rFonts w:ascii="Arial" w:cs="Arial" w:eastAsia="Arial" w:hAnsi="Arial"/>
          <w:sz w:val="15"/>
          <w:szCs w:val="15"/>
          <w:i w:val="1"/>
          <w:iCs w:val="1"/>
          <w:color w:val="auto"/>
        </w:rPr>
        <w:t xml:space="preserve"> </w:t>
      </w:r>
      <w:r>
        <w:rPr>
          <w:rFonts w:ascii="Arial" w:cs="Arial" w:eastAsia="Arial" w:hAnsi="Arial"/>
          <w:sz w:val="15"/>
          <w:szCs w:val="15"/>
          <w:color w:val="auto"/>
        </w:rPr>
        <w:t>(Sonus Networks, Inc. and Ribbon Communications Operating Company, Inc.) alleging breach of contract with respect to indemnification obligations purportedly owed to Charter in connection with Charter’s legal dispute with Sprint Communications Company L.P., which was settled by Charter in March 2022. One complaint was filed in the Supreme Court of the State of New York, New York County; the other was filed by Charter as well as co-Plaintiffs Charter Communications Holding Company, LLC and Bright House Networks, LLC, in the Superior Court of the State of Delaware in and for New Castle County. In both suits, Charter is seeking monetary damages. We have not yet filed an answer to Charter’s complaints, and no schedule has been set by either court.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461" w:right="399" w:bottom="1440" w:gutter="0" w:footer="0" w:header="0"/>
        </w:sectPr>
      </w:pPr>
    </w:p>
    <w:bookmarkStart w:id="37" w:name="page38"/>
    <w:bookmarkEnd w:id="37"/>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55" w:lineRule="exact"/>
        <w:rPr>
          <w:sz w:val="20"/>
          <w:szCs w:val="20"/>
          <w:color w:val="auto"/>
        </w:rPr>
      </w:pPr>
    </w:p>
    <w:p>
      <w:pPr>
        <w:ind w:right="160" w:firstLine="314"/>
        <w:spacing w:after="0" w:line="288" w:lineRule="auto"/>
        <w:rPr>
          <w:sz w:val="20"/>
          <w:szCs w:val="20"/>
          <w:color w:val="auto"/>
        </w:rPr>
      </w:pPr>
      <w:r>
        <w:rPr>
          <w:rFonts w:ascii="Arial" w:cs="Arial" w:eastAsia="Arial" w:hAnsi="Arial"/>
          <w:sz w:val="16"/>
          <w:szCs w:val="16"/>
          <w:i w:val="1"/>
          <w:iCs w:val="1"/>
          <w:color w:val="auto"/>
        </w:rPr>
        <w:t>The following discussion of the financial condition and results of operations of Ribbon Communications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2021, which was filed with the U.S. Securities and Exchange Commission on March 11, 2022.</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5" w:lineRule="exact"/>
        <w:rPr>
          <w:sz w:val="20"/>
          <w:szCs w:val="20"/>
          <w:color w:val="auto"/>
        </w:rPr>
      </w:pPr>
    </w:p>
    <w:p>
      <w:pPr>
        <w:ind w:firstLine="314"/>
        <w:spacing w:after="0" w:line="263" w:lineRule="auto"/>
        <w:rPr>
          <w:sz w:val="20"/>
          <w:szCs w:val="20"/>
          <w:color w:val="auto"/>
        </w:rPr>
      </w:pPr>
      <w:r>
        <w:rPr>
          <w:rFonts w:ascii="Arial" w:cs="Arial" w:eastAsia="Arial" w:hAnsi="Arial"/>
          <w:sz w:val="17"/>
          <w:szCs w:val="17"/>
          <w:color w:val="auto"/>
        </w:rPr>
        <w:t>We are a leading global provider of communications technology to service providers and enterprises. We provide a broad range of software and high-performance hardware products, solutions and services that enable the secure delivery of data and voice communications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Headquartered in Plano, Texas, we have a global presence with research and development and/or sales and support locations in over thirty-five countries around the world.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 on Our Business</w:t>
      </w:r>
    </w:p>
    <w:p>
      <w:pPr>
        <w:spacing w:after="0" w:line="249" w:lineRule="exact"/>
        <w:rPr>
          <w:sz w:val="20"/>
          <w:szCs w:val="20"/>
          <w:color w:val="auto"/>
        </w:rPr>
      </w:pPr>
    </w:p>
    <w:p>
      <w:pPr>
        <w:ind w:right="40" w:firstLine="314"/>
        <w:spacing w:after="0" w:line="278" w:lineRule="auto"/>
        <w:rPr>
          <w:sz w:val="20"/>
          <w:szCs w:val="20"/>
          <w:color w:val="auto"/>
        </w:rPr>
      </w:pPr>
      <w:r>
        <w:rPr>
          <w:rFonts w:ascii="Arial" w:cs="Arial" w:eastAsia="Arial" w:hAnsi="Arial"/>
          <w:sz w:val="16"/>
          <w:szCs w:val="16"/>
          <w:color w:val="auto"/>
        </w:rPr>
        <w:t>The COVID-19 pandemic has had a negative effect on the global economy, disrupting the various manufacturing, commodity and financial markets and increasing volatility, and has impeded global supply chains. Continued uncertain global economic conditions as a result of the continuing COVID-19 pandemic, particularly in areas experiencing higher case numbers as a result of new variants, may cause our customers to restrict spending or delay purchases for an indeterminate period of time and consequently cause our revenues to decline. In addition, our ability to deliver our solutions as agreed upon with our customers depends in part on the ability of our global contract manufacturers, vendors, licensors and other business partners to deliver products or perform services we have procured from them. The degree to which the continuing COVID-19 pandemic impacts our future business, financial position and results of operations will depend on developments beyond our control, including the effectiveness of vaccines over the long-term or with respect to new variants, the frequency and duration of future waves of infection, the extent of actions to contain or treat the virus, how quickly and to what extent normal economic and operating conditions can result after new future waves, and the severity and duration of the global economic downturn that has resulted from the pandemic.</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Presentation</w:t>
      </w:r>
    </w:p>
    <w:p>
      <w:pPr>
        <w:spacing w:after="0" w:line="249" w:lineRule="exact"/>
        <w:rPr>
          <w:sz w:val="20"/>
          <w:szCs w:val="20"/>
          <w:color w:val="auto"/>
        </w:rPr>
      </w:pPr>
    </w:p>
    <w:p>
      <w:pPr>
        <w:ind w:firstLine="314"/>
        <w:spacing w:after="0" w:line="272" w:lineRule="auto"/>
        <w:rPr>
          <w:sz w:val="20"/>
          <w:szCs w:val="20"/>
          <w:color w:val="auto"/>
        </w:rPr>
      </w:pPr>
      <w:r>
        <w:rPr>
          <w:rFonts w:ascii="Arial" w:cs="Arial" w:eastAsia="Arial" w:hAnsi="Arial"/>
          <w:sz w:val="17"/>
          <w:szCs w:val="17"/>
          <w:color w:val="auto"/>
        </w:rPr>
        <w:t>Unless otherwise noted, all financial amounts, excluding tabular information, in this Management's Discussion and Analysis of Financial Condition and Results of Operations ("MD&amp;A") are rounded to the nearest million dollar amount, and all percentages, excluding tabular information, are rounded to the nearest percentage point.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Offering</w:t>
      </w:r>
    </w:p>
    <w:p>
      <w:pPr>
        <w:spacing w:after="0" w:line="249" w:lineRule="exact"/>
        <w:rPr>
          <w:sz w:val="20"/>
          <w:szCs w:val="20"/>
          <w:color w:val="auto"/>
        </w:rPr>
      </w:pPr>
    </w:p>
    <w:p>
      <w:pPr>
        <w:ind w:right="180" w:firstLine="314"/>
        <w:spacing w:after="0" w:line="288" w:lineRule="auto"/>
        <w:rPr>
          <w:sz w:val="20"/>
          <w:szCs w:val="20"/>
          <w:color w:val="auto"/>
        </w:rPr>
      </w:pPr>
      <w:r>
        <w:rPr>
          <w:rFonts w:ascii="Arial" w:cs="Arial" w:eastAsia="Arial" w:hAnsi="Arial"/>
          <w:sz w:val="16"/>
          <w:szCs w:val="16"/>
          <w:color w:val="auto"/>
        </w:rPr>
        <w:t>On August 12, 2022, we entered into a Securities Purchase Agreement with certain investors for the sale (the "Equity Offering") in a private placement by us of 17,071,311 shares (the "Shares") our common stock, par value $0.0001 per share, at a price of $3.05 per share. The aggregate gross proceeds from the Equity Offering were approximately $52.1 million, before deducting offering expenses paid by us of approximately $1.7 million. We intend to use the net proceeds from the Equity Offering to fund general corporate purposes, including capital expenditures, working capital and repayment of debt.</w:t>
      </w:r>
    </w:p>
    <w:p>
      <w:pPr>
        <w:spacing w:after="0" w:line="188" w:lineRule="exact"/>
        <w:rPr>
          <w:sz w:val="20"/>
          <w:szCs w:val="20"/>
          <w:color w:val="auto"/>
        </w:rPr>
      </w:pPr>
    </w:p>
    <w:p>
      <w:pPr>
        <w:jc w:val="both"/>
        <w:ind w:right="320" w:firstLine="314"/>
        <w:spacing w:after="0" w:line="272" w:lineRule="auto"/>
        <w:rPr>
          <w:sz w:val="20"/>
          <w:szCs w:val="20"/>
          <w:color w:val="auto"/>
        </w:rPr>
      </w:pPr>
      <w:r>
        <w:rPr>
          <w:rFonts w:ascii="Arial" w:cs="Arial" w:eastAsia="Arial" w:hAnsi="Arial"/>
          <w:sz w:val="17"/>
          <w:szCs w:val="17"/>
          <w:color w:val="auto"/>
        </w:rPr>
        <w:t>The original issuance of the Shares in the Equity Offering was exempt from the registration requirements of the Securities Act of 1933, as amended (the “Securities Act”). The Company subsequently filed a registration statement on Form S-3 (the “Registration Statement”) with the SEC registering the Shares, which Registration Statement was declared effective by the SEC on September 23, 2022.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 of Amortization of Acquired Intangible Assets</w:t>
      </w:r>
    </w:p>
    <w:p>
      <w:pPr>
        <w:spacing w:after="0" w:line="236" w:lineRule="exact"/>
        <w:rPr>
          <w:sz w:val="20"/>
          <w:szCs w:val="20"/>
          <w:color w:val="auto"/>
        </w:rPr>
      </w:pPr>
    </w:p>
    <w:p>
      <w:pPr>
        <w:ind w:right="100" w:firstLine="314"/>
        <w:spacing w:after="0" w:line="313" w:lineRule="auto"/>
        <w:rPr>
          <w:sz w:val="20"/>
          <w:szCs w:val="20"/>
          <w:color w:val="auto"/>
        </w:rPr>
      </w:pPr>
      <w:r>
        <w:rPr>
          <w:rFonts w:ascii="Arial" w:cs="Arial" w:eastAsia="Arial" w:hAnsi="Arial"/>
          <w:sz w:val="15"/>
          <w:szCs w:val="15"/>
          <w:color w:val="auto"/>
        </w:rPr>
        <w:t>In 2021, we reclassified amounts recorded for amortization of certain acquired intangible assets in prior presentations from Total operating expenses under the caption "Amortization of acquired intangible assets" to Total cost of revenue under the caption "Amortization of acquired technology" in the consolidated statements of operations. Our management believes this presentation aids in the comparability of our financial statements to industry peers. These reclassifications did not impact our operating income (loss), net income (loss) or earnings (loss) per share for any historical periods. These reclassifications also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did not impact our condensed consolidated balance sheets or statements of cash flows.</w:t>
      </w:r>
    </w:p>
    <w:p>
      <w:pPr>
        <w:spacing w:after="0" w:line="249" w:lineRule="exact"/>
        <w:rPr>
          <w:sz w:val="20"/>
          <w:szCs w:val="20"/>
          <w:color w:val="auto"/>
        </w:rPr>
      </w:pPr>
    </w:p>
    <w:p>
      <w:pPr>
        <w:jc w:val="both"/>
        <w:ind w:right="80" w:firstLine="314"/>
        <w:spacing w:after="0" w:line="288" w:lineRule="auto"/>
        <w:rPr>
          <w:sz w:val="20"/>
          <w:szCs w:val="20"/>
          <w:color w:val="auto"/>
        </w:rPr>
      </w:pPr>
      <w:r>
        <w:rPr>
          <w:rFonts w:ascii="Arial" w:cs="Arial" w:eastAsia="Arial" w:hAnsi="Arial"/>
          <w:sz w:val="16"/>
          <w:szCs w:val="16"/>
          <w:color w:val="auto"/>
        </w:rPr>
        <w:t>This reclassification resulted in $9.7 million and $29.4 million of expense recorded to Amortization of acquired technology within Total cost of revenue in the three and nine months ended September 30, 2021, respectively, and decreases to Amortization of acquired intangible assets within Total operating expenses of $9.7 million and $29.4 million, respectively. The increases to Total cost of revenue decreased our gross profit as a percentage of revenue ("gross margin") by approximately five percentage points in both the three and nine months ended September 30,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Segments</w:t>
      </w:r>
    </w:p>
    <w:p>
      <w:pPr>
        <w:spacing w:after="0" w:line="249" w:lineRule="exact"/>
        <w:rPr>
          <w:sz w:val="20"/>
          <w:szCs w:val="20"/>
          <w:color w:val="auto"/>
        </w:rPr>
      </w:pPr>
    </w:p>
    <w:p>
      <w:pPr>
        <w:ind w:right="20" w:firstLine="314"/>
        <w:spacing w:after="0" w:line="272" w:lineRule="auto"/>
        <w:rPr>
          <w:sz w:val="20"/>
          <w:szCs w:val="20"/>
          <w:color w:val="auto"/>
        </w:rPr>
      </w:pPr>
      <w:r>
        <w:rPr>
          <w:rFonts w:ascii="Arial" w:cs="Arial" w:eastAsia="Arial" w:hAnsi="Arial"/>
          <w:sz w:val="17"/>
          <w:szCs w:val="17"/>
          <w:color w:val="auto"/>
        </w:rPr>
        <w:t>Our Chief Operating Decision Maker assesses our performance based on the performance of two separate organizations within Ribbon: the Cloud and Edge operating segment ("Cloud and Edge") and the IP Optical Networks operating segment ("IP Optical Networks"). For additional details regarding our operating segments, see Note 12 - Operating Segment Information to our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Results</w:t>
      </w:r>
    </w:p>
    <w:p>
      <w:pPr>
        <w:spacing w:after="0" w:line="236" w:lineRule="exact"/>
        <w:rPr>
          <w:sz w:val="20"/>
          <w:szCs w:val="20"/>
          <w:color w:val="auto"/>
        </w:rPr>
      </w:pPr>
    </w:p>
    <w:p>
      <w:pPr>
        <w:ind w:right="20" w:firstLine="314"/>
        <w:spacing w:after="0" w:line="251" w:lineRule="auto"/>
        <w:rPr>
          <w:sz w:val="20"/>
          <w:szCs w:val="20"/>
          <w:color w:val="auto"/>
        </w:rPr>
      </w:pPr>
      <w:r>
        <w:rPr>
          <w:rFonts w:ascii="Arial" w:cs="Arial" w:eastAsia="Arial" w:hAnsi="Arial"/>
          <w:sz w:val="17"/>
          <w:szCs w:val="17"/>
          <w:color w:val="auto"/>
        </w:rPr>
        <w:t>We reported a loss from operations of $3.3 million for the three months ended September 30, 2022 and income from operations of $2.0 million for the three months ended September 30, 2021. We reported a loss from operations of $49.6 million for the nine months ended September 30, 2022 and income from operations of $2.3 million for the nine months ended September 30, 2021. The loss from operations in 2022 is primarily related to lower sales, the impact from higher supply chain costs and the incremental investment in R&amp;D within our IP Optical Networks segment.</w:t>
      </w:r>
    </w:p>
    <w:p>
      <w:pPr>
        <w:spacing w:after="0" w:line="202" w:lineRule="exact"/>
        <w:rPr>
          <w:sz w:val="20"/>
          <w:szCs w:val="20"/>
          <w:color w:val="auto"/>
        </w:rPr>
      </w:pPr>
    </w:p>
    <w:p>
      <w:pPr>
        <w:ind w:right="120" w:firstLine="314"/>
        <w:spacing w:after="0" w:line="262" w:lineRule="auto"/>
        <w:rPr>
          <w:sz w:val="20"/>
          <w:szCs w:val="20"/>
          <w:color w:val="auto"/>
        </w:rPr>
      </w:pPr>
      <w:r>
        <w:rPr>
          <w:rFonts w:ascii="Arial" w:cs="Arial" w:eastAsia="Arial" w:hAnsi="Arial"/>
          <w:sz w:val="16"/>
          <w:szCs w:val="16"/>
          <w:color w:val="auto"/>
        </w:rPr>
        <w:t>Our revenue was $207.1 million and $210.4 million in the three months ended September 30, 2022 and 2021, respectively. Our gross profit and gross margin were $104.3 million and 50.4%, respectively, in the three months ended September 30, 2022, and $110.7 million and 52.6%, respectively, in the three months ended September 30, 2021. Our revenue was $586.1 million and $614.4 million in the nine months ended September 30, 2022 and 2021, respectively. Our gross profit and gross margin were $286.9 million and 49.0%, respectively, in the nine months ended September 30, 2022, and $329.9 million and 53.7%, respectively, in the nine months ended September 30, 2021. The lower revenue in the nine months of 2022 compared to 2021 is primarily related to lower SBC sales and lower service revenue from Service Provider VoIP Network Transformation projects completing in the first quarter.</w:t>
      </w:r>
    </w:p>
    <w:p>
      <w:pPr>
        <w:spacing w:after="0" w:line="206" w:lineRule="exact"/>
        <w:rPr>
          <w:sz w:val="20"/>
          <w:szCs w:val="20"/>
          <w:color w:val="auto"/>
        </w:rPr>
      </w:pPr>
    </w:p>
    <w:p>
      <w:pPr>
        <w:ind w:right="40" w:firstLine="314"/>
        <w:spacing w:after="0" w:line="307" w:lineRule="auto"/>
        <w:rPr>
          <w:sz w:val="20"/>
          <w:szCs w:val="20"/>
          <w:color w:val="auto"/>
        </w:rPr>
      </w:pPr>
      <w:r>
        <w:rPr>
          <w:rFonts w:ascii="Arial" w:cs="Arial" w:eastAsia="Arial" w:hAnsi="Arial"/>
          <w:sz w:val="15"/>
          <w:szCs w:val="15"/>
          <w:color w:val="auto"/>
        </w:rPr>
        <w:t>Revenue from our Cloud and Edge segment was $124.7 million and $142.4 million in the three months ended September 30, 2022 and 2021, respectively. Gross profit and gross margin for this segment were $76.4 million and 61.3%, respectively, in the three months ended September 30, 2022, and $89.0 million and 62.5%, respectively, in the three months ended September 30, 2021. Revenue from our Cloud and Edge segment was $371.6 million and $409.3 million in the nine months ended September 30, 2022 and 2021, respectively. Gross profit and gross margin for this segment were $227.4 million and 61.2%, respectively, in the nine months ended September 30, 2022, and $255.4 million and 62.4%, respectively, in the nine months ended September 30, 2021.</w:t>
      </w:r>
    </w:p>
    <w:p>
      <w:pPr>
        <w:spacing w:after="0" w:line="178" w:lineRule="exact"/>
        <w:rPr>
          <w:sz w:val="20"/>
          <w:szCs w:val="20"/>
          <w:color w:val="auto"/>
        </w:rPr>
      </w:pPr>
    </w:p>
    <w:p>
      <w:pPr>
        <w:ind w:firstLine="314"/>
        <w:spacing w:after="0" w:line="261" w:lineRule="auto"/>
        <w:rPr>
          <w:sz w:val="20"/>
          <w:szCs w:val="20"/>
          <w:color w:val="auto"/>
        </w:rPr>
      </w:pPr>
      <w:r>
        <w:rPr>
          <w:rFonts w:ascii="Arial" w:cs="Arial" w:eastAsia="Arial" w:hAnsi="Arial"/>
          <w:sz w:val="17"/>
          <w:szCs w:val="17"/>
          <w:color w:val="auto"/>
        </w:rPr>
        <w:t>Revenue from our IP Optical Networks segment was $82.4 million and $68.0 million in the three months ended September 30, 2022 and 2021, respectively. Gross profit and gross margin for this segment were $27.9 million and 33.8%, respectively, in the three months ended September 30, 2022, and $21.7 million and 31.9%, respectively, in the three months ended September 30, 2021. Revenue from our IP Optical Networks segment was $214.6 million and $205.1 million in the nine months ended September 30, 2022 and 2021, respectively. Gross profit and gross margin for this segment were $59.5 million and 27.7%, respectively, in the nine months ended September 30, 2022, and $74.5 million and 36.3%, respectively, in the nine months ended September 30, 2021. Gross margin in 2022 is lower than 2021 due to higher component and logistics costs, as well as increased investment in customer service to support our expanded global footprint.</w:t>
      </w:r>
    </w:p>
    <w:p>
      <w:pPr>
        <w:spacing w:after="0" w:line="198" w:lineRule="exact"/>
        <w:rPr>
          <w:sz w:val="20"/>
          <w:szCs w:val="20"/>
          <w:color w:val="auto"/>
        </w:rPr>
      </w:pPr>
    </w:p>
    <w:p>
      <w:pPr>
        <w:ind w:right="40" w:firstLine="314"/>
        <w:spacing w:after="0" w:line="245" w:lineRule="auto"/>
        <w:rPr>
          <w:sz w:val="20"/>
          <w:szCs w:val="20"/>
          <w:color w:val="auto"/>
        </w:rPr>
      </w:pPr>
      <w:r>
        <w:rPr>
          <w:rFonts w:ascii="Arial" w:cs="Arial" w:eastAsia="Arial" w:hAnsi="Arial"/>
          <w:sz w:val="17"/>
          <w:szCs w:val="17"/>
          <w:color w:val="auto"/>
        </w:rPr>
        <w:t>Our operating expenses were $107.6 million and $108.7 million in the three months ended September 30, 2022 and 2021, respectively, and $336.5 million and $327.5 million in the nine months ended September 30, 2022 and 2021, respectively. The increased operating expenses are primarily related to higher R&amp;D investment in our IP Optical Networks segment to support the expansion of the portfolio. Operating expenses for the three months ended September 30, 2022 included $7.5 million of amortization of acquired intangible assets, $1.0 million of acquisition-, disposal- and integration-related expense, and $1.3 million of restructuring and related expense. Operating expenses for the three months ended September 30, 2021 included $7.5 million of amortization of acquired intangible assets, $2.0 million of acquisition-, disposal- and integration-related expense, and $1.8 million of restructuring and related expense. Operating expenses for the nine months ended September 30, 2022 included $22.3 million of amortization of acquired intangible assets, $4.4 million of acquisition-, disposal- and integration-related</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39" w:name="page40"/>
    <w:bookmarkEnd w:id="39"/>
    <w:p>
      <w:pPr>
        <w:ind w:right="140"/>
        <w:spacing w:after="0" w:line="256" w:lineRule="auto"/>
        <w:rPr>
          <w:sz w:val="20"/>
          <w:szCs w:val="20"/>
          <w:color w:val="auto"/>
        </w:rPr>
      </w:pPr>
      <w:r>
        <w:rPr>
          <w:rFonts w:ascii="Arial" w:cs="Arial" w:eastAsia="Arial" w:hAnsi="Arial"/>
          <w:sz w:val="17"/>
          <w:szCs w:val="17"/>
          <w:color w:val="auto"/>
        </w:rPr>
        <w:t>expense, and $9.0 million of restructuring and related expense. Operating expenses for the nine months ended September 30, 2021 included $20.8 million of amortization of acquired intangible assets, $4.2 million of acquisition-, disposal- and integration-related expense, and $10.5 million of restructuring and related expense.</w:t>
      </w:r>
    </w:p>
    <w:p>
      <w:pPr>
        <w:spacing w:after="0" w:line="21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recorded stock-based compensation expense of $4.8 million and $4.6 million in the three months ended September 30, 2022 and 2021, respectively, and $13.5 million and $14.4 million in the nine months ended September 30, 2022 and 2021, respectively These amounts are included as components of both Cost of revenue and Operating expenses in our condensed consolidated statements of operations.</w:t>
      </w:r>
    </w:p>
    <w:p>
      <w:pPr>
        <w:spacing w:after="0" w:line="198" w:lineRule="exact"/>
        <w:rPr>
          <w:sz w:val="20"/>
          <w:szCs w:val="20"/>
          <w:color w:val="auto"/>
        </w:rPr>
      </w:pPr>
    </w:p>
    <w:p>
      <w:pPr>
        <w:ind w:right="120" w:firstLine="314"/>
        <w:spacing w:after="0" w:line="288" w:lineRule="auto"/>
        <w:rPr>
          <w:sz w:val="20"/>
          <w:szCs w:val="20"/>
          <w:color w:val="auto"/>
        </w:rPr>
      </w:pPr>
      <w:r>
        <w:rPr>
          <w:rFonts w:ascii="Arial" w:cs="Arial" w:eastAsia="Arial" w:hAnsi="Arial"/>
          <w:sz w:val="17"/>
          <w:szCs w:val="17"/>
          <w:color w:val="auto"/>
        </w:rPr>
        <w:t>See "Results of Operations" in this MD&amp;A for a discussion of the changes in our revenue and expenses for the three and nine months ended September 30, 2022 compared to the three and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Cost Reduction Initiatives</w:t>
      </w:r>
    </w:p>
    <w:p>
      <w:pPr>
        <w:spacing w:after="0" w:line="249" w:lineRule="exact"/>
        <w:rPr>
          <w:sz w:val="20"/>
          <w:szCs w:val="20"/>
          <w:color w:val="auto"/>
        </w:rPr>
      </w:pPr>
    </w:p>
    <w:p>
      <w:pPr>
        <w:ind w:right="20" w:firstLine="314"/>
        <w:spacing w:after="0" w:line="267" w:lineRule="auto"/>
        <w:rPr>
          <w:sz w:val="20"/>
          <w:szCs w:val="20"/>
          <w:color w:val="auto"/>
        </w:rPr>
      </w:pPr>
      <w:r>
        <w:rPr>
          <w:rFonts w:ascii="Arial" w:cs="Arial" w:eastAsia="Arial" w:hAnsi="Arial"/>
          <w:sz w:val="17"/>
          <w:szCs w:val="17"/>
          <w:u w:val="single" w:color="auto"/>
          <w:color w:val="auto"/>
        </w:rPr>
        <w:t>2022 Restructuring Plan</w:t>
      </w:r>
      <w:r>
        <w:rPr>
          <w:rFonts w:ascii="Arial" w:cs="Arial" w:eastAsia="Arial" w:hAnsi="Arial"/>
          <w:sz w:val="17"/>
          <w:szCs w:val="17"/>
          <w:color w:val="auto"/>
        </w:rPr>
        <w:t>. In February 2022, our Board of Directors approved a strategic restructuring program (the "2022 Restructuring Plan") to streamline the Company's operations in order to support the Company's investment in critical growth areas. The 2022 Restructuring Plan is expected to include, among other things, charges related to a consolidation of facilities and a workforce reduction. Any positions eliminated in countries outside the United States are subject to local law and consultation requirements.</w:t>
      </w:r>
    </w:p>
    <w:p>
      <w:pPr>
        <w:spacing w:after="0" w:line="202" w:lineRule="exact"/>
        <w:rPr>
          <w:sz w:val="20"/>
          <w:szCs w:val="20"/>
          <w:color w:val="auto"/>
        </w:rPr>
      </w:pPr>
    </w:p>
    <w:p>
      <w:pPr>
        <w:ind w:right="140" w:firstLine="314"/>
        <w:spacing w:after="0" w:line="261" w:lineRule="auto"/>
        <w:rPr>
          <w:sz w:val="20"/>
          <w:szCs w:val="20"/>
          <w:color w:val="auto"/>
        </w:rPr>
      </w:pPr>
      <w:r>
        <w:rPr>
          <w:rFonts w:ascii="Arial" w:cs="Arial" w:eastAsia="Arial" w:hAnsi="Arial"/>
          <w:sz w:val="17"/>
          <w:szCs w:val="17"/>
          <w:color w:val="auto"/>
        </w:rPr>
        <w:t>We recorded restructuring and related expense of $1.3 million and $8.3 million in the three and nine months ended September 30, 2022, respectively, in connection with the 2022 Restructuring Plan. The amount for the three months ended September 30, 2022 was comprised of $1.0 million for variable and other facilities-related costs, $0.6 million for accelerated amortization of lease assets no longer being used with no ability or intent to sublease, and $(0.3) million for severance and related costs. The amount for the nine months ended September 30, 2022 was comprised of $4.7 million for severance and related costs for approximately 60 employees, $2.0 million for variable and other facilities-related costs and $1.6 million for accelerated amortization of lease assets no longer being used with no ability or intent to sublease. We anticipate that we will record future expense for severance and facility consolidations aggregating approximately $9 million in connection with the 2022 Restructuring Plan.</w:t>
      </w:r>
    </w:p>
    <w:p>
      <w:pPr>
        <w:spacing w:after="0" w:line="211" w:lineRule="exact"/>
        <w:rPr>
          <w:sz w:val="20"/>
          <w:szCs w:val="20"/>
          <w:color w:val="auto"/>
        </w:rPr>
      </w:pPr>
    </w:p>
    <w:p>
      <w:pPr>
        <w:ind w:right="40" w:firstLine="314"/>
        <w:spacing w:after="0" w:line="264" w:lineRule="auto"/>
        <w:rPr>
          <w:sz w:val="20"/>
          <w:szCs w:val="20"/>
          <w:color w:val="auto"/>
        </w:rPr>
      </w:pPr>
      <w:r>
        <w:rPr>
          <w:rFonts w:ascii="Arial" w:cs="Arial" w:eastAsia="Arial" w:hAnsi="Arial"/>
          <w:sz w:val="17"/>
          <w:szCs w:val="17"/>
          <w:u w:val="single" w:color="auto"/>
          <w:color w:val="auto"/>
        </w:rPr>
        <w:t>Accelerated Rent Amortization.</w:t>
      </w:r>
      <w:r>
        <w:rPr>
          <w:rFonts w:ascii="Arial" w:cs="Arial" w:eastAsia="Arial" w:hAnsi="Arial"/>
          <w:sz w:val="17"/>
          <w:szCs w:val="17"/>
          <w:color w:val="auto"/>
        </w:rPr>
        <w:t xml:space="preserve"> </w:t>
      </w:r>
      <w:r>
        <w:rPr>
          <w:rFonts w:ascii="Arial" w:cs="Arial" w:eastAsia="Arial" w:hAnsi="Arial"/>
          <w:sz w:val="17"/>
          <w:szCs w:val="17"/>
          <w:color w:val="auto"/>
          <w:highlight w:val="white"/>
        </w:rPr>
        <w:t>Accelerated rent amortization is recognized from the date that we commence the plan to fully or partially vacate a facility,</w:t>
      </w:r>
      <w:r>
        <w:rPr>
          <w:rFonts w:ascii="Arial" w:cs="Arial" w:eastAsia="Arial" w:hAnsi="Arial"/>
          <w:sz w:val="17"/>
          <w:szCs w:val="17"/>
          <w:color w:val="auto"/>
        </w:rPr>
        <w:t xml:space="preserve"> for which there is no intent or ability to enter into a sublease, through the final vacate date. We recorded $1.6 million and $3.4 million for accelerated rent amortization in the nine months ended September 30, 2022 and 2021, respectively. We continue to evaluate our properties included in our restructuring plans for accelerated amortization and/or right-of-use asset impairment. We may incur additional future expense if we are unable to sublease other locations included in these initiatives.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49" w:lineRule="exact"/>
        <w:rPr>
          <w:sz w:val="20"/>
          <w:szCs w:val="20"/>
          <w:color w:val="auto"/>
        </w:rPr>
      </w:pPr>
    </w:p>
    <w:p>
      <w:pPr>
        <w:ind w:right="40" w:firstLine="314"/>
        <w:spacing w:after="0" w:line="277"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("GAAP").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revenue recognition, the valuation of inventory, the valuation of our investment in American Virtual Cloud Technologies Inc. (the "AVCT Investment"), warranty accruals, loss contingencies and reserves, stock-based compensation, business combinations, goodwill and intangible assets, accounting for leases, and accounting for income taxes. If actual results differ significantly from management's estimates and projections, there could be a material effect on our condensed consolidated financial statements. There were no significant changes to our critical accounting policies from January 1, 2022 through September 30, 2022. For a further discussion of our other critical accounting policies and estimates, please refer to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and nine months ended September 30, 2022 and 2021</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and nine months ended September 30, 2022 and 2021 was as follows (in thousands, except percentages):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360" w:type="dxa"/>
            <w:vAlign w:val="bottom"/>
          </w:tcPr>
          <w:p>
            <w:pPr>
              <w:spacing w:after="0"/>
              <w:rPr>
                <w:sz w:val="14"/>
                <w:szCs w:val="14"/>
                <w:color w:val="auto"/>
              </w:rPr>
            </w:pPr>
          </w:p>
        </w:tc>
        <w:tc>
          <w:tcPr>
            <w:tcW w:w="162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w w:val="83"/>
              </w:rPr>
              <w:t>Decrease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w w:val="92"/>
              </w:rPr>
              <w:t>from prior year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60"/>
              <w:spacing w:after="0" w:line="131" w:lineRule="exact"/>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5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111,152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2"/>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95,975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40"/>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207,127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210,398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87"/>
              </w:rPr>
              <w:t>Nine months ended</w:t>
            </w:r>
          </w:p>
        </w:tc>
        <w:tc>
          <w:tcPr>
            <w:tcW w:w="360" w:type="dxa"/>
            <w:vAlign w:val="bottom"/>
          </w:tcPr>
          <w:p>
            <w:pPr>
              <w:spacing w:after="0"/>
              <w:rPr>
                <w:sz w:val="24"/>
                <w:szCs w:val="24"/>
                <w:color w:val="auto"/>
              </w:rPr>
            </w:pPr>
          </w:p>
        </w:tc>
        <w:tc>
          <w:tcPr>
            <w:tcW w:w="162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w w:val="83"/>
              </w:rPr>
              <w:t>Decrease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w w:val="92"/>
              </w:rPr>
              <w:t>from prior year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60"/>
              <w:spacing w:after="0" w:line="131" w:lineRule="exact"/>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5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305,809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2"/>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280,312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291,636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40"/>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586,121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614,380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(28,259)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Segment revenue for the three and nine months ended September 30, 2022 and 2021 was as follows (in thousands):</w:t>
      </w:r>
    </w:p>
    <w:p>
      <w:pPr>
        <w:spacing w:after="0" w:line="278"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Three months ended September 30, 2022</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Three months ended September 30, 2021</w:t>
            </w:r>
          </w:p>
        </w:tc>
        <w:tc>
          <w:tcPr>
            <w:tcW w:w="620" w:type="dxa"/>
            <w:vAlign w:val="bottom"/>
          </w:tcPr>
          <w:p>
            <w:pPr>
              <w:spacing w:after="0"/>
              <w:rPr>
                <w:sz w:val="15"/>
                <w:szCs w:val="15"/>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2"/>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Total</w:t>
            </w:r>
          </w:p>
        </w:tc>
      </w:tr>
      <w:tr>
        <w:trPr>
          <w:trHeight w:val="222"/>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51,321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59,831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111,152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65,587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46,139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95,975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w:t>
            </w:r>
          </w:p>
        </w:tc>
      </w:tr>
      <w:tr>
        <w:trPr>
          <w:trHeight w:val="240"/>
        </w:trPr>
        <w:tc>
          <w:tcPr>
            <w:tcW w:w="2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82,442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207,127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142,437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67,961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785"/>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Nine months ended September 30, 2022</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Nine months ended September 30, 2021</w:t>
            </w:r>
          </w:p>
        </w:tc>
        <w:tc>
          <w:tcPr>
            <w:tcW w:w="620" w:type="dxa"/>
            <w:vAlign w:val="bottom"/>
          </w:tcPr>
          <w:p>
            <w:pPr>
              <w:spacing w:after="0"/>
              <w:rPr>
                <w:sz w:val="24"/>
                <w:szCs w:val="24"/>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2"/>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Total</w:t>
            </w:r>
          </w:p>
        </w:tc>
      </w:tr>
      <w:tr>
        <w:trPr>
          <w:trHeight w:val="222"/>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153,081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152,728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305,809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180,100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142,644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218,490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280,312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62,456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291,6</w:t>
            </w:r>
          </w:p>
        </w:tc>
      </w:tr>
      <w:tr>
        <w:trPr>
          <w:trHeight w:val="240"/>
        </w:trPr>
        <w:tc>
          <w:tcPr>
            <w:tcW w:w="2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371,571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214,550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586,121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409,280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205,100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614,3</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80" w:firstLine="314"/>
        <w:spacing w:after="0" w:line="279" w:lineRule="auto"/>
        <w:rPr>
          <w:sz w:val="20"/>
          <w:szCs w:val="20"/>
          <w:color w:val="auto"/>
        </w:rPr>
      </w:pPr>
      <w:r>
        <w:rPr>
          <w:rFonts w:ascii="Arial" w:cs="Arial" w:eastAsia="Arial" w:hAnsi="Arial"/>
          <w:sz w:val="16"/>
          <w:szCs w:val="16"/>
          <w:color w:val="auto"/>
        </w:rPr>
        <w:t>The slight decrease in our product revenue in the three months ended September 30, 2022 compared to the three months ended September 30, 2021 was primarily the result of lower sales of our Cloud and Edge network transformation products as key customers continued the deployment of products purchased earlier in the year, partially offset by higher sales of our IP Optical Networks products and Cloud and Edge Analytics solution. The decrease in our product revenue in the nine months ended September 30, 2022 compared to the nine months ended September 30, 2021 was primarily the result of lower sales of our Cloud and Edge SBC and network transformation products, partially offset by higher sales of IP Optical Networks products. We also estimate a reduction in our revenue of approximately $2 million and $3 million, respectively, in the three and nine months ended September 30, 2022, from the strong US dollar relative to sales in foreign currencies. Service revenue in our Cloud and Edge segment was lower in the nine months ended September 30, 2022 compared with the same period in 2021 due to a smaller number of Network Transformation projects completing during the period.</w:t>
      </w:r>
    </w:p>
    <w:p>
      <w:pPr>
        <w:spacing w:after="0" w:line="197" w:lineRule="exact"/>
        <w:rPr>
          <w:sz w:val="20"/>
          <w:szCs w:val="20"/>
          <w:color w:val="auto"/>
        </w:rPr>
      </w:pPr>
    </w:p>
    <w:p>
      <w:pPr>
        <w:ind w:right="200" w:firstLine="314"/>
        <w:spacing w:after="0" w:line="267" w:lineRule="auto"/>
        <w:rPr>
          <w:sz w:val="20"/>
          <w:szCs w:val="20"/>
          <w:color w:val="auto"/>
        </w:rPr>
      </w:pPr>
      <w:r>
        <w:rPr>
          <w:rFonts w:ascii="Arial" w:cs="Arial" w:eastAsia="Arial" w:hAnsi="Arial"/>
          <w:sz w:val="17"/>
          <w:szCs w:val="17"/>
          <w:color w:val="auto"/>
        </w:rPr>
        <w:t>Revenue from indirect sales through our channel partner program was 31% and 23% of our product revenue in the three months ended September 30, 2022 and 2021, respectively, and 28% and 22% of our product revenue in the nine months ended September 30, 2022 and 2021, respectively. The increase in channel sales reflects stronger deployments through systems integrators as well as sell-thru our Service Provider channel partners, for both IP Optical and Cloud and Edge solutions.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from sales to enterprise customers was 30% and 18% of our product revenue in the three months ended</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66" w:right="239" w:bottom="1440" w:gutter="0" w:footer="0" w:header="0"/>
        </w:sectPr>
      </w:pPr>
    </w:p>
    <w:bookmarkStart w:id="41" w:name="page42"/>
    <w:bookmarkEnd w:id="41"/>
    <w:p>
      <w:pPr>
        <w:ind w:right="140"/>
        <w:spacing w:after="0" w:line="251" w:lineRule="auto"/>
        <w:rPr>
          <w:sz w:val="20"/>
          <w:szCs w:val="20"/>
          <w:color w:val="auto"/>
        </w:rPr>
      </w:pPr>
      <w:r>
        <w:rPr>
          <w:rFonts w:ascii="Arial" w:cs="Arial" w:eastAsia="Arial" w:hAnsi="Arial"/>
          <w:sz w:val="17"/>
          <w:szCs w:val="17"/>
          <w:color w:val="auto"/>
        </w:rPr>
        <w:t>September 30, 2022 and 2021, respectively. These sales were made through both our direct sales team and indirect sales channel partners. Revenue from sales to enterprise customers was 26% and 21% of our product revenue in the nine months ended September 30, 2022 and 2021, respectively. Cloud and Edge sales to Enterprise customers in the first nine months of 2022 increased slightly compared with the same period of 2021. IP Optical sales to Enterprise customers increased approximately 21% over the same period.</w:t>
      </w:r>
    </w:p>
    <w:p>
      <w:pPr>
        <w:spacing w:after="0" w:line="215" w:lineRule="exact"/>
        <w:rPr>
          <w:sz w:val="20"/>
          <w:szCs w:val="20"/>
          <w:color w:val="auto"/>
        </w:rPr>
      </w:pPr>
    </w:p>
    <w:p>
      <w:pPr>
        <w:ind w:right="200" w:firstLine="314"/>
        <w:spacing w:after="0" w:line="288" w:lineRule="auto"/>
        <w:rPr>
          <w:sz w:val="20"/>
          <w:szCs w:val="20"/>
          <w:color w:val="auto"/>
        </w:rPr>
      </w:pPr>
      <w:r>
        <w:rPr>
          <w:rFonts w:ascii="Arial" w:cs="Arial" w:eastAsia="Arial" w:hAnsi="Arial"/>
          <w:sz w:val="17"/>
          <w:szCs w:val="17"/>
          <w:color w:val="auto"/>
        </w:rPr>
        <w:t>The timing of the completion of customer projects and revenue recognition criteria satisfaction may cause our product revenue to fluctuate from one period to the next.</w:t>
      </w:r>
    </w:p>
    <w:p>
      <w:pPr>
        <w:spacing w:after="0" w:line="184" w:lineRule="exact"/>
        <w:rPr>
          <w:sz w:val="20"/>
          <w:szCs w:val="20"/>
          <w:color w:val="auto"/>
        </w:rPr>
      </w:pPr>
    </w:p>
    <w:p>
      <w:pPr>
        <w:ind w:right="320" w:firstLine="314"/>
        <w:spacing w:after="0" w:line="288" w:lineRule="auto"/>
        <w:rPr>
          <w:sz w:val="20"/>
          <w:szCs w:val="20"/>
          <w:color w:val="auto"/>
        </w:rPr>
      </w:pPr>
      <w:r>
        <w:rPr>
          <w:rFonts w:ascii="Arial" w:cs="Arial" w:eastAsia="Arial" w:hAnsi="Arial"/>
          <w:sz w:val="17"/>
          <w:szCs w:val="17"/>
          <w:color w:val="auto"/>
        </w:rPr>
        <w:t>Service revenue is primarily comprised of hardware and software maintenance and support (“maintenance revenue”) and network design, installation and other professional services (“professional services revenue”).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Service revenue for the three and nine months ended September 30, 2022 and 2021 was comprised of the following (in thousands, except percentages):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360" w:type="dxa"/>
            <w:vAlign w:val="bottom"/>
          </w:tcPr>
          <w:p>
            <w:pPr>
              <w:spacing w:after="0"/>
              <w:rPr>
                <w:sz w:val="14"/>
                <w:szCs w:val="14"/>
                <w:color w:val="auto"/>
              </w:rPr>
            </w:pPr>
          </w:p>
        </w:tc>
        <w:tc>
          <w:tcPr>
            <w:tcW w:w="168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87"/>
              </w:rPr>
              <w:t>Increase/(Decrease)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4"/>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Professional services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9"/>
              </w:rPr>
              <w:t>Nine months ended</w:t>
            </w:r>
          </w:p>
        </w:tc>
        <w:tc>
          <w:tcPr>
            <w:tcW w:w="360" w:type="dxa"/>
            <w:vAlign w:val="bottom"/>
          </w:tcPr>
          <w:p>
            <w:pPr>
              <w:spacing w:after="0"/>
              <w:rPr>
                <w:sz w:val="24"/>
                <w:szCs w:val="24"/>
                <w:color w:val="auto"/>
              </w:rPr>
            </w:pPr>
          </w:p>
        </w:tc>
        <w:tc>
          <w:tcPr>
            <w:tcW w:w="16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86"/>
              </w:rPr>
              <w:t>Decrease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4"/>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Professional services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(8,564)</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280,312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(11,324)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Segment service revenue for the three and nine months ended September 30, 2022 and 2021 was comprised of the following (in thousands):</w:t>
      </w:r>
    </w:p>
    <w:p>
      <w:pPr>
        <w:spacing w:after="0" w:line="278"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Three months ended September 30, 2022</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Three months ended September 30, 2021</w:t>
            </w:r>
          </w:p>
        </w:tc>
        <w:tc>
          <w:tcPr>
            <w:tcW w:w="620" w:type="dxa"/>
            <w:vAlign w:val="bottom"/>
          </w:tcPr>
          <w:p>
            <w:pPr>
              <w:spacing w:after="0"/>
              <w:rPr>
                <w:sz w:val="15"/>
                <w:szCs w:val="15"/>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2"/>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Total</w:t>
            </w:r>
          </w:p>
        </w:tc>
      </w:tr>
      <w:tr>
        <w:trPr>
          <w:trHeight w:val="222"/>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Maintenance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71,989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56,786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Professional services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r>
      <w:tr>
        <w:trPr>
          <w:trHeight w:val="240"/>
        </w:trPr>
        <w:tc>
          <w:tcPr>
            <w:tcW w:w="2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service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22,611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95,975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537"/>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Nine months ended September 30, 2022</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center"/>
              <w:ind w:left="620"/>
              <w:spacing w:after="0"/>
              <w:rPr>
                <w:sz w:val="20"/>
                <w:szCs w:val="20"/>
                <w:color w:val="auto"/>
              </w:rPr>
            </w:pPr>
            <w:r>
              <w:rPr>
                <w:rFonts w:ascii="Arial" w:cs="Arial" w:eastAsia="Arial" w:hAnsi="Arial"/>
                <w:sz w:val="14"/>
                <w:szCs w:val="14"/>
                <w:b w:val="1"/>
                <w:bCs w:val="1"/>
                <w:color w:val="auto"/>
                <w:w w:val="88"/>
              </w:rPr>
              <w:t>Nine months ended September 30, 2021</w:t>
            </w:r>
          </w:p>
        </w:tc>
        <w:tc>
          <w:tcPr>
            <w:tcW w:w="620" w:type="dxa"/>
            <w:vAlign w:val="bottom"/>
          </w:tcPr>
          <w:p>
            <w:pPr>
              <w:spacing w:after="0"/>
              <w:rPr>
                <w:sz w:val="24"/>
                <w:szCs w:val="24"/>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2"/>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IP Optical Networks</w:t>
            </w:r>
          </w:p>
        </w:tc>
        <w:tc>
          <w:tcPr>
            <w:tcW w:w="4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Total</w:t>
            </w:r>
          </w:p>
        </w:tc>
      </w:tr>
      <w:tr>
        <w:trPr>
          <w:trHeight w:val="222"/>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Maintenance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165,895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44,157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210,052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169,445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43,367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212,8</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Professional services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17,665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70,260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w:t>
            </w:r>
          </w:p>
        </w:tc>
      </w:tr>
      <w:tr>
        <w:trPr>
          <w:trHeight w:val="240"/>
        </w:trPr>
        <w:tc>
          <w:tcPr>
            <w:tcW w:w="2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service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218,490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280,312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229,180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62,456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480" w:firstLine="314"/>
        <w:spacing w:after="0" w:line="256" w:lineRule="auto"/>
        <w:rPr>
          <w:sz w:val="20"/>
          <w:szCs w:val="20"/>
          <w:color w:val="auto"/>
        </w:rPr>
      </w:pPr>
      <w:r>
        <w:rPr>
          <w:rFonts w:ascii="Arial" w:cs="Arial" w:eastAsia="Arial" w:hAnsi="Arial"/>
          <w:sz w:val="17"/>
          <w:szCs w:val="17"/>
          <w:color w:val="auto"/>
        </w:rPr>
        <w:t>The 1.3% decrease in maintenance revenue in the nine months ended September 30, 2022 compared to the nine months ended September 30, 2021 was primarily attributable to the effect of the strong US dollar on Cloud and Edge segment maintenance fees, offset by higher IP Optical Network segment maintenance fees from the growing installed base of product.</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decrease in professional services revenue in the three months ended September 30, 2022 compared to the three months ended September 30, 2021 was</w:t>
      </w:r>
    </w:p>
    <w:p>
      <w:pPr>
        <w:spacing w:after="0" w:line="63"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primarily attributable to fewer Cloud and Edge VoIP Network Transformation projects completing in the quarter. The decrease in professional services revenue in the nine months ended September 30, 2022 compared to the nine months ended September 30, 2021 was also primarily attributable to fewer VoIP Network Transformation projects completing, particularly in the first quarter of 2022, as well as approximately $1 million of lower revenue from our IP Optical Network segment.</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customers contributed 10% or more of our revenue in the three month periods ended September 30, 2022</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59"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and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84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3"/>
          </w:tcPr>
          <w:p>
            <w:pPr>
              <w:ind w:lef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1420" w:type="dxa"/>
            <w:vAlign w:val="bottom"/>
            <w:tcBorders>
              <w:top w:val="single" w:sz="8" w:color="auto"/>
            </w:tcBorders>
            <w:gridSpan w:val="2"/>
          </w:tcPr>
          <w:p>
            <w:pPr>
              <w:ind w:left="220"/>
              <w:spacing w:after="0" w:line="124"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ind w:left="220"/>
              <w:spacing w:after="0" w:line="12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1420" w:type="dxa"/>
            <w:vAlign w:val="bottom"/>
            <w:tcBorders>
              <w:top w:val="single" w:sz="8" w:color="auto"/>
            </w:tcBorders>
            <w:gridSpan w:val="2"/>
          </w:tcPr>
          <w:p>
            <w:pPr>
              <w:ind w:left="240"/>
              <w:spacing w:after="0" w:line="124"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ind w:left="240"/>
              <w:spacing w:after="0" w:line="124"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40" w:type="dxa"/>
            <w:vAlign w:val="bottom"/>
            <w:gridSpan w:val="2"/>
            <w:vMerge w:val="continue"/>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Verizon Communications Inc.</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7"/>
                <w:szCs w:val="17"/>
                <w:color w:val="auto"/>
              </w:rPr>
              <w:t>AT&amp;T</w:t>
            </w:r>
          </w:p>
        </w:tc>
        <w:tc>
          <w:tcPr>
            <w:tcW w:w="1320" w:type="dxa"/>
            <w:vAlign w:val="bottom"/>
          </w:tcPr>
          <w:p>
            <w:pPr>
              <w:jc w:val="center"/>
              <w:spacing w:after="0"/>
              <w:rPr>
                <w:sz w:val="20"/>
                <w:szCs w:val="20"/>
                <w:color w:val="auto"/>
              </w:rPr>
            </w:pPr>
            <w:r>
              <w:rPr>
                <w:rFonts w:ascii="Arial" w:cs="Arial" w:eastAsia="Arial" w:hAnsi="Arial"/>
                <w:sz w:val="17"/>
                <w:szCs w:val="17"/>
                <w:color w:val="auto"/>
                <w:w w:val="88"/>
              </w:rPr>
              <w:t>10%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Less than 10% of total revenue.</w:t>
      </w:r>
    </w:p>
    <w:p>
      <w:pPr>
        <w:spacing w:after="0" w:line="327" w:lineRule="exact"/>
        <w:rPr>
          <w:sz w:val="20"/>
          <w:szCs w:val="20"/>
          <w:color w:val="auto"/>
        </w:rPr>
      </w:pPr>
    </w:p>
    <w:p>
      <w:pPr>
        <w:ind w:right="200" w:firstLine="314"/>
        <w:spacing w:after="0" w:line="297" w:lineRule="auto"/>
        <w:rPr>
          <w:sz w:val="20"/>
          <w:szCs w:val="20"/>
          <w:color w:val="auto"/>
        </w:rPr>
      </w:pPr>
      <w:r>
        <w:rPr>
          <w:rFonts w:ascii="Arial" w:cs="Arial" w:eastAsia="Arial" w:hAnsi="Arial"/>
          <w:sz w:val="16"/>
          <w:szCs w:val="16"/>
          <w:color w:val="auto"/>
        </w:rPr>
        <w:t>Revenue from customers domiciled outside the United States was approximately 58% and 56% of revenue in the three months ended September 30, 2022 and 2021, respectively, and 56% in both the nine months ended September 30, 2022 and 2021. Due to the timing of project completions, we expect that the domestic and international components as a percentage of revenue may fluctuate from quarter to quarter and year to year.</w:t>
      </w:r>
    </w:p>
    <w:p>
      <w:pPr>
        <w:spacing w:after="0" w:line="179" w:lineRule="exact"/>
        <w:rPr>
          <w:sz w:val="20"/>
          <w:szCs w:val="20"/>
          <w:color w:val="auto"/>
        </w:rPr>
      </w:pPr>
    </w:p>
    <w:p>
      <w:pPr>
        <w:ind w:right="200" w:firstLine="314"/>
        <w:spacing w:after="0" w:line="267" w:lineRule="auto"/>
        <w:rPr>
          <w:sz w:val="20"/>
          <w:szCs w:val="20"/>
          <w:color w:val="auto"/>
        </w:rPr>
      </w:pPr>
      <w:r>
        <w:rPr>
          <w:rFonts w:ascii="Arial" w:cs="Arial" w:eastAsia="Arial" w:hAnsi="Arial"/>
          <w:sz w:val="17"/>
          <w:szCs w:val="17"/>
          <w:color w:val="auto"/>
        </w:rPr>
        <w:t>Our deferred product revenue was $12 million and $10 million at September 30, 2022 and December 31, 2021, respectively. Our deferred service revenue was $100 million and $120 million at September 30, 2022 and December 31, 2021, respectively. Our deferred revenue balance may fluctuate because of the timing of revenue recognition, customer payments, maintenance contract renewals, contractual billing rights and maintenance revenue deferrals included in multiple element arrangements.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expect that our total revenue will decline slightly for 2022 compared to 2021 primarily as a result of lower customer spend in the first quarter of 2022.</w:t>
      </w:r>
    </w:p>
    <w:p>
      <w:pPr>
        <w:spacing w:after="0" w:line="260" w:lineRule="exact"/>
        <w:rPr>
          <w:sz w:val="20"/>
          <w:szCs w:val="20"/>
          <w:color w:val="auto"/>
        </w:rPr>
      </w:pPr>
    </w:p>
    <w:p>
      <w:pPr>
        <w:ind w:right="40" w:firstLine="314"/>
        <w:spacing w:after="0" w:line="267" w:lineRule="auto"/>
        <w:rPr>
          <w:sz w:val="20"/>
          <w:szCs w:val="20"/>
          <w:color w:val="auto"/>
        </w:rPr>
      </w:pPr>
      <w:r>
        <w:rPr>
          <w:rFonts w:ascii="Arial" w:cs="Arial" w:eastAsia="Arial" w:hAnsi="Arial"/>
          <w:sz w:val="17"/>
          <w:szCs w:val="17"/>
          <w:b w:val="1"/>
          <w:bCs w:val="1"/>
          <w:i w:val="1"/>
          <w:iCs w:val="1"/>
          <w:color w:val="auto"/>
        </w:rPr>
        <w:t xml:space="preserve">Cost of Revenue/Gross Margin. </w:t>
      </w:r>
      <w:r>
        <w:rPr>
          <w:rFonts w:ascii="Arial" w:cs="Arial" w:eastAsia="Arial" w:hAnsi="Arial"/>
          <w:sz w:val="17"/>
          <w:szCs w:val="17"/>
          <w:color w:val="auto"/>
        </w:rPr>
        <w:t>Our cost of revenue consists primarily of amounts paid to third-party manufacturers for purchased materials and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royalties, inventory valuation adjustments, warranty costs, manufacturing and services personnel and related costs, and amortization of acquired technology. Our cost of revenue, gross profit and gross margins for the three and nine months ended September 30, 2022 and 2021 were as follows (in thousands, except percentages):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360" w:type="dxa"/>
            <w:vAlign w:val="bottom"/>
          </w:tcPr>
          <w:p>
            <w:pPr>
              <w:spacing w:after="0"/>
              <w:rPr>
                <w:sz w:val="14"/>
                <w:szCs w:val="14"/>
                <w:color w:val="auto"/>
              </w:rPr>
            </w:pPr>
          </w:p>
        </w:tc>
        <w:tc>
          <w:tcPr>
            <w:tcW w:w="168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7"/>
              </w:rPr>
              <w:t>Increase (decrease)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4"/>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39"/>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14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59,866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6,372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11.9 %</w:t>
            </w: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 of acquired technology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3,065</w:t>
            </w: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340"/>
        </w:trPr>
        <w:tc>
          <w:tcPr>
            <w:tcW w:w="55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7"/>
                <w:szCs w:val="17"/>
                <w:color w:val="auto"/>
              </w:rPr>
              <w:t>50.4 %</w:t>
            </w:r>
          </w:p>
        </w:tc>
        <w:tc>
          <w:tcPr>
            <w:tcW w:w="1600" w:type="dxa"/>
            <w:vAlign w:val="bottom"/>
            <w:gridSpan w:val="3"/>
          </w:tcPr>
          <w:p>
            <w:pPr>
              <w:jc w:val="right"/>
              <w:ind w:right="193"/>
              <w:spacing w:after="0"/>
              <w:rPr>
                <w:sz w:val="20"/>
                <w:szCs w:val="20"/>
                <w:color w:val="auto"/>
              </w:rPr>
            </w:pPr>
            <w:r>
              <w:rPr>
                <w:rFonts w:ascii="Arial" w:cs="Arial" w:eastAsia="Arial" w:hAnsi="Arial"/>
                <w:sz w:val="17"/>
                <w:szCs w:val="17"/>
                <w:color w:val="auto"/>
              </w:rPr>
              <w:t>52.6 %</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9"/>
              </w:rPr>
              <w:t>Nine months ended</w:t>
            </w:r>
          </w:p>
        </w:tc>
        <w:tc>
          <w:tcPr>
            <w:tcW w:w="360" w:type="dxa"/>
            <w:vAlign w:val="bottom"/>
          </w:tcPr>
          <w:p>
            <w:pPr>
              <w:spacing w:after="0"/>
              <w:rPr>
                <w:sz w:val="24"/>
                <w:szCs w:val="24"/>
                <w:color w:val="auto"/>
              </w:rPr>
            </w:pPr>
          </w:p>
        </w:tc>
        <w:tc>
          <w:tcPr>
            <w:tcW w:w="168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7"/>
              </w:rPr>
              <w:t>Increase (decrease)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4"/>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39"/>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14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169,226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144,580</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24,646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17.0 %</w:t>
            </w: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 of acquired technology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284,513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14,685</w:t>
            </w: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(42,944)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340"/>
        </w:trPr>
        <w:tc>
          <w:tcPr>
            <w:tcW w:w="55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7"/>
                <w:szCs w:val="17"/>
                <w:color w:val="auto"/>
              </w:rPr>
              <w:t>49.0 %</w:t>
            </w:r>
          </w:p>
        </w:tc>
        <w:tc>
          <w:tcPr>
            <w:tcW w:w="1600" w:type="dxa"/>
            <w:vAlign w:val="bottom"/>
            <w:gridSpan w:val="3"/>
          </w:tcPr>
          <w:p>
            <w:pPr>
              <w:jc w:val="right"/>
              <w:ind w:right="193"/>
              <w:spacing w:after="0"/>
              <w:rPr>
                <w:sz w:val="20"/>
                <w:szCs w:val="20"/>
                <w:color w:val="auto"/>
              </w:rPr>
            </w:pPr>
            <w:r>
              <w:rPr>
                <w:rFonts w:ascii="Arial" w:cs="Arial" w:eastAsia="Arial" w:hAnsi="Arial"/>
                <w:sz w:val="17"/>
                <w:szCs w:val="17"/>
                <w:color w:val="auto"/>
              </w:rPr>
              <w:t>53.7 %</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right="680" w:firstLine="314"/>
        <w:spacing w:after="0" w:line="288" w:lineRule="auto"/>
        <w:rPr>
          <w:sz w:val="20"/>
          <w:szCs w:val="20"/>
          <w:color w:val="auto"/>
        </w:rPr>
      </w:pPr>
      <w:r>
        <w:rPr>
          <w:rFonts w:ascii="Arial" w:cs="Arial" w:eastAsia="Arial" w:hAnsi="Arial"/>
          <w:sz w:val="17"/>
          <w:szCs w:val="17"/>
          <w:color w:val="auto"/>
        </w:rPr>
        <w:t>Our segment cost of revenue, gross profit and gross margins for the three and nine months ended September 30, 2022 and 2021 were as follows (in thousands, except percentages):</w:t>
      </w:r>
    </w:p>
    <w:p>
      <w:pPr>
        <w:sectPr>
          <w:pgSz w:w="11900" w:h="16838" w:orient="portrait"/>
          <w:cols w:equalWidth="0" w:num="1">
            <w:col w:w="11240"/>
          </w:cols>
          <w:pgMar w:left="320" w:top="8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82"/>
        </w:trPr>
        <w:tc>
          <w:tcPr>
            <w:tcW w:w="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12"/>
          </w:tcPr>
          <w:p>
            <w:pPr>
              <w:ind w:left="720"/>
              <w:spacing w:after="0"/>
              <w:rPr>
                <w:sz w:val="20"/>
                <w:szCs w:val="20"/>
                <w:color w:val="auto"/>
              </w:rPr>
            </w:pPr>
            <w:r>
              <w:rPr>
                <w:rFonts w:ascii="Arial" w:cs="Arial" w:eastAsia="Arial" w:hAnsi="Arial"/>
                <w:sz w:val="14"/>
                <w:szCs w:val="14"/>
                <w:b w:val="1"/>
                <w:bCs w:val="1"/>
                <w:color w:val="auto"/>
              </w:rPr>
              <w:t>Three months ended September 30, 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gridSpan w:val="12"/>
          </w:tcPr>
          <w:p>
            <w:pPr>
              <w:jc w:val="right"/>
              <w:ind w:right="640"/>
              <w:spacing w:after="0"/>
              <w:rPr>
                <w:sz w:val="20"/>
                <w:szCs w:val="20"/>
                <w:color w:val="auto"/>
              </w:rPr>
            </w:pPr>
            <w:r>
              <w:rPr>
                <w:rFonts w:ascii="Arial" w:cs="Arial" w:eastAsia="Arial" w:hAnsi="Arial"/>
                <w:sz w:val="14"/>
                <w:szCs w:val="14"/>
                <w:b w:val="1"/>
                <w:bCs w:val="1"/>
                <w:color w:val="auto"/>
              </w:rPr>
              <w:t>Three months ended September 30, 2021</w:t>
            </w:r>
          </w:p>
        </w:tc>
      </w:tr>
      <w:tr>
        <w:trPr>
          <w:trHeight w:val="23"/>
        </w:trPr>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2"/>
        </w:trPr>
        <w:tc>
          <w:tcPr>
            <w:tcW w:w="3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w w:val="91"/>
              </w:rPr>
              <w:t>Cloud and Edge</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IP Optical Networks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w w:val="91"/>
              </w:rPr>
              <w:t>Cloud and Edge</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IP Optical Networks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22"/>
        </w:trPr>
        <w:tc>
          <w:tcPr>
            <w:tcW w:w="32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w:t>
            </w:r>
          </w:p>
        </w:tc>
        <w:tc>
          <w:tcPr>
            <w:tcW w:w="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59,866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53,4</w:t>
            </w:r>
          </w:p>
        </w:tc>
      </w:tr>
      <w:tr>
        <w:trPr>
          <w:trHeight w:val="222"/>
        </w:trPr>
        <w:tc>
          <w:tcPr>
            <w:tcW w:w="32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Service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24,378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10,797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35,175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26,632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9,944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36,5</w:t>
            </w:r>
          </w:p>
        </w:tc>
      </w:tr>
      <w:tr>
        <w:trPr>
          <w:trHeight w:val="222"/>
        </w:trPr>
        <w:tc>
          <w:tcPr>
            <w:tcW w:w="3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Amortization of acquired technology</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4,641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3,127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7,768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6,601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3,073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w:t>
            </w:r>
          </w:p>
        </w:tc>
      </w:tr>
      <w:tr>
        <w:trPr>
          <w:trHeight w:val="215"/>
        </w:trPr>
        <w:tc>
          <w:tcPr>
            <w:tcW w:w="320" w:type="dxa"/>
            <w:vAlign w:val="bottom"/>
          </w:tcPr>
          <w:p>
            <w:pPr>
              <w:spacing w:after="0"/>
              <w:rPr>
                <w:sz w:val="18"/>
                <w:szCs w:val="18"/>
                <w:color w:val="auto"/>
              </w:rPr>
            </w:pPr>
          </w:p>
        </w:tc>
        <w:tc>
          <w:tcPr>
            <w:tcW w:w="2460" w:type="dxa"/>
            <w:vAlign w:val="bottom"/>
          </w:tcPr>
          <w:p>
            <w:pPr>
              <w:ind w:left="140"/>
              <w:spacing w:after="0"/>
              <w:rPr>
                <w:sz w:val="20"/>
                <w:szCs w:val="20"/>
                <w:color w:val="auto"/>
              </w:rPr>
            </w:pPr>
            <w:r>
              <w:rPr>
                <w:rFonts w:ascii="Arial" w:cs="Arial" w:eastAsia="Arial" w:hAnsi="Arial"/>
                <w:sz w:val="17"/>
                <w:szCs w:val="17"/>
                <w:color w:val="auto"/>
              </w:rPr>
              <w:t>Total cost of revenue</w:t>
            </w:r>
          </w:p>
        </w:tc>
        <w:tc>
          <w:tcPr>
            <w:tcW w:w="1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48,243</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54,566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102,809</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53,437</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46,307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99,7</w:t>
            </w:r>
          </w:p>
        </w:tc>
      </w:tr>
      <w:tr>
        <w:trPr>
          <w:trHeight w:val="20"/>
        </w:trPr>
        <w:tc>
          <w:tcPr>
            <w:tcW w:w="3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2"/>
        </w:trPr>
        <w:tc>
          <w:tcPr>
            <w:tcW w:w="32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76,442</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27,876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104,318</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89,000</w:t>
            </w: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21,654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110,6</w:t>
            </w:r>
          </w:p>
        </w:tc>
      </w:tr>
      <w:tr>
        <w:trPr>
          <w:trHeight w:val="196"/>
        </w:trPr>
        <w:tc>
          <w:tcPr>
            <w:tcW w:w="2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50.4 %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52.6 %</w:t>
            </w:r>
          </w:p>
        </w:tc>
        <w:tc>
          <w:tcPr>
            <w:tcW w:w="100" w:type="dxa"/>
            <w:vAlign w:val="bottom"/>
          </w:tcPr>
          <w:p>
            <w:pPr>
              <w:spacing w:after="0"/>
              <w:rPr>
                <w:sz w:val="19"/>
                <w:szCs w:val="19"/>
                <w:color w:val="auto"/>
              </w:rPr>
            </w:pPr>
          </w:p>
        </w:tc>
      </w:tr>
      <w:tr>
        <w:trPr>
          <w:trHeight w:val="748"/>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2022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42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142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82"/>
        </w:trPr>
        <w:tc>
          <w:tcPr>
            <w:tcW w:w="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IP Optical Networks</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Cloud and Edge</w:t>
            </w:r>
          </w:p>
        </w:tc>
        <w:tc>
          <w:tcPr>
            <w:tcW w:w="142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IP Optical Networks</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r>
      <w:tr>
        <w:trPr>
          <w:trHeight w:val="222"/>
        </w:trPr>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Product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169,226</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144,580</w:t>
            </w:r>
          </w:p>
        </w:tc>
        <w:tc>
          <w:tcPr>
            <w:tcW w:w="100" w:type="dxa"/>
            <w:vAlign w:val="bottom"/>
          </w:tcPr>
          <w:p>
            <w:pPr>
              <w:spacing w:after="0"/>
              <w:rPr>
                <w:sz w:val="19"/>
                <w:szCs w:val="19"/>
                <w:color w:val="auto"/>
              </w:rPr>
            </w:pPr>
          </w:p>
        </w:tc>
      </w:tr>
      <w:tr>
        <w:trPr>
          <w:trHeight w:val="222"/>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Service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106,049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110,498</w:t>
            </w:r>
          </w:p>
        </w:tc>
        <w:tc>
          <w:tcPr>
            <w:tcW w:w="100" w:type="dxa"/>
            <w:vAlign w:val="bottom"/>
          </w:tcPr>
          <w:p>
            <w:pPr>
              <w:spacing w:after="0"/>
              <w:rPr>
                <w:sz w:val="19"/>
                <w:szCs w:val="19"/>
                <w:color w:val="auto"/>
              </w:rPr>
            </w:pPr>
          </w:p>
        </w:tc>
      </w:tr>
      <w:tr>
        <w:trPr>
          <w:trHeight w:val="22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acquired technology</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23,923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29,435</w:t>
            </w:r>
          </w:p>
        </w:tc>
        <w:tc>
          <w:tcPr>
            <w:tcW w:w="100" w:type="dxa"/>
            <w:vAlign w:val="bottom"/>
          </w:tcPr>
          <w:p>
            <w:pPr>
              <w:spacing w:after="0"/>
              <w:rPr>
                <w:sz w:val="19"/>
                <w:szCs w:val="19"/>
                <w:color w:val="auto"/>
              </w:rPr>
            </w:pPr>
          </w:p>
        </w:tc>
      </w:tr>
      <w:tr>
        <w:trPr>
          <w:trHeight w:val="215"/>
        </w:trPr>
        <w:tc>
          <w:tcPr>
            <w:tcW w:w="2780" w:type="dxa"/>
            <w:vAlign w:val="bottom"/>
            <w:gridSpan w:val="2"/>
          </w:tcPr>
          <w:p>
            <w:pPr>
              <w:ind w:left="14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155,051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299,198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130,592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284,513</w:t>
            </w:r>
          </w:p>
        </w:tc>
        <w:tc>
          <w:tcPr>
            <w:tcW w:w="100" w:type="dxa"/>
            <w:vAlign w:val="bottom"/>
          </w:tcPr>
          <w:p>
            <w:pPr>
              <w:spacing w:after="0"/>
              <w:rPr>
                <w:sz w:val="18"/>
                <w:szCs w:val="18"/>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227,424</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59,499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286,923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255,359</w:t>
            </w: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74,508</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329,867</w:t>
            </w:r>
          </w:p>
        </w:tc>
        <w:tc>
          <w:tcPr>
            <w:tcW w:w="100" w:type="dxa"/>
            <w:vAlign w:val="bottom"/>
          </w:tcPr>
          <w:p>
            <w:pPr>
              <w:spacing w:after="0"/>
              <w:rPr>
                <w:sz w:val="19"/>
                <w:szCs w:val="19"/>
                <w:color w:val="auto"/>
              </w:rPr>
            </w:pPr>
          </w:p>
        </w:tc>
      </w:tr>
      <w:tr>
        <w:trPr>
          <w:trHeight w:val="196"/>
        </w:trPr>
        <w:tc>
          <w:tcPr>
            <w:tcW w:w="2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61.2 %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27.7 %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49.0 %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62.4 %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53.7 %</w:t>
            </w:r>
          </w:p>
        </w:tc>
        <w:tc>
          <w:tcPr>
            <w:tcW w:w="100" w:type="dxa"/>
            <w:vAlign w:val="bottom"/>
          </w:tcPr>
          <w:p>
            <w:pPr>
              <w:spacing w:after="0"/>
              <w:rPr>
                <w:sz w:val="19"/>
                <w:szCs w:val="19"/>
                <w:color w:val="auto"/>
              </w:rPr>
            </w:pPr>
          </w:p>
        </w:tc>
      </w:tr>
    </w:tbl>
    <w:p>
      <w:pPr>
        <w:spacing w:after="0" w:line="314" w:lineRule="exact"/>
        <w:rPr>
          <w:sz w:val="20"/>
          <w:szCs w:val="20"/>
          <w:color w:val="auto"/>
        </w:rPr>
      </w:pPr>
    </w:p>
    <w:p>
      <w:pPr>
        <w:ind w:right="120" w:firstLine="314"/>
        <w:spacing w:after="0" w:line="300" w:lineRule="auto"/>
        <w:rPr>
          <w:sz w:val="20"/>
          <w:szCs w:val="20"/>
          <w:color w:val="auto"/>
        </w:rPr>
      </w:pPr>
      <w:r>
        <w:rPr>
          <w:rFonts w:ascii="Arial" w:cs="Arial" w:eastAsia="Arial" w:hAnsi="Arial"/>
          <w:sz w:val="15"/>
          <w:szCs w:val="15"/>
          <w:color w:val="auto"/>
        </w:rPr>
        <w:t>Our gross margin decreased in the three and nine months ended September 30, 2022 compared to the three and nine months ended September 30, 2021. The decrease in the gross margin in the three months ended September 30, 2022 compared to the same period in the prior year was primarily due to lower margins in our Cloud and Edge segment, partially offset by higher margins in our IP Optical Networks segment. The decrease in the gross margin in the nine months ended September 30, 2022 compared to the same period in the prior year was primarily due to lower margins in our IP Optical Networks segment. The decrease in both periods of two percentage points and five percentage points, respectively, was primarily attributable to product and customer mix, and to supply chain disruptions that have led to higher component costs, and higher freight and logistics expenses. We also estimate a reduction in margin of approximately $2 million and $3 million, respectively, in the three and nine months ended September 30, 2022, from the strong US dollar relative to sales in foreign currencies. We anticipate similar gross margin in the last quarter of 2022 for both segments, with the overall corporate average slightly lower depending on final sales mix.</w:t>
      </w:r>
    </w:p>
    <w:p>
      <w:pPr>
        <w:spacing w:after="0" w:line="183" w:lineRule="exact"/>
        <w:rPr>
          <w:sz w:val="20"/>
          <w:szCs w:val="20"/>
          <w:color w:val="auto"/>
        </w:rPr>
      </w:pPr>
    </w:p>
    <w:p>
      <w:pPr>
        <w:ind w:right="100" w:firstLine="314"/>
        <w:spacing w:after="0" w:line="321" w:lineRule="auto"/>
        <w:rPr>
          <w:sz w:val="20"/>
          <w:szCs w:val="20"/>
          <w:color w:val="auto"/>
        </w:rPr>
      </w:pPr>
      <w:r>
        <w:rPr>
          <w:rFonts w:ascii="Arial" w:cs="Arial" w:eastAsia="Arial" w:hAnsi="Arial"/>
          <w:sz w:val="16"/>
          <w:szCs w:val="16"/>
          <w:color w:val="auto"/>
        </w:rPr>
        <w:t>We believe that our consolidated gross margin may decrease in 2022 compared to 2021 as a result of higher expected sales from IP Optical Networks, which has lower margins due to the higher hardware content in its products, and higher production costs resulting from ongoing worldwide supply chain issues.</w:t>
      </w:r>
    </w:p>
    <w:p>
      <w:pPr>
        <w:spacing w:after="0" w:line="161" w:lineRule="exact"/>
        <w:rPr>
          <w:sz w:val="20"/>
          <w:szCs w:val="20"/>
          <w:color w:val="auto"/>
        </w:rPr>
      </w:pPr>
    </w:p>
    <w:p>
      <w:pPr>
        <w:ind w:right="120" w:firstLine="314"/>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consist primarily of salaries and related personnel expenses and prototype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design, development, testing, and enhancement of our products. Research and development expenses for the three and nine months ended September 30, 2022 and 2021 were as follows (in thousands, except percentages):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403"/>
              <w:spacing w:after="0"/>
              <w:rPr>
                <w:sz w:val="20"/>
                <w:szCs w:val="20"/>
                <w:color w:val="auto"/>
              </w:rPr>
            </w:pPr>
            <w:r>
              <w:rPr>
                <w:rFonts w:ascii="Arial" w:cs="Arial" w:eastAsia="Arial" w:hAnsi="Arial"/>
                <w:sz w:val="14"/>
                <w:szCs w:val="14"/>
                <w:b w:val="1"/>
                <w:bCs w:val="1"/>
                <w:color w:val="auto"/>
                <w:w w:val="87"/>
              </w:rPr>
              <w:t>Increase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23"/>
              <w:spacing w:after="0"/>
              <w:rPr>
                <w:sz w:val="20"/>
                <w:szCs w:val="20"/>
                <w:color w:val="auto"/>
              </w:rPr>
            </w:pPr>
            <w:r>
              <w:rPr>
                <w:rFonts w:ascii="Arial" w:cs="Arial" w:eastAsia="Arial" w:hAnsi="Arial"/>
                <w:sz w:val="14"/>
                <w:szCs w:val="14"/>
                <w:b w:val="1"/>
                <w:bCs w:val="1"/>
                <w:color w:val="auto"/>
                <w:w w:val="92"/>
              </w:rPr>
              <w:t>from prior year</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c>
          <w:tcPr>
            <w:tcW w:w="1260" w:type="dxa"/>
            <w:vAlign w:val="bottom"/>
            <w:gridSpan w:val="2"/>
          </w:tcPr>
          <w:p>
            <w:pPr>
              <w:ind w:left="80"/>
              <w:spacing w:after="0" w:line="118"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94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49,366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0" w:type="dxa"/>
            <w:vAlign w:val="bottom"/>
          </w:tcPr>
          <w:p>
            <w:pPr>
              <w:spacing w:after="0"/>
              <w:rPr>
                <w:sz w:val="1"/>
                <w:szCs w:val="1"/>
                <w:color w:val="auto"/>
              </w:rPr>
            </w:pPr>
          </w:p>
        </w:tc>
      </w:tr>
      <w:tr>
        <w:trPr>
          <w:trHeight w:val="222"/>
        </w:trPr>
        <w:tc>
          <w:tcPr>
            <w:tcW w:w="558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
              <w:spacing w:after="0"/>
              <w:rPr>
                <w:sz w:val="20"/>
                <w:szCs w:val="20"/>
                <w:color w:val="auto"/>
              </w:rPr>
            </w:pPr>
            <w:r>
              <w:rPr>
                <w:rFonts w:ascii="Arial" w:cs="Arial" w:eastAsia="Arial" w:hAnsi="Arial"/>
                <w:sz w:val="17"/>
                <w:szCs w:val="17"/>
                <w:color w:val="auto"/>
              </w:rPr>
              <w:t>153,159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143,339</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9,820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6.9 %</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300" w:firstLine="314"/>
        <w:spacing w:after="0" w:line="272" w:lineRule="auto"/>
        <w:rPr>
          <w:sz w:val="20"/>
          <w:szCs w:val="20"/>
          <w:color w:val="auto"/>
        </w:rPr>
      </w:pPr>
      <w:r>
        <w:rPr>
          <w:rFonts w:ascii="Arial" w:cs="Arial" w:eastAsia="Arial" w:hAnsi="Arial"/>
          <w:sz w:val="17"/>
          <w:szCs w:val="17"/>
          <w:color w:val="auto"/>
        </w:rPr>
        <w:t>The slight increase in our research and development expenses in the three months ended September 30, 2022 compared to the three months ended September 30, 2021 was attributable to approximately $2 million of higher expenses in our IP Optical Networks segment, partially offset by approximately $2 million of lower expenses in our Cloud and Edge segment.</w:t>
      </w: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93" w:right="239" w:bottom="1440" w:gutter="0" w:footer="0" w:header="0"/>
        </w:sectPr>
      </w:pPr>
    </w:p>
    <w:bookmarkStart w:id="44" w:name="page45"/>
    <w:bookmarkEnd w:id="44"/>
    <w:p>
      <w:pPr>
        <w:ind w:right="340" w:firstLine="314"/>
        <w:spacing w:after="0" w:line="272" w:lineRule="auto"/>
        <w:rPr>
          <w:sz w:val="20"/>
          <w:szCs w:val="20"/>
          <w:color w:val="auto"/>
        </w:rPr>
      </w:pPr>
      <w:r>
        <w:rPr>
          <w:rFonts w:ascii="Arial" w:cs="Arial" w:eastAsia="Arial" w:hAnsi="Arial"/>
          <w:sz w:val="17"/>
          <w:szCs w:val="17"/>
          <w:color w:val="auto"/>
        </w:rPr>
        <w:t>The increase in our research and development expenses in the nine months ended September 30, 2022 compared to the nine months ended September 30, 2021 was primarily attributable to approximately $16 million of higher expenses in our IP Optical Networks segment, partially offset by approximately $6 million of lower expenses in our Cloud and Edge segment.</w:t>
      </w:r>
    </w:p>
    <w:p>
      <w:pPr>
        <w:spacing w:after="0" w:line="198" w:lineRule="exact"/>
        <w:rPr>
          <w:sz w:val="20"/>
          <w:szCs w:val="20"/>
          <w:color w:val="auto"/>
        </w:rPr>
      </w:pPr>
    </w:p>
    <w:p>
      <w:pPr>
        <w:ind w:right="620" w:firstLine="314"/>
        <w:spacing w:after="0" w:line="288" w:lineRule="auto"/>
        <w:rPr>
          <w:sz w:val="20"/>
          <w:szCs w:val="20"/>
          <w:color w:val="auto"/>
        </w:rPr>
      </w:pPr>
      <w:r>
        <w:rPr>
          <w:rFonts w:ascii="Arial" w:cs="Arial" w:eastAsia="Arial" w:hAnsi="Arial"/>
          <w:sz w:val="17"/>
          <w:szCs w:val="17"/>
          <w:color w:val="auto"/>
        </w:rPr>
        <w:t>The increased investment in IP Optical Networks R&amp;D is focused on significantly expanding our portfolio of IP Routing solutions, adding additional features to our Optical Transport portfolio, and investment in a next generation SDN management and orchestration platform.</w:t>
      </w:r>
    </w:p>
    <w:p>
      <w:pPr>
        <w:spacing w:after="0" w:line="184" w:lineRule="exact"/>
        <w:rPr>
          <w:sz w:val="20"/>
          <w:szCs w:val="20"/>
          <w:color w:val="auto"/>
        </w:rPr>
      </w:pPr>
    </w:p>
    <w:p>
      <w:pPr>
        <w:ind w:right="260" w:firstLine="314"/>
        <w:spacing w:after="0" w:line="288" w:lineRule="auto"/>
        <w:rPr>
          <w:sz w:val="20"/>
          <w:szCs w:val="20"/>
          <w:color w:val="auto"/>
        </w:rPr>
      </w:pPr>
      <w:r>
        <w:rPr>
          <w:rFonts w:ascii="Arial" w:cs="Arial" w:eastAsia="Arial" w:hAnsi="Arial"/>
          <w:sz w:val="16"/>
          <w:szCs w:val="16"/>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 will increase modestly in 2022 compared to 2021, primarily due to our incremental investment in critical growth areas, partially offset by cost savings from the 2022 Restructuring Plan.</w:t>
      </w:r>
    </w:p>
    <w:p>
      <w:pPr>
        <w:spacing w:after="0" w:line="188" w:lineRule="exact"/>
        <w:rPr>
          <w:sz w:val="20"/>
          <w:szCs w:val="20"/>
          <w:color w:val="auto"/>
        </w:rPr>
      </w:pPr>
    </w:p>
    <w:p>
      <w:pPr>
        <w:ind w:right="120" w:firstLine="314"/>
        <w:spacing w:after="0" w:line="272"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color w:val="auto"/>
        </w:rPr>
        <w:t>Sales and marketing expenses primarily consist of salaries and related personnel costs, commissions, travel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entertainment expenses, promotions, customer trial and evaluations inventory, and other marketing and sales support expenses. Sales and marketing expenses for the three and nine months ended September 30, 2022 and 2021 were as follows (in thousands, except percentages):</w:t>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3"/>
          </w:tcPr>
          <w:p>
            <w:pPr>
              <w:jc w:val="center"/>
              <w:ind w:left="483"/>
              <w:spacing w:after="0"/>
              <w:rPr>
                <w:sz w:val="20"/>
                <w:szCs w:val="20"/>
                <w:color w:val="auto"/>
              </w:rPr>
            </w:pPr>
            <w:r>
              <w:rPr>
                <w:rFonts w:ascii="Arial" w:cs="Arial" w:eastAsia="Arial" w:hAnsi="Arial"/>
                <w:sz w:val="14"/>
                <w:szCs w:val="14"/>
                <w:b w:val="1"/>
                <w:bCs w:val="1"/>
                <w:color w:val="auto"/>
                <w:w w:val="87"/>
              </w:rPr>
              <w:t>Increase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83"/>
              <w:spacing w:after="0"/>
              <w:rPr>
                <w:sz w:val="20"/>
                <w:szCs w:val="20"/>
                <w:color w:val="auto"/>
              </w:rPr>
            </w:pPr>
            <w:r>
              <w:rPr>
                <w:rFonts w:ascii="Arial" w:cs="Arial" w:eastAsia="Arial" w:hAnsi="Arial"/>
                <w:sz w:val="14"/>
                <w:szCs w:val="14"/>
                <w:b w:val="1"/>
                <w:bCs w:val="1"/>
                <w:color w:val="auto"/>
                <w:w w:val="94"/>
              </w:rPr>
              <w:t>from prior year</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ind w:left="100"/>
              <w:spacing w:after="0" w:line="118"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1340" w:type="dxa"/>
            <w:vAlign w:val="bottom"/>
            <w:gridSpan w:val="2"/>
          </w:tcPr>
          <w:p>
            <w:pPr>
              <w:ind w:left="100"/>
              <w:spacing w:after="0" w:line="118" w:lineRule="exact"/>
              <w:rPr>
                <w:sz w:val="20"/>
                <w:szCs w:val="20"/>
                <w:color w:val="auto"/>
              </w:rPr>
            </w:pPr>
            <w:r>
              <w:rPr>
                <w:rFonts w:ascii="Arial" w:cs="Arial" w:eastAsia="Arial" w:hAnsi="Arial"/>
                <w:sz w:val="13"/>
                <w:szCs w:val="13"/>
                <w:b w:val="1"/>
                <w:bCs w:val="1"/>
                <w:color w:val="auto"/>
              </w:rPr>
              <w:t>September 30,</w:t>
            </w:r>
          </w:p>
        </w:tc>
        <w:tc>
          <w:tcPr>
            <w:tcW w:w="400" w:type="dxa"/>
            <w:vAlign w:val="bottom"/>
          </w:tcPr>
          <w:p>
            <w:pPr>
              <w:spacing w:after="0"/>
              <w:rPr>
                <w:sz w:val="10"/>
                <w:szCs w:val="10"/>
                <w:color w:val="auto"/>
              </w:rPr>
            </w:pPr>
          </w:p>
        </w:tc>
        <w:tc>
          <w:tcPr>
            <w:tcW w:w="1040" w:type="dxa"/>
            <w:vAlign w:val="bottom"/>
            <w:vMerge w:val="restart"/>
          </w:tcPr>
          <w:p>
            <w:pPr>
              <w:jc w:val="right"/>
              <w:ind w:right="6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109,827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108,212</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
              <w:spacing w:after="0"/>
              <w:rPr>
                <w:sz w:val="20"/>
                <w:szCs w:val="20"/>
                <w:color w:val="auto"/>
              </w:rPr>
            </w:pPr>
            <w:r>
              <w:rPr>
                <w:rFonts w:ascii="Arial" w:cs="Arial" w:eastAsia="Arial" w:hAnsi="Arial"/>
                <w:sz w:val="17"/>
                <w:szCs w:val="17"/>
                <w:color w:val="auto"/>
              </w:rPr>
              <w:t>1,615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20" w:firstLine="314"/>
        <w:spacing w:after="0" w:line="271" w:lineRule="auto"/>
        <w:rPr>
          <w:sz w:val="20"/>
          <w:szCs w:val="20"/>
          <w:color w:val="auto"/>
        </w:rPr>
      </w:pPr>
      <w:r>
        <w:rPr>
          <w:rFonts w:ascii="Arial" w:cs="Arial" w:eastAsia="Arial" w:hAnsi="Arial"/>
          <w:sz w:val="16"/>
          <w:szCs w:val="16"/>
          <w:color w:val="auto"/>
        </w:rPr>
        <w:t>The slight increase in sales and marketing expenses in the three months ended September 30, 2022 compared to the three months ended September 30, 2021 was primarily attributable to approximately $1 million of higher expenses allocated to our IP Optical Networks segment, partially offset by approximately $1 million of lower expenses allocated to our Cloud and Edge segment, primarily for travel related costs. Our Sales and Marketing team is responsible for selling the entire portfolio of products and services, and expenses are allocated to each operating segment pro-rata based on revenue contribution.</w:t>
      </w:r>
    </w:p>
    <w:p>
      <w:pPr>
        <w:spacing w:after="0" w:line="201" w:lineRule="exact"/>
        <w:rPr>
          <w:sz w:val="20"/>
          <w:szCs w:val="20"/>
          <w:color w:val="auto"/>
        </w:rPr>
      </w:pPr>
    </w:p>
    <w:p>
      <w:pPr>
        <w:ind w:right="140" w:firstLine="314"/>
        <w:spacing w:after="0" w:line="272" w:lineRule="auto"/>
        <w:rPr>
          <w:sz w:val="20"/>
          <w:szCs w:val="20"/>
          <w:color w:val="auto"/>
        </w:rPr>
      </w:pPr>
      <w:r>
        <w:rPr>
          <w:rFonts w:ascii="Arial" w:cs="Arial" w:eastAsia="Arial" w:hAnsi="Arial"/>
          <w:sz w:val="17"/>
          <w:szCs w:val="17"/>
          <w:color w:val="auto"/>
        </w:rPr>
        <w:t>The increase in sales and marketing expenses in the nine months ended September 30, 2022 compared to the nine months ended September 30, 2021 was primarily attributable to approximately $5 million of higher expenses allocated to our IP Optical Networks segment, partially offset by approximately $3 million of lower expenses allocated to our Cloud and Edge segment, primarily for employee-related and travel related costs.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our full year 2022 sales and marketing expenses will be slightly below 2021 levels.</w:t>
      </w:r>
    </w:p>
    <w:p>
      <w:pPr>
        <w:spacing w:after="0" w:line="249" w:lineRule="exact"/>
        <w:rPr>
          <w:sz w:val="20"/>
          <w:szCs w:val="20"/>
          <w:color w:val="auto"/>
        </w:rPr>
      </w:pPr>
    </w:p>
    <w:p>
      <w:pPr>
        <w:ind w:right="300" w:firstLine="314"/>
        <w:spacing w:after="0" w:line="272"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consist primarily of salaries and related personnel costs for executive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personnel, and audit, legal and other professional fees. General and administrative expenses for the three and nine months ended September 30, 2022 and 2021 were as follows (in thousands, except percentages):</w:t>
      </w:r>
    </w:p>
    <w:p>
      <w:pPr>
        <w:spacing w:after="0" w:line="62"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83"/>
              </w:rPr>
              <w:t>Decrease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23"/>
              <w:spacing w:after="0"/>
              <w:rPr>
                <w:sz w:val="20"/>
                <w:szCs w:val="20"/>
                <w:color w:val="auto"/>
              </w:rPr>
            </w:pPr>
            <w:r>
              <w:rPr>
                <w:rFonts w:ascii="Arial" w:cs="Arial" w:eastAsia="Arial" w:hAnsi="Arial"/>
                <w:sz w:val="14"/>
                <w:szCs w:val="14"/>
                <w:b w:val="1"/>
                <w:bCs w:val="1"/>
                <w:color w:val="auto"/>
                <w:w w:val="92"/>
              </w:rPr>
              <w:t>from prior year</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c>
          <w:tcPr>
            <w:tcW w:w="126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94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12,118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2"/>
        </w:trPr>
        <w:tc>
          <w:tcPr>
            <w:tcW w:w="554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
              <w:spacing w:after="0"/>
              <w:rPr>
                <w:sz w:val="20"/>
                <w:szCs w:val="20"/>
                <w:color w:val="auto"/>
              </w:rPr>
            </w:pPr>
            <w:r>
              <w:rPr>
                <w:rFonts w:ascii="Arial" w:cs="Arial" w:eastAsia="Arial" w:hAnsi="Arial"/>
                <w:sz w:val="17"/>
                <w:szCs w:val="17"/>
                <w:color w:val="auto"/>
              </w:rPr>
              <w:t>37,881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40,435</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180" w:firstLine="314"/>
        <w:spacing w:after="0" w:line="288" w:lineRule="auto"/>
        <w:rPr>
          <w:sz w:val="20"/>
          <w:szCs w:val="20"/>
          <w:color w:val="auto"/>
        </w:rPr>
      </w:pPr>
      <w:r>
        <w:rPr>
          <w:rFonts w:ascii="Arial" w:cs="Arial" w:eastAsia="Arial" w:hAnsi="Arial"/>
          <w:sz w:val="17"/>
          <w:szCs w:val="17"/>
          <w:color w:val="auto"/>
        </w:rPr>
        <w:t>Our general and administrative expenses were relatively flat in the three months ended September 30, 2022 compared to the three months ended September 30, 2021.</w:t>
      </w:r>
    </w:p>
    <w:p>
      <w:pPr>
        <w:spacing w:after="0" w:line="184" w:lineRule="exact"/>
        <w:rPr>
          <w:sz w:val="20"/>
          <w:szCs w:val="20"/>
          <w:color w:val="auto"/>
        </w:rPr>
      </w:pPr>
    </w:p>
    <w:p>
      <w:pPr>
        <w:ind w:right="160" w:firstLine="314"/>
        <w:spacing w:after="0" w:line="272" w:lineRule="auto"/>
        <w:rPr>
          <w:sz w:val="20"/>
          <w:szCs w:val="20"/>
          <w:color w:val="auto"/>
        </w:rPr>
      </w:pPr>
      <w:r>
        <w:rPr>
          <w:rFonts w:ascii="Arial" w:cs="Arial" w:eastAsia="Arial" w:hAnsi="Arial"/>
          <w:sz w:val="17"/>
          <w:szCs w:val="17"/>
          <w:color w:val="auto"/>
        </w:rPr>
        <w:t>The decrease in general and administrative expenses in the nine months ended September 30, 2022 compared to the nine months ended September 30, 2021 was primarily attributable to lower employee-related expenses in the current year period of approximately $2 million in our IP Optical Networks segment and approximately $1 million of lower depreciation and amortization in our Cloud and Edge segment.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07" w:right="239" w:bottom="1440" w:gutter="0" w:footer="0" w:header="0"/>
        </w:sectPr>
      </w:pPr>
    </w:p>
    <w:bookmarkStart w:id="45" w:name="page46"/>
    <w:bookmarkEnd w:id="45"/>
    <w:p>
      <w:pPr>
        <w:ind w:right="760" w:firstLine="314"/>
        <w:spacing w:after="0" w:line="321" w:lineRule="auto"/>
        <w:rPr>
          <w:sz w:val="20"/>
          <w:szCs w:val="20"/>
          <w:color w:val="auto"/>
        </w:rPr>
      </w:pPr>
      <w:r>
        <w:rPr>
          <w:rFonts w:ascii="Arial" w:cs="Arial" w:eastAsia="Arial" w:hAnsi="Arial"/>
          <w:sz w:val="16"/>
          <w:szCs w:val="16"/>
          <w:color w:val="auto"/>
        </w:rPr>
        <w:t>Although our general and administrative expenses decreased 6% in the nine months ended September 30, 2022 compared to the nine months ended September 30, 2021, we believe that our general and administrative expenses for the full year 2022 will remain similar to our 2021 levels.</w:t>
      </w:r>
    </w:p>
    <w:p>
      <w:pPr>
        <w:spacing w:after="0" w:line="161" w:lineRule="exact"/>
        <w:rPr>
          <w:sz w:val="20"/>
          <w:szCs w:val="20"/>
          <w:color w:val="auto"/>
        </w:rPr>
      </w:pPr>
    </w:p>
    <w:p>
      <w:pPr>
        <w:ind w:right="340" w:firstLine="314"/>
        <w:spacing w:after="0" w:line="288" w:lineRule="auto"/>
        <w:rPr>
          <w:sz w:val="20"/>
          <w:szCs w:val="20"/>
          <w:color w:val="auto"/>
        </w:rPr>
      </w:pPr>
      <w:r>
        <w:rPr>
          <w:rFonts w:ascii="Arial" w:cs="Arial" w:eastAsia="Arial" w:hAnsi="Arial"/>
          <w:sz w:val="17"/>
          <w:szCs w:val="17"/>
          <w:color w:val="auto"/>
        </w:rPr>
        <w:t>Our overall operating costs were lower by approximately $2 million and $4 million, respectively, in the three and nine months ended September 30, 2022 from the strong US dollar relative to expenses incurred in foreign currencies.</w:t>
      </w:r>
    </w:p>
    <w:p>
      <w:pPr>
        <w:spacing w:after="0" w:line="184" w:lineRule="exact"/>
        <w:rPr>
          <w:sz w:val="20"/>
          <w:szCs w:val="20"/>
          <w:color w:val="auto"/>
        </w:rPr>
      </w:pPr>
    </w:p>
    <w:p>
      <w:pPr>
        <w:ind w:right="100" w:firstLine="314"/>
        <w:spacing w:after="0" w:line="288" w:lineRule="auto"/>
        <w:rPr>
          <w:sz w:val="20"/>
          <w:szCs w:val="20"/>
          <w:color w:val="auto"/>
        </w:rPr>
      </w:pPr>
      <w:r>
        <w:rPr>
          <w:rFonts w:ascii="Arial" w:cs="Arial" w:eastAsia="Arial" w:hAnsi="Arial"/>
          <w:sz w:val="17"/>
          <w:szCs w:val="17"/>
          <w:b w:val="1"/>
          <w:bCs w:val="1"/>
          <w:i w:val="1"/>
          <w:iCs w:val="1"/>
          <w:color w:val="auto"/>
        </w:rPr>
        <w:t xml:space="preserve">Amortization of Acquired Intangible Assets. </w:t>
      </w:r>
      <w:r>
        <w:rPr>
          <w:rFonts w:ascii="Arial" w:cs="Arial" w:eastAsia="Arial" w:hAnsi="Arial"/>
          <w:sz w:val="17"/>
          <w:szCs w:val="17"/>
          <w:color w:val="auto"/>
        </w:rPr>
        <w:t>Amortization of acquired intangible assets included in Operating expenses ("Opex Amortization")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nine months ended September 30, 2022 and 2021 was as follows (in thousands, except percentages):</w:t>
      </w:r>
    </w:p>
    <w:p>
      <w:pPr>
        <w:spacing w:after="0" w:line="4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tcPr>
          <w:p>
            <w:pPr>
              <w:ind w:left="500"/>
              <w:spacing w:after="0"/>
              <w:rPr>
                <w:sz w:val="20"/>
                <w:szCs w:val="20"/>
                <w:color w:val="auto"/>
              </w:rPr>
            </w:pPr>
            <w:r>
              <w:rPr>
                <w:rFonts w:ascii="Arial" w:cs="Arial" w:eastAsia="Arial" w:hAnsi="Arial"/>
                <w:sz w:val="14"/>
                <w:szCs w:val="14"/>
                <w:b w:val="1"/>
                <w:bCs w:val="1"/>
                <w:color w:val="auto"/>
                <w:w w:val="87"/>
              </w:rPr>
              <w:t>Increase (decrease)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from prior year</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c>
          <w:tcPr>
            <w:tcW w:w="126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94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7,508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2"/>
        </w:trPr>
        <w:tc>
          <w:tcPr>
            <w:tcW w:w="554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
              <w:spacing w:after="0"/>
              <w:rPr>
                <w:sz w:val="20"/>
                <w:szCs w:val="20"/>
                <w:color w:val="auto"/>
              </w:rPr>
            </w:pPr>
            <w:r>
              <w:rPr>
                <w:rFonts w:ascii="Arial" w:cs="Arial" w:eastAsia="Arial" w:hAnsi="Arial"/>
                <w:sz w:val="17"/>
                <w:szCs w:val="17"/>
                <w:color w:val="auto"/>
              </w:rPr>
              <w:t>22,296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20,790</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Pr>
          <w:p>
            <w:pPr>
              <w:ind w:left="480"/>
              <w:spacing w:after="0"/>
              <w:rPr>
                <w:sz w:val="20"/>
                <w:szCs w:val="20"/>
                <w:color w:val="auto"/>
              </w:rPr>
            </w:pPr>
            <w:r>
              <w:rPr>
                <w:rFonts w:ascii="Arial" w:cs="Arial" w:eastAsia="Arial" w:hAnsi="Arial"/>
                <w:sz w:val="17"/>
                <w:szCs w:val="17"/>
                <w:color w:val="auto"/>
              </w:rPr>
              <w:t>1,506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360" w:firstLine="314"/>
        <w:spacing w:after="0" w:line="297" w:lineRule="auto"/>
        <w:rPr>
          <w:sz w:val="20"/>
          <w:szCs w:val="20"/>
          <w:color w:val="auto"/>
        </w:rPr>
      </w:pPr>
      <w:r>
        <w:rPr>
          <w:rFonts w:ascii="Arial" w:cs="Arial" w:eastAsia="Arial" w:hAnsi="Arial"/>
          <w:sz w:val="16"/>
          <w:szCs w:val="16"/>
          <w:color w:val="auto"/>
        </w:rPr>
        <w:t>The increase in Opex Amortization in the nine months ended September 30, 2022 compared to the nine months ended September 30, 2021 was primarily due to higher expense related to customer lists recorded in connection with the ECI Acquisition. Opex Amortization is not recorded on a straight-line basis; rather, it is recorded in relation to expected future cash flows. Accordingly, such expense may vary from one period to the next.</w:t>
      </w:r>
    </w:p>
    <w:p>
      <w:pPr>
        <w:spacing w:after="0" w:line="179" w:lineRule="exact"/>
        <w:rPr>
          <w:sz w:val="20"/>
          <w:szCs w:val="20"/>
          <w:color w:val="auto"/>
        </w:rPr>
      </w:pPr>
    </w:p>
    <w:p>
      <w:pPr>
        <w:jc w:val="both"/>
        <w:ind w:right="120" w:firstLine="314"/>
        <w:spacing w:after="0" w:line="267" w:lineRule="auto"/>
        <w:rPr>
          <w:sz w:val="20"/>
          <w:szCs w:val="20"/>
          <w:color w:val="auto"/>
        </w:rPr>
      </w:pPr>
      <w:r>
        <w:rPr>
          <w:rFonts w:ascii="Arial" w:cs="Arial" w:eastAsia="Arial" w:hAnsi="Arial"/>
          <w:sz w:val="17"/>
          <w:szCs w:val="17"/>
          <w:b w:val="1"/>
          <w:bCs w:val="1"/>
          <w:i w:val="1"/>
          <w:iCs w:val="1"/>
          <w:color w:val="auto"/>
        </w:rPr>
        <w:t xml:space="preserve">Acquisition-, Disposal- and Integration-Related. </w:t>
      </w:r>
      <w:r>
        <w:rPr>
          <w:rFonts w:ascii="Arial" w:cs="Arial" w:eastAsia="Arial" w:hAnsi="Arial"/>
          <w:sz w:val="17"/>
          <w:szCs w:val="17"/>
          <w:color w:val="auto"/>
        </w:rPr>
        <w:t>Acquisition-, disposal- and integration-related expenses include those expenses related to acquisitions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would otherwise not have incurred. Acquisition- and disposal-related expenses include professional and services fees, such as legal, audit, consulting, paying agent and other fees. Integration-related expenses represent incremental costs related to combining our systems and processes with those of acquired businesses, such as third-party consulting and other third-party services.</w:t>
      </w:r>
    </w:p>
    <w:p>
      <w:pPr>
        <w:spacing w:after="0" w:line="202" w:lineRule="exact"/>
        <w:rPr>
          <w:sz w:val="20"/>
          <w:szCs w:val="20"/>
          <w:color w:val="auto"/>
        </w:rPr>
      </w:pPr>
    </w:p>
    <w:p>
      <w:pPr>
        <w:ind w:right="160" w:firstLine="314"/>
        <w:spacing w:after="0" w:line="264" w:lineRule="auto"/>
        <w:rPr>
          <w:sz w:val="20"/>
          <w:szCs w:val="20"/>
          <w:color w:val="auto"/>
        </w:rPr>
      </w:pPr>
      <w:r>
        <w:rPr>
          <w:rFonts w:ascii="Arial" w:cs="Arial" w:eastAsia="Arial" w:hAnsi="Arial"/>
          <w:sz w:val="17"/>
          <w:szCs w:val="17"/>
          <w:color w:val="auto"/>
        </w:rPr>
        <w:t>Our acquisition-, disposal- and integration-related expenses were $1.0 million and $2.0 million in the three months ended September 30, 2022 and 2021, respectively, and $4.4 million and $4.2 million in the nine months ended September 30, 2022 and 2021, respectively. The amounts for the three and nine months ended September 30, 2022 primarily related to integration-related expenses. The amounts for the three and nine months ended September 30, 2021 were primarily incurred for integration-related expenses and professional and services fees in connection with the sale of our Kandy Communications business to American Cloud Technologies, Inc. ("AVCT") on December 1, 2020 (the "Kandy Sale").</w:t>
      </w:r>
    </w:p>
    <w:p>
      <w:pPr>
        <w:spacing w:after="0" w:line="140" w:lineRule="exact"/>
        <w:rPr>
          <w:sz w:val="20"/>
          <w:szCs w:val="20"/>
          <w:color w:val="auto"/>
        </w:rPr>
      </w:pPr>
    </w:p>
    <w:p>
      <w:pPr>
        <w:ind w:right="360" w:firstLine="314"/>
        <w:spacing w:after="0" w:line="272" w:lineRule="auto"/>
        <w:rPr>
          <w:sz w:val="20"/>
          <w:szCs w:val="20"/>
          <w:color w:val="auto"/>
        </w:rPr>
      </w:pPr>
      <w:r>
        <w:rPr>
          <w:rFonts w:ascii="Arial" w:cs="Arial" w:eastAsia="Arial" w:hAnsi="Arial"/>
          <w:sz w:val="17"/>
          <w:szCs w:val="17"/>
          <w:b w:val="1"/>
          <w:bCs w:val="1"/>
          <w:i w:val="1"/>
          <w:iCs w:val="1"/>
          <w:color w:val="auto"/>
        </w:rPr>
        <w:t xml:space="preserve">Restructuring and Related. </w:t>
      </w:r>
      <w:r>
        <w:rPr>
          <w:rFonts w:ascii="Arial" w:cs="Arial" w:eastAsia="Arial" w:hAnsi="Arial"/>
          <w:sz w:val="17"/>
          <w:szCs w:val="17"/>
          <w:color w:val="auto"/>
        </w:rPr>
        <w:t>We have been committed to streamlining our operations and reducing operating costs by closing and consolidating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and reducing our worldwide workforce. Please see the additional discussion of our restructuring initiatives in the "Restructuring and Cost Reduction Initiatives" section of the Overview of this MD&amp;A.</w:t>
      </w:r>
    </w:p>
    <w:p>
      <w:pPr>
        <w:spacing w:after="0" w:line="198" w:lineRule="exact"/>
        <w:rPr>
          <w:sz w:val="20"/>
          <w:szCs w:val="20"/>
          <w:color w:val="auto"/>
        </w:rPr>
      </w:pPr>
    </w:p>
    <w:p>
      <w:pPr>
        <w:ind w:right="280" w:firstLine="314"/>
        <w:spacing w:after="0" w:line="272" w:lineRule="auto"/>
        <w:rPr>
          <w:sz w:val="20"/>
          <w:szCs w:val="20"/>
          <w:color w:val="auto"/>
        </w:rPr>
      </w:pPr>
      <w:r>
        <w:rPr>
          <w:rFonts w:ascii="Arial" w:cs="Arial" w:eastAsia="Arial" w:hAnsi="Arial"/>
          <w:sz w:val="17"/>
          <w:szCs w:val="17"/>
          <w:color w:val="auto"/>
        </w:rPr>
        <w:t>We recorded restructuring and related expense of $1.3 million and $1.8 million in the three months ended September 30, 2022 and 2021, respectively, and $9.0 million and $10.5 million in the nine months ended September 30, 2022 and 2021, respectively. Although we have eliminated positions as part of our restructuring initiatives, we continue to hire in certain areas that we believe are important to our future growth.</w:t>
      </w:r>
    </w:p>
    <w:p>
      <w:pPr>
        <w:spacing w:after="0" w:line="198" w:lineRule="exact"/>
        <w:rPr>
          <w:sz w:val="20"/>
          <w:szCs w:val="20"/>
          <w:color w:val="auto"/>
        </w:rPr>
      </w:pPr>
    </w:p>
    <w:p>
      <w:pPr>
        <w:ind w:right="800" w:firstLine="314"/>
        <w:spacing w:after="0" w:line="288"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income and interest expense for the three and nine months ended September 30, 2022 and 2021 were as follows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thousands, except percentages):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w w:val="88"/>
              </w:rPr>
              <w:t>Increase (decrease)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ind w:left="600"/>
              <w:spacing w:after="0"/>
              <w:rPr>
                <w:sz w:val="20"/>
                <w:szCs w:val="20"/>
                <w:color w:val="auto"/>
              </w:rPr>
            </w:pPr>
            <w:r>
              <w:rPr>
                <w:rFonts w:ascii="Arial" w:cs="Arial" w:eastAsia="Arial" w:hAnsi="Arial"/>
                <w:sz w:val="14"/>
                <w:szCs w:val="14"/>
                <w:b w:val="1"/>
                <w:bCs w:val="1"/>
                <w:color w:val="auto"/>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60"/>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1,439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37.0 %</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2,297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77.4 %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6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87"/>
              </w:rPr>
              <w:t>Increase (decrease)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4"/>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center"/>
              <w:ind w:left="322"/>
              <w:spacing w:after="0"/>
              <w:rPr>
                <w:sz w:val="20"/>
                <w:szCs w:val="20"/>
                <w:color w:val="auto"/>
              </w:rPr>
            </w:pPr>
            <w:r>
              <w:rPr>
                <w:rFonts w:ascii="Arial" w:cs="Arial" w:eastAsia="Arial" w:hAnsi="Arial"/>
                <w:sz w:val="17"/>
                <w:szCs w:val="17"/>
                <w:color w:val="auto"/>
                <w:w w:val="92"/>
              </w:rPr>
              <w:t>(3,504)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322"/>
              <w:spacing w:after="0"/>
              <w:rPr>
                <w:sz w:val="20"/>
                <w:szCs w:val="20"/>
                <w:color w:val="auto"/>
              </w:rPr>
            </w:pPr>
            <w:r>
              <w:rPr>
                <w:rFonts w:ascii="Arial" w:cs="Arial" w:eastAsia="Arial" w:hAnsi="Arial"/>
                <w:sz w:val="17"/>
                <w:szCs w:val="17"/>
                <w:color w:val="auto"/>
                <w:w w:val="92"/>
              </w:rPr>
              <w:t>(1,471)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center"/>
              <w:ind w:left="342"/>
              <w:spacing w:after="0"/>
              <w:rPr>
                <w:sz w:val="20"/>
                <w:szCs w:val="20"/>
                <w:color w:val="auto"/>
              </w:rPr>
            </w:pPr>
            <w:r>
              <w:rPr>
                <w:rFonts w:ascii="Arial" w:cs="Arial" w:eastAsia="Arial" w:hAnsi="Arial"/>
                <w:sz w:val="17"/>
                <w:szCs w:val="17"/>
                <w:color w:val="auto"/>
                <w:w w:val="93"/>
              </w:rPr>
              <w:t>2,033</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20" w:firstLine="314"/>
        <w:spacing w:after="0" w:line="264" w:lineRule="auto"/>
        <w:rPr>
          <w:sz w:val="20"/>
          <w:szCs w:val="20"/>
          <w:color w:val="auto"/>
        </w:rPr>
      </w:pPr>
      <w:r>
        <w:rPr>
          <w:rFonts w:ascii="Arial" w:cs="Arial" w:eastAsia="Arial" w:hAnsi="Arial"/>
          <w:sz w:val="17"/>
          <w:szCs w:val="17"/>
          <w:color w:val="auto"/>
        </w:rPr>
        <w:t>We recorded nominal interest income in the three and nine months ended September 30, 2022. We received debentures (the "Debentures") and warrants in connection with the Kandy Sale. The Debentures bore interest at 10% per annum. We recorded $0.9 million and $3.6 million of interest income in the three and nine months ended September 30, 2021, respectively, which was added to the principal amount of the Debentures, and which is included in Interest expense, net, in our condensed consolidated statement of operations for those periods. The Debentures were converted to shares of AVCT common stock on September 8, 2021.</w:t>
      </w:r>
    </w:p>
    <w:p>
      <w:pPr>
        <w:spacing w:after="0" w:line="206" w:lineRule="exact"/>
        <w:rPr>
          <w:sz w:val="20"/>
          <w:szCs w:val="20"/>
          <w:color w:val="auto"/>
        </w:rPr>
      </w:pPr>
    </w:p>
    <w:p>
      <w:pPr>
        <w:ind w:right="80" w:firstLine="314"/>
        <w:spacing w:after="0" w:line="288" w:lineRule="auto"/>
        <w:rPr>
          <w:sz w:val="20"/>
          <w:szCs w:val="20"/>
          <w:color w:val="auto"/>
        </w:rPr>
      </w:pPr>
      <w:r>
        <w:rPr>
          <w:rFonts w:ascii="Arial" w:cs="Arial" w:eastAsia="Arial" w:hAnsi="Arial"/>
          <w:sz w:val="16"/>
          <w:szCs w:val="16"/>
          <w:color w:val="auto"/>
        </w:rPr>
        <w:t>Interest expense in the three and nine months ended September 30, 2022 primarily represented interest and debt issuance costs in connection with the 2020 Credit Facility (as defined below). Interest expense in the three and nine months ended September 30, 2021 was comprised of interest and debt issuance costs in connection with the 2020 Credit Facility, coupled with interest on finance leases. Interest expense in the nine months ended September 30, 2021 also included the write-off of $2.5 million of capitalized debt issuance costs in connection with the Third Amendment (as defined below).</w:t>
      </w:r>
    </w:p>
    <w:p>
      <w:pPr>
        <w:spacing w:after="0" w:line="188" w:lineRule="exact"/>
        <w:rPr>
          <w:sz w:val="20"/>
          <w:szCs w:val="20"/>
          <w:color w:val="auto"/>
        </w:rPr>
      </w:pPr>
    </w:p>
    <w:p>
      <w:pPr>
        <w:ind w:firstLine="314"/>
        <w:spacing w:after="0" w:line="264" w:lineRule="auto"/>
        <w:rPr>
          <w:sz w:val="20"/>
          <w:szCs w:val="20"/>
          <w:color w:val="auto"/>
        </w:rPr>
      </w:pPr>
      <w:r>
        <w:rPr>
          <w:rFonts w:ascii="Arial" w:cs="Arial" w:eastAsia="Arial" w:hAnsi="Arial"/>
          <w:sz w:val="17"/>
          <w:szCs w:val="17"/>
          <w:b w:val="1"/>
          <w:bCs w:val="1"/>
          <w:i w:val="1"/>
          <w:iCs w:val="1"/>
          <w:color w:val="auto"/>
        </w:rPr>
        <w:t>Other (Expense) Income, Net</w:t>
      </w:r>
      <w:r>
        <w:rPr>
          <w:rFonts w:ascii="Arial" w:cs="Arial" w:eastAsia="Arial" w:hAnsi="Arial"/>
          <w:sz w:val="17"/>
          <w:szCs w:val="17"/>
          <w:color w:val="auto"/>
        </w:rPr>
        <w:t>. We recorded other expense, net, aggregating $3.7 million and $57.7 million in the three months ended September 30,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2021, respectively, and other expense, net, aggregating $42.8 million and $66.0 million in the nine months ended September 30, 2022 and 2021, respectively. The primary component in all periods was losses from the change in the fair value of the AVCT Investment, which were $1.9 million and $56.5 million in the three months ended September 30, 2022 and 2021, respectively, and $41.3 million and $68.3 million in the nine months ended September 30, 2022 and 2021, respectively.</w:t>
      </w:r>
    </w:p>
    <w:p>
      <w:pPr>
        <w:spacing w:after="0" w:line="206" w:lineRule="exact"/>
        <w:rPr>
          <w:sz w:val="20"/>
          <w:szCs w:val="20"/>
          <w:color w:val="auto"/>
        </w:rPr>
      </w:pPr>
    </w:p>
    <w:p>
      <w:pPr>
        <w:ind w:right="40" w:firstLine="314"/>
        <w:spacing w:after="0" w:line="261"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income tax provisions of $12.4 million and $5.4 million in the nine months ended September 30, 2022 and 2021,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 The estimated effective tax rate includes the impact of valuation allowances in various jurisdictions. During the three months ended September 30, 2022, the Company recognized a tax benefit of $6.8M related to the release of a valuation allowance on the capital loss deferred tax asset related to its investment in AVCT. The Company generated a capital loss from the cancellation of the AVCT Debenture Shares and Warrants, which it concluded will be carried back to offset capital gains recognized in a prior tax year.</w:t>
      </w:r>
    </w:p>
    <w:p>
      <w:pPr>
        <w:spacing w:after="0" w:line="211" w:lineRule="exact"/>
        <w:rPr>
          <w:sz w:val="20"/>
          <w:szCs w:val="20"/>
          <w:color w:val="auto"/>
        </w:rPr>
      </w:pPr>
    </w:p>
    <w:p>
      <w:pPr>
        <w:jc w:val="both"/>
        <w:ind w:right="140" w:firstLine="314"/>
        <w:spacing w:after="0" w:line="267" w:lineRule="auto"/>
        <w:rPr>
          <w:sz w:val="20"/>
          <w:szCs w:val="20"/>
          <w:color w:val="auto"/>
        </w:rPr>
      </w:pPr>
      <w:r>
        <w:rPr>
          <w:rFonts w:ascii="Arial" w:cs="Arial" w:eastAsia="Arial" w:hAnsi="Arial"/>
          <w:sz w:val="17"/>
          <w:szCs w:val="17"/>
          <w:color w:val="auto"/>
        </w:rPr>
        <w:t>Beginning in 2022, the Tax Cuts and Jobs Act of 2017 (the "TCJA") eliminates the option to deduct research and development expenditures currently and requires taxpayers to amortize them over a minimum of five years pursuant to IRC Section 174. Although Congress is considering legislation that would defer the amortization requirement to later years, we have no assurance that the provision will be repealed or otherwise modified. If this provision of the TCJA is not repealed or otherwise modified, it will materially reduce our operating cash flows in 2022.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5" w:lineRule="exact"/>
        <w:rPr>
          <w:sz w:val="20"/>
          <w:szCs w:val="20"/>
          <w:color w:val="auto"/>
        </w:rPr>
      </w:pPr>
    </w:p>
    <w:p>
      <w:pPr>
        <w:ind w:right="40" w:firstLine="314"/>
        <w:spacing w:after="0" w:line="28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condensed consolidated statements of cash flows are summarized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ind w:left="6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60"/>
              <w:spacing w:after="0" w:line="124"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57"/>
              <w:spacing w:after="0" w:line="124"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7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(37,694)</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Adjustments to reconcile net loss to cash flows (used in) provided by operating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143,460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(47,311)</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34,644</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(50,361)</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80" w:type="dxa"/>
            <w:vAlign w:val="bottom"/>
          </w:tcPr>
          <w:p>
            <w:pPr>
              <w:ind w:left="20"/>
              <w:spacing w:after="0" w:line="194" w:lineRule="exact"/>
              <w:rPr>
                <w:sz w:val="20"/>
                <w:szCs w:val="20"/>
                <w:color w:val="auto"/>
              </w:rPr>
            </w:pPr>
            <w:r>
              <w:rPr>
                <w:rFonts w:ascii="Arial" w:cs="Arial" w:eastAsia="Arial" w:hAnsi="Arial"/>
                <w:sz w:val="17"/>
                <w:szCs w:val="17"/>
                <w:color w:val="auto"/>
              </w:rPr>
              <w:t>Net cash provided by (used in) financing activities</w:t>
            </w:r>
          </w:p>
        </w:tc>
        <w:tc>
          <w:tcPr>
            <w:tcW w:w="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6,207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(28,017)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34,224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right="280" w:firstLine="314"/>
        <w:spacing w:after="0" w:line="267" w:lineRule="auto"/>
        <w:rPr>
          <w:sz w:val="20"/>
          <w:szCs w:val="20"/>
          <w:color w:val="auto"/>
        </w:rPr>
      </w:pPr>
      <w:r>
        <w:rPr>
          <w:rFonts w:ascii="Arial" w:cs="Arial" w:eastAsia="Arial" w:hAnsi="Arial"/>
          <w:sz w:val="17"/>
          <w:szCs w:val="17"/>
          <w:color w:val="auto"/>
        </w:rPr>
        <w:t>Our cash and restricted cash aggregated $56 million at September 30, 2022 and $106 million at December 31, 2021. These amounts included cash and restricted cash aggregating $37 million at September 30, 2022 and $60 million at December 31, 2021 held by our non-U.S. subsidiaries. If we elected to repatriate all excess funds held by our non-U.S. subsidiaries as of September 30, 2022, we do not believe that the amounts of potential withholding taxes that would arise from the repatriation would have a material effect on our liquidity.</w:t>
      </w:r>
    </w:p>
    <w:p>
      <w:pPr>
        <w:spacing w:after="0" w:line="202" w:lineRule="exact"/>
        <w:rPr>
          <w:sz w:val="20"/>
          <w:szCs w:val="20"/>
          <w:color w:val="auto"/>
        </w:rPr>
      </w:pPr>
    </w:p>
    <w:p>
      <w:pPr>
        <w:ind w:right="180" w:firstLine="314"/>
        <w:spacing w:after="0" w:line="284" w:lineRule="auto"/>
        <w:rPr>
          <w:sz w:val="20"/>
          <w:szCs w:val="20"/>
          <w:color w:val="auto"/>
        </w:rPr>
      </w:pPr>
      <w:r>
        <w:rPr>
          <w:rFonts w:ascii="Arial" w:cs="Arial" w:eastAsia="Arial" w:hAnsi="Arial"/>
          <w:sz w:val="16"/>
          <w:szCs w:val="16"/>
          <w:color w:val="auto"/>
        </w:rPr>
        <w:t>We currently maintain the Senior Secured Credit Facilities Credit Agreement (as amended, the "2020 Credit Facility"), by and among us, as a guarantor, Ribbon Communications Operating Company, Inc., as the borrower ("Borrower"), Citizens Bank, N.A. ("Citizens"), as administrative agent, a lender, issuing lender, swingline lender, joint lead arranger and bookrunner, Santander Bank, N.A., as a lender, joint lead arranger and bookrunner, and the other lenders party thereto (each, together with Citizens Bank, N.A. and Santander Bank, N.A., referred to individually as a "Lender", and collectively, the "Lenders"). For additional details regarding the terms of the 2020 Credit Facility, see Note 9 to our condensed consolidated financial statements.</w:t>
      </w:r>
    </w:p>
    <w:p>
      <w:pPr>
        <w:spacing w:after="0" w:line="192" w:lineRule="exact"/>
        <w:rPr>
          <w:sz w:val="20"/>
          <w:szCs w:val="20"/>
          <w:color w:val="auto"/>
        </w:rPr>
      </w:pPr>
    </w:p>
    <w:p>
      <w:pPr>
        <w:ind w:right="40" w:firstLine="314"/>
        <w:spacing w:after="0" w:line="284" w:lineRule="auto"/>
        <w:rPr>
          <w:sz w:val="20"/>
          <w:szCs w:val="20"/>
          <w:color w:val="auto"/>
        </w:rPr>
      </w:pPr>
      <w:r>
        <w:rPr>
          <w:rFonts w:ascii="Arial" w:cs="Arial" w:eastAsia="Arial" w:hAnsi="Arial"/>
          <w:sz w:val="16"/>
          <w:szCs w:val="16"/>
          <w:color w:val="auto"/>
        </w:rPr>
        <w:t>On March 3, 2021 (the "Third Amendment Effective Date"), we entered into a Third Amendment to Credit Agreement (the "Third Amendment"), which further amended the 2020 Credit Facility. The Third Amendment provided for an incremental term loan facility to us in the original principal amount of $74.6 million, the proceeds of which were used on the Third Amendment Effective Date to consummate an open market purchase of all outstanding amounts under the Term B Loan. Upon the consummation of the open market purchase, the Term B Loans were assigned to the Borrower and immediately canceled, such that the outstanding amount under the Term A Loan and incremental term loan facility were combined and held by the Lenders (the "2020 Term Loan").</w:t>
      </w:r>
    </w:p>
    <w:p>
      <w:pPr>
        <w:spacing w:after="0" w:line="192" w:lineRule="exact"/>
        <w:rPr>
          <w:sz w:val="20"/>
          <w:szCs w:val="20"/>
          <w:color w:val="auto"/>
        </w:rPr>
      </w:pPr>
    </w:p>
    <w:p>
      <w:pPr>
        <w:ind w:right="280" w:firstLine="314"/>
        <w:spacing w:after="0" w:line="263" w:lineRule="auto"/>
        <w:rPr>
          <w:sz w:val="20"/>
          <w:szCs w:val="20"/>
          <w:color w:val="auto"/>
        </w:rPr>
      </w:pPr>
      <w:r>
        <w:rPr>
          <w:rFonts w:ascii="Arial" w:cs="Arial" w:eastAsia="Arial" w:hAnsi="Arial"/>
          <w:sz w:val="17"/>
          <w:szCs w:val="17"/>
          <w:color w:val="auto"/>
        </w:rPr>
        <w:t>On March 10, 2022, we entered into a Fourth Amendment to the 2020 Credit Facility (the "Fourth Amendment") to increase the Maximum Consolidated Net Leverage Ratio (as defined in the 2020 Credit Facility) to 4.25:1.00 for the first quarter of 2022 and 4.50:1.00 for the second quarter of 2022, with reductions in subsequent quarters through the third quarter of 2023, when the ratio will be fixed at 3.00:1.00. In connection with the Fourth Amendment, we made a $15.0 million prepayment that was applied to the final payment due on the maturity date. Subsequent to the Fourth Amendment, we were required to make quarterly principal payments on the 2020 Term Loan aggregating approximately $20 million per year for the next two years and $30 million in the following year, with the final payment approximating $285 million due on the maturity date.</w:t>
      </w:r>
    </w:p>
    <w:p>
      <w:pPr>
        <w:spacing w:after="0" w:line="205" w:lineRule="exact"/>
        <w:rPr>
          <w:sz w:val="20"/>
          <w:szCs w:val="20"/>
          <w:color w:val="auto"/>
        </w:rPr>
      </w:pPr>
    </w:p>
    <w:p>
      <w:pPr>
        <w:ind w:firstLine="314"/>
        <w:spacing w:after="0" w:line="278" w:lineRule="auto"/>
        <w:rPr>
          <w:sz w:val="20"/>
          <w:szCs w:val="20"/>
          <w:color w:val="auto"/>
        </w:rPr>
      </w:pPr>
      <w:r>
        <w:rPr>
          <w:rFonts w:ascii="Arial" w:cs="Arial" w:eastAsia="Arial" w:hAnsi="Arial"/>
          <w:sz w:val="16"/>
          <w:szCs w:val="16"/>
          <w:color w:val="auto"/>
        </w:rPr>
        <w:t>On June 30, 2022, we entered into a Fifth Amendment to the 2020 Credit Facility (the "Fifth Amendment") to increase the Maximum Consolidated Net Leverage Ratio (as defined in the 2020 Credit Facility) to 5.25:1.00 for the second quarter of 2022, 5.00:1.00 for the third quarter of 2022, and 4.75:1.00 for the fourth quarter of 2022. Also, the Fifth Amendment reduced the minimum Consolidated Fixed Charge Coverage Ratio (as defined in the 2020 Credit Facility) to 1.10:1.00 for the second, third and fourth quarters of 2022 and increased the maximum rate at which loans bear interest if our Consolidated Net Leverage Ratio for any quarter is greater than 4.50:1.00. Specifically, pursuant to the Fifth Amendment, loans incurred under the Senior Secured Credit Facilities bear interest, at our option, at either LIBOR plus a margin ranging from 1.50% to 4.50% per year, or the base rate (the highest of the Federal Funds Effective Rate (as defined in the Credit Agreement) plus 0.50%, or the prime rate announced from time to time in The Wall Street Journal) plus a margin ranging from 0.50% to 3.50% per year (such margins being referred to as the “Applicable Margin”). In addition, the Fifth Amendment allows us to incur junior secured or unsecured debt in an amount no less than $50 million, subject to certain conditions, including the requirement that 50% of the aggregate amount of such incurred debt (net of certain costs, fees and other amounts) must be applied to prepay the Senior Secured Credit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8" w:name="page49"/>
    <w:bookmarkEnd w:id="48"/>
    <w:p>
      <w:pPr>
        <w:ind w:right="100"/>
        <w:spacing w:after="0" w:line="267" w:lineRule="auto"/>
        <w:rPr>
          <w:sz w:val="20"/>
          <w:szCs w:val="20"/>
          <w:color w:val="auto"/>
        </w:rPr>
      </w:pPr>
      <w:r>
        <w:rPr>
          <w:rFonts w:ascii="Arial" w:cs="Arial" w:eastAsia="Arial" w:hAnsi="Arial"/>
          <w:sz w:val="17"/>
          <w:szCs w:val="17"/>
          <w:color w:val="auto"/>
        </w:rPr>
        <w:t>Facilities, and compliance with certain leverage ratio-based covenant exceptions. In connection with the Fifth Amendment, we made a $10.0 million voluntary prepayment that was applied to the final payment due on the maturity date. Subsequent to the Fifth Amendment, we are required to make quarterly principal payments on the 2020 Term Loan aggregating approximately $5.0 million per quarter through March 31, 2024 and $10.0 million in each of the three quarters thereafter, with the final payment approximating $275 million due on the maturity date in March 2025.</w:t>
      </w:r>
    </w:p>
    <w:p>
      <w:pPr>
        <w:spacing w:after="0" w:line="202" w:lineRule="exact"/>
        <w:rPr>
          <w:sz w:val="20"/>
          <w:szCs w:val="20"/>
          <w:color w:val="auto"/>
        </w:rPr>
      </w:pPr>
    </w:p>
    <w:p>
      <w:pPr>
        <w:jc w:val="both"/>
        <w:ind w:right="60" w:firstLine="314"/>
        <w:spacing w:after="0" w:line="272" w:lineRule="auto"/>
        <w:rPr>
          <w:sz w:val="20"/>
          <w:szCs w:val="20"/>
          <w:color w:val="auto"/>
        </w:rPr>
      </w:pPr>
      <w:r>
        <w:rPr>
          <w:rFonts w:ascii="Arial" w:cs="Arial" w:eastAsia="Arial" w:hAnsi="Arial"/>
          <w:sz w:val="17"/>
          <w:szCs w:val="17"/>
          <w:color w:val="auto"/>
        </w:rPr>
        <w:t>At September 30, 2022, we had an outstanding balance under the 2020 Term Loan of $335.5 million at an average interest rate of 5.4% and $3.3 million of letters of credit outstanding with an interest rate of 4.5%. We were in compliance with all covenants of the 2020 Credit Facility at both September 30, 2022 and December 31, 2021.</w:t>
      </w:r>
    </w:p>
    <w:p>
      <w:pPr>
        <w:spacing w:after="0" w:line="198" w:lineRule="exact"/>
        <w:rPr>
          <w:sz w:val="20"/>
          <w:szCs w:val="20"/>
          <w:color w:val="auto"/>
        </w:rPr>
      </w:pPr>
    </w:p>
    <w:p>
      <w:pPr>
        <w:ind w:firstLine="314"/>
        <w:spacing w:after="0" w:line="264" w:lineRule="auto"/>
        <w:rPr>
          <w:sz w:val="20"/>
          <w:szCs w:val="20"/>
          <w:color w:val="auto"/>
        </w:rPr>
      </w:pPr>
      <w:r>
        <w:rPr>
          <w:rFonts w:ascii="Arial" w:cs="Arial" w:eastAsia="Arial" w:hAnsi="Arial"/>
          <w:sz w:val="17"/>
          <w:szCs w:val="17"/>
          <w:color w:val="auto"/>
        </w:rPr>
        <w:t>We are exposed to financial market risk related to foreign currency fluctuations and changes in interest rates. These exposures are actively monitored by management. To manage the volatility related to the exposure to changes in interest rates, we have entered into a derivative financial instrument. Management's objective is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206" w:lineRule="exact"/>
        <w:rPr>
          <w:sz w:val="20"/>
          <w:szCs w:val="20"/>
          <w:color w:val="auto"/>
        </w:rPr>
      </w:pPr>
    </w:p>
    <w:p>
      <w:pPr>
        <w:ind w:right="80" w:firstLine="314"/>
        <w:spacing w:after="0" w:line="278" w:lineRule="auto"/>
        <w:rPr>
          <w:sz w:val="20"/>
          <w:szCs w:val="20"/>
          <w:color w:val="auto"/>
        </w:rPr>
      </w:pPr>
      <w:r>
        <w:rPr>
          <w:rFonts w:ascii="Arial" w:cs="Arial" w:eastAsia="Arial" w:hAnsi="Arial"/>
          <w:sz w:val="16"/>
          <w:szCs w:val="16"/>
          <w:color w:val="auto"/>
        </w:rPr>
        <w:t>As a result of exposure to interest rate movements, during March 2020, we entered into an interest rate swap arrangement, which effectively converted our $400 million term loan with its variable interest rate based upon one-month LIBOR to an aggregate fixed rate of 0.904%, plus a leverage-based margin as defined in the 2020 Credit Facility. On July 22, 2022, we sold $30 million of the notional amount of our interest rate swap back to our counterparty for</w:t>
      </w:r>
    </w:p>
    <w:p>
      <w:pPr>
        <w:spacing w:after="0" w:line="272" w:lineRule="auto"/>
        <w:rPr>
          <w:sz w:val="20"/>
          <w:szCs w:val="20"/>
          <w:color w:val="auto"/>
        </w:rPr>
      </w:pPr>
      <w:r>
        <w:rPr>
          <w:rFonts w:ascii="Arial" w:cs="Arial" w:eastAsia="Arial" w:hAnsi="Arial"/>
          <w:sz w:val="16"/>
          <w:szCs w:val="16"/>
          <w:color w:val="auto"/>
        </w:rPr>
        <w:t>$1.5 million, reducing the notional amount of this swap to $370 million. On August 16, 2022, we sold another $30 million of the notional amount of our interest rate swap back to our counterparty for $1.6 million, reducing the notional amount to $340 million, which approximates the current level of our term loan debt outstanding. The gain in accumulated other comprehensive (loss) income related to the $60 million notional amount sold of $3.1 million is being released into earnings on a straight line basis over the remaining term of the 2020 Credit Facility as a decrease to interest expense, the amortization of which totaled</w:t>
      </w:r>
    </w:p>
    <w:p>
      <w:pPr>
        <w:spacing w:after="0" w:line="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$0.2 million for the three and nine months ended September 30, 2022. The notional amount of this swap as of September 30, 2022 was $340 million, and the swap matures on March 3, 2025, the same date the 2020 Credit Facility matures.</w:t>
      </w:r>
    </w:p>
    <w:p>
      <w:pPr>
        <w:spacing w:after="0" w:line="197" w:lineRule="exact"/>
        <w:rPr>
          <w:sz w:val="20"/>
          <w:szCs w:val="20"/>
          <w:color w:val="auto"/>
        </w:rPr>
      </w:pPr>
    </w:p>
    <w:p>
      <w:pPr>
        <w:ind w:right="240" w:firstLine="314"/>
        <w:spacing w:after="0" w:line="267" w:lineRule="auto"/>
        <w:rPr>
          <w:sz w:val="20"/>
          <w:szCs w:val="20"/>
          <w:color w:val="auto"/>
        </w:rPr>
      </w:pPr>
      <w:r>
        <w:rPr>
          <w:rFonts w:ascii="Arial" w:cs="Arial" w:eastAsia="Arial" w:hAnsi="Arial"/>
          <w:sz w:val="17"/>
          <w:szCs w:val="17"/>
          <w:color w:val="auto"/>
        </w:rPr>
        <w:t>Our objectives in using interest rate derivatives are to add stability to interest expense and to manage our exposure to interest rate movements. To accomplish this objective, we are using an interest rate swap as part of our interest rate risk management strategy. Interest rate swaps designated as cash flow hedges involve the receipt of variable amounts from a counterparty in exchange for making fixed-rate payments over the life of the agreements without exchange of the underlying notional amount.</w:t>
      </w:r>
    </w:p>
    <w:p>
      <w:pPr>
        <w:spacing w:after="0" w:line="202" w:lineRule="exact"/>
        <w:rPr>
          <w:sz w:val="20"/>
          <w:szCs w:val="20"/>
          <w:color w:val="auto"/>
        </w:rPr>
      </w:pPr>
    </w:p>
    <w:p>
      <w:pPr>
        <w:ind w:firstLine="314"/>
        <w:spacing w:after="0" w:line="284" w:lineRule="auto"/>
        <w:rPr>
          <w:sz w:val="20"/>
          <w:szCs w:val="20"/>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in the condensed consolidated balance sheet and is subsequently reclassified into earnings in the period that the hedged forecasted transactions affect earnings. During the three and nine months ended September 30, 2022 and 2021, such a derivative was used to hedge the variable cash flows associated with the 2020 Credit Facility. Any ineffective portion of the change in fair value of the derivative would be recognized directly in earnings. However, during the three and nine months ended September 30, 2022 and 2021, we recorded no hedge ineffectiveness.</w:t>
      </w:r>
    </w:p>
    <w:p>
      <w:pPr>
        <w:spacing w:after="0" w:line="192" w:lineRule="exact"/>
        <w:rPr>
          <w:sz w:val="20"/>
          <w:szCs w:val="20"/>
          <w:color w:val="auto"/>
        </w:rPr>
      </w:pPr>
    </w:p>
    <w:p>
      <w:pPr>
        <w:ind w:right="40" w:firstLine="314"/>
        <w:spacing w:after="0" w:line="272" w:lineRule="auto"/>
        <w:rPr>
          <w:sz w:val="20"/>
          <w:szCs w:val="20"/>
          <w:color w:val="auto"/>
        </w:rPr>
      </w:pPr>
      <w:r>
        <w:rPr>
          <w:rFonts w:ascii="Arial" w:cs="Arial" w:eastAsia="Arial" w:hAnsi="Arial"/>
          <w:sz w:val="17"/>
          <w:szCs w:val="17"/>
          <w:color w:val="auto"/>
        </w:rPr>
        <w:t>Amounts reported in accumulated other comprehensive income related to our derivative will be reclassified to interest expense as interest is accrued on our variable-rate debt. Based upon projected forward rates, we estimate as of September 30, 2022 that $11 million may be reclassified as a decrease to interest expense over the next 12 months.</w:t>
      </w:r>
    </w:p>
    <w:p>
      <w:pPr>
        <w:spacing w:after="0" w:line="198" w:lineRule="exact"/>
        <w:rPr>
          <w:sz w:val="20"/>
          <w:szCs w:val="20"/>
          <w:color w:val="auto"/>
        </w:rPr>
      </w:pPr>
    </w:p>
    <w:p>
      <w:pPr>
        <w:ind w:right="120" w:firstLine="314"/>
        <w:spacing w:after="0" w:line="282" w:lineRule="auto"/>
        <w:rPr>
          <w:sz w:val="20"/>
          <w:szCs w:val="20"/>
          <w:color w:val="auto"/>
        </w:rPr>
      </w:pPr>
      <w:r>
        <w:rPr>
          <w:rFonts w:ascii="Arial" w:cs="Arial" w:eastAsia="Arial" w:hAnsi="Arial"/>
          <w:sz w:val="16"/>
          <w:szCs w:val="16"/>
          <w:color w:val="auto"/>
        </w:rPr>
        <w:t>We use letters of credit, performance and bid bonds in the course of our business. At September 30, 2022, we had letters of credit, bank guarantees, and performance and bid bonds outstanding (collectively, "Guarantees") aggregating $9.5 million, comprised of the $3.3 million of letters of credit under the 2020 Credit Facility described above (the "Letters of Credit") and $6.3 million of bank guarantees and performance and bid bonds (collectively, the "Other Guarantees") under various uncommitted facilities. At December 31, 2021, we had $30.1 million of Guarantees, comprised of $4.3 million of Letters of Credit and $25.8 million of Other Guarantees. At September 30, 2022 and December 31, 2021, the Company had cash collateral of $0.3 million and $2.6 million, respectively, supporting the Guarantees, which is reported as Restricted cash in our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49" w:lineRule="exact"/>
        <w:rPr>
          <w:sz w:val="20"/>
          <w:szCs w:val="20"/>
          <w:color w:val="auto"/>
        </w:rPr>
      </w:pPr>
    </w:p>
    <w:p>
      <w:pPr>
        <w:ind w:right="80" w:firstLine="314"/>
        <w:spacing w:after="0" w:line="288" w:lineRule="auto"/>
        <w:rPr>
          <w:sz w:val="20"/>
          <w:szCs w:val="20"/>
          <w:color w:val="auto"/>
        </w:rPr>
      </w:pPr>
      <w:r>
        <w:rPr>
          <w:rFonts w:ascii="Arial" w:cs="Arial" w:eastAsia="Arial" w:hAnsi="Arial"/>
          <w:sz w:val="17"/>
          <w:szCs w:val="17"/>
          <w:color w:val="auto"/>
        </w:rPr>
        <w:t>Our primary source of cash from operating activities has been from cash collections from our customers. We expect cash flows from operating activities to be affected by increases and decreases in sales volumes and timing of collections, and by</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49" w:name="page50"/>
    <w:bookmarkEnd w:id="49"/>
    <w:p>
      <w:pPr>
        <w:ind w:right="180"/>
        <w:spacing w:after="0" w:line="267" w:lineRule="auto"/>
        <w:rPr>
          <w:sz w:val="20"/>
          <w:szCs w:val="20"/>
          <w:color w:val="auto"/>
        </w:rPr>
      </w:pPr>
      <w:r>
        <w:rPr>
          <w:rFonts w:ascii="Arial" w:cs="Arial" w:eastAsia="Arial" w:hAnsi="Arial"/>
          <w:sz w:val="17"/>
          <w:szCs w:val="17"/>
          <w:color w:val="auto"/>
        </w:rPr>
        <w:t>purchases and shipments of inventory. Our primary uses of cash for operating activities have been for personnel costs and investment in our research and development and in our sales and marketing, and general and administrative departments. In addition, as a result of the supply chain disruptions over the past year, the company has invested in increased inventory levels in order to meet customer demand and to ensure availability of strategic material and components over the long-term horizon.</w:t>
      </w:r>
    </w:p>
    <w:p>
      <w:pPr>
        <w:spacing w:after="0" w:line="202" w:lineRule="exact"/>
        <w:rPr>
          <w:sz w:val="20"/>
          <w:szCs w:val="20"/>
          <w:color w:val="auto"/>
        </w:rPr>
      </w:pPr>
    </w:p>
    <w:p>
      <w:pPr>
        <w:ind w:right="40" w:firstLine="314"/>
        <w:spacing w:after="0" w:line="267" w:lineRule="auto"/>
        <w:rPr>
          <w:sz w:val="20"/>
          <w:szCs w:val="20"/>
          <w:color w:val="auto"/>
        </w:rPr>
      </w:pPr>
      <w:r>
        <w:rPr>
          <w:rFonts w:ascii="Arial" w:cs="Arial" w:eastAsia="Arial" w:hAnsi="Arial"/>
          <w:sz w:val="17"/>
          <w:szCs w:val="17"/>
          <w:color w:val="auto"/>
        </w:rPr>
        <w:t>Cash used in operating activities in the nine months ended September 30, 2022 was $42.5 million, primarily resulting from our net loss, higher inventory, and lower accounts payable, accrued expenses and deferred revenue. These amounts were partially offset by certain non-cash expenses, such as amortization of intangible assets, the decrease in the fair value of the AVCT Investment, stock-based compensation, depreciation and amortization of property and equipment, as well as lower accounts receivable.</w:t>
      </w:r>
    </w:p>
    <w:p>
      <w:pPr>
        <w:spacing w:after="0" w:line="202" w:lineRule="exact"/>
        <w:rPr>
          <w:sz w:val="20"/>
          <w:szCs w:val="20"/>
          <w:color w:val="auto"/>
        </w:rPr>
      </w:pPr>
    </w:p>
    <w:p>
      <w:pPr>
        <w:ind w:right="20" w:firstLine="314"/>
        <w:spacing w:after="0" w:line="261" w:lineRule="auto"/>
        <w:rPr>
          <w:sz w:val="20"/>
          <w:szCs w:val="20"/>
          <w:color w:val="auto"/>
        </w:rPr>
      </w:pPr>
      <w:r>
        <w:rPr>
          <w:rFonts w:ascii="Arial" w:cs="Arial" w:eastAsia="Arial" w:hAnsi="Arial"/>
          <w:sz w:val="17"/>
          <w:szCs w:val="17"/>
          <w:color w:val="auto"/>
        </w:rPr>
        <w:t>Our operating activities provided $7.9 million of cash in the nine months ended September 30, 2021, resulting from our net non-cash adjustments of $143.5 million, which was offset by our net loss of $80.9 million and net cash used in changes in our operating assets and liabilities of $54.7 million. The net cash used in changes in our operating assets and liabilities was primarily attributable to a $58.7 million decrease in accrued expenses and other long-term liabilities and an $11.7 million decrease in deferred revenue. These amounts were offset by lower operating assets of $11.3 million, higher accounts payable of $2.2 million and $1.9 million of lower accounts receivable. The decrease in accrued expenses and other long-term liabilities was primarily due to the cash payments related to our employee cash bonus program, facilities, professional fees and royalties. Our lower accounts receivable and deferred revenue reflected typical mid-year seasonality.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investing activities used $13.0 million of cash in the nine months ended September 30, 2022 to purchase property and equipment and software licenses.</w:t>
      </w:r>
    </w:p>
    <w:p>
      <w:pPr>
        <w:spacing w:after="0" w:line="272" w:lineRule="exact"/>
        <w:rPr>
          <w:sz w:val="20"/>
          <w:szCs w:val="20"/>
          <w:color w:val="auto"/>
        </w:rPr>
      </w:pPr>
    </w:p>
    <w:p>
      <w:pPr>
        <w:jc w:val="both"/>
        <w:ind w:right="400" w:firstLine="314"/>
        <w:spacing w:after="0" w:line="297" w:lineRule="auto"/>
        <w:rPr>
          <w:sz w:val="20"/>
          <w:szCs w:val="20"/>
          <w:color w:val="auto"/>
        </w:rPr>
      </w:pPr>
      <w:r>
        <w:rPr>
          <w:rFonts w:ascii="Arial" w:cs="Arial" w:eastAsia="Arial" w:hAnsi="Arial"/>
          <w:sz w:val="16"/>
          <w:szCs w:val="16"/>
          <w:color w:val="auto"/>
        </w:rPr>
        <w:t>Our investing activities used $11.3 million of cash in the nine months ended September 30, 2021, comprised of $14.3 million to purchase property and equipment, partially offset by $3.0 million of proceeds from the sale of our QualiTech business, which operates compliance testing laboratories in Israel for reliability and standardization testing for the high-tech industry, including testing in medical equipment, military equipment and vehicles.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249" w:lineRule="exact"/>
        <w:rPr>
          <w:sz w:val="20"/>
          <w:szCs w:val="20"/>
          <w:color w:val="auto"/>
        </w:rPr>
      </w:pPr>
    </w:p>
    <w:p>
      <w:pPr>
        <w:ind w:firstLine="314"/>
        <w:spacing w:after="0" w:line="264" w:lineRule="auto"/>
        <w:rPr>
          <w:sz w:val="20"/>
          <w:szCs w:val="20"/>
          <w:color w:val="auto"/>
        </w:rPr>
      </w:pPr>
      <w:r>
        <w:rPr>
          <w:rFonts w:ascii="Arial" w:cs="Arial" w:eastAsia="Arial" w:hAnsi="Arial"/>
          <w:sz w:val="17"/>
          <w:szCs w:val="17"/>
          <w:color w:val="auto"/>
        </w:rPr>
        <w:t>Our financing activities provided $6.2 million of cash in the nine months ended September 30, 2022, primarily due to $50.4 million of net proceeds from the Equity Offering, partially offset by $40.0 million of principal payments on the 2020 Credit Facility, including the voluntary $15.0 million incremental principal payment in connection with the Fourth Amendment and voluntary $10.0 million incremental principal payment in connection with the Fifth Amendment, and $2.7 million for the payment of tax withholding obligations related to the net share settlements of restricted stock awards upon vesting. Payments of debt issuance costs and principal payments of finance leases together totaled approximately $1.5 million.</w:t>
      </w:r>
    </w:p>
    <w:p>
      <w:pPr>
        <w:spacing w:after="0" w:line="206" w:lineRule="exact"/>
        <w:rPr>
          <w:sz w:val="20"/>
          <w:szCs w:val="20"/>
          <w:color w:val="auto"/>
        </w:rPr>
      </w:pPr>
    </w:p>
    <w:p>
      <w:pPr>
        <w:ind w:right="340" w:firstLine="314"/>
        <w:spacing w:after="0" w:line="284" w:lineRule="auto"/>
        <w:rPr>
          <w:sz w:val="20"/>
          <w:szCs w:val="20"/>
          <w:color w:val="auto"/>
        </w:rPr>
      </w:pPr>
      <w:r>
        <w:rPr>
          <w:rFonts w:ascii="Arial" w:cs="Arial" w:eastAsia="Arial" w:hAnsi="Arial"/>
          <w:sz w:val="16"/>
          <w:szCs w:val="16"/>
          <w:color w:val="auto"/>
        </w:rPr>
        <w:t>Our financing activities used $28.0 million of cash in the nine months ended September 30, 2021. We received $74.6 million of proceeds from the incremental loan obtained in connection with the Third Amendment, which amount was used to consummate an open market purchase of all outstanding amounts under the Term B Loan. In addition, we used $14.0 million for the payment of tax withholding obligations related to the net share settlement of restricted stock awards upon vesting, $87.2 million of principal payments of term debt, including the $74.6 million payoff of the Term B Loan in connection with the Third Amendment, and $1.0 million each of payments of debt issuance costs and principal payments of finance leases.</w:t>
      </w:r>
    </w:p>
    <w:p>
      <w:pPr>
        <w:spacing w:after="0" w:line="192" w:lineRule="exact"/>
        <w:rPr>
          <w:sz w:val="20"/>
          <w:szCs w:val="20"/>
          <w:color w:val="auto"/>
        </w:rPr>
      </w:pPr>
    </w:p>
    <w:p>
      <w:pPr>
        <w:ind w:right="40" w:firstLine="314"/>
        <w:spacing w:after="0" w:line="313" w:lineRule="auto"/>
        <w:rPr>
          <w:sz w:val="20"/>
          <w:szCs w:val="20"/>
          <w:color w:val="auto"/>
        </w:rPr>
      </w:pPr>
      <w:r>
        <w:rPr>
          <w:rFonts w:ascii="Arial" w:cs="Arial" w:eastAsia="Arial" w:hAnsi="Arial"/>
          <w:sz w:val="15"/>
          <w:szCs w:val="15"/>
          <w:color w:val="auto"/>
        </w:rPr>
        <w:t>Under the 2020 Credit Facility, we are required to maintain compliance with certain financial covenants. In the second quarter of 2022, although we were in compliance with our financial covenants, we projected that we may not maintain compliance with our financial covenants under the 2020 Credit Facility for the quarter ended September 30, 2022 due to the impact of market conditions, including supply chain disruptions, higher costs, and other geopolitical instabilities and disputes. Failure to remain in compliance would be an event of default that would permit the Lenders to accelerate the maturity of the 2020 Credit Facility.</w:t>
      </w:r>
    </w:p>
    <w:p>
      <w:pPr>
        <w:spacing w:after="0" w:line="159" w:lineRule="exact"/>
        <w:rPr>
          <w:sz w:val="20"/>
          <w:szCs w:val="20"/>
          <w:color w:val="auto"/>
        </w:rPr>
      </w:pPr>
    </w:p>
    <w:p>
      <w:pPr>
        <w:ind w:right="120" w:firstLine="314"/>
        <w:spacing w:after="0" w:line="251" w:lineRule="auto"/>
        <w:rPr>
          <w:sz w:val="20"/>
          <w:szCs w:val="20"/>
          <w:color w:val="auto"/>
        </w:rPr>
      </w:pPr>
      <w:r>
        <w:rPr>
          <w:rFonts w:ascii="Arial" w:cs="Arial" w:eastAsia="Arial" w:hAnsi="Arial"/>
          <w:sz w:val="17"/>
          <w:szCs w:val="17"/>
          <w:color w:val="auto"/>
        </w:rPr>
        <w:t>Under the terms of the 2020 Credit Facility, we are allowed, subject to certain limitations, to use a portion of the capital raised in the Equity Offering in the calculation of the covenant ratios for the quarter in which the Equity Offering was completed (quarter ended September 30, 2022) and for future calculation of the covenant ratios for which the third quarter of 2022 is included in the trailing twelve month period. As a result, the Company currently projects that it will remain in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compliance with its financial covenants for at least one year from the date the condensed consolidated financial statements are issued.</w:t>
      </w:r>
    </w:p>
    <w:p>
      <w:pPr>
        <w:spacing w:after="0" w:line="249" w:lineRule="exact"/>
        <w:rPr>
          <w:sz w:val="20"/>
          <w:szCs w:val="20"/>
          <w:color w:val="auto"/>
        </w:rPr>
      </w:pPr>
    </w:p>
    <w:p>
      <w:pPr>
        <w:ind w:right="40" w:firstLine="314"/>
        <w:spacing w:after="0" w:line="296" w:lineRule="auto"/>
        <w:rPr>
          <w:sz w:val="20"/>
          <w:szCs w:val="20"/>
          <w:color w:val="auto"/>
        </w:rPr>
      </w:pPr>
      <w:r>
        <w:rPr>
          <w:rFonts w:ascii="Arial" w:cs="Arial" w:eastAsia="Arial" w:hAnsi="Arial"/>
          <w:sz w:val="15"/>
          <w:szCs w:val="15"/>
          <w:color w:val="auto"/>
        </w:rPr>
        <w:t>Based on our current expectations, we believe our current cash and available borrowings under the 2020 Credit Facility will be sufficient to meet our anticipated cash needs for working capital and capital expenditures for at least twelve months. The rate at which we consume cash is dependent on the cash needs of our future operations, including our contractual obligations at September 30, 2022, primarily comprised of our debt principal and interest obligations as described above, and our operating lease and purchase obligations. Our operating lease obligations totaled $77.5 million at September 30, 2022, with payments aggregating $4.8 million in the remainder of 2022, $18.3 million in 2023, $15.4 million in 2024 and $39.0 million thereafter. Estimated payments for purchase obligations for the full year 2022 aggregate approximately $139 million. We anticipate devoting substantial capital resources to continue our research and development efforts, maintain our sales, support and marketing, complete acquisition-related integration activities and for other general corporate activities. We further believe that our financial resources, along with managing discretionary expenses, will allow us to manage the anticipated impact of the COVID-19 pandemic on our business operations. Looking ahead, we have developed contingency plans to reduce costs further if the situation deteriorates. The challenges posed by the COVID-19 pandemic on our business continue to evolve rapidly. Consequently, we continue to evaluate our financial position in light of future developments, particularly those relating to the COVID-19 pandemic. However, it is difficult to predict future liquidity requirements with certainty, and our cash and available borrowings under the 2020 Credit Facility may not be sufficient to meet our future needs, which would require us to refinance our debt and/or obtain additional financing. We may not be able to refinance our debt or obtain additional financing on favorable terms or at all.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5" w:lineRule="exact"/>
        <w:rPr>
          <w:sz w:val="20"/>
          <w:szCs w:val="20"/>
          <w:color w:val="auto"/>
        </w:rPr>
      </w:pPr>
    </w:p>
    <w:p>
      <w:pPr>
        <w:ind w:firstLine="314"/>
        <w:spacing w:after="0" w:line="261" w:lineRule="auto"/>
        <w:rPr>
          <w:sz w:val="20"/>
          <w:szCs w:val="20"/>
          <w:color w:val="auto"/>
        </w:rPr>
      </w:pPr>
      <w:r>
        <w:rPr>
          <w:rFonts w:ascii="Arial" w:cs="Arial" w:eastAsia="Arial" w:hAnsi="Arial"/>
          <w:sz w:val="17"/>
          <w:szCs w:val="17"/>
          <w:color w:val="auto"/>
        </w:rPr>
        <w:t xml:space="preserve">In March 2022, the Financial Accounting Standards Board (the "FASB") issued ASU 2022-02, </w:t>
      </w:r>
      <w:r>
        <w:rPr>
          <w:rFonts w:ascii="Arial" w:cs="Arial" w:eastAsia="Arial" w:hAnsi="Arial"/>
          <w:sz w:val="17"/>
          <w:szCs w:val="17"/>
          <w:i w:val="1"/>
          <w:iCs w:val="1"/>
          <w:color w:val="auto"/>
        </w:rPr>
        <w:t>Financial Instruments – Credit Losses (Topic 326): Troubled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Restructurings and Vintage Disclosures </w:t>
      </w:r>
      <w:r>
        <w:rPr>
          <w:rFonts w:ascii="Arial" w:cs="Arial" w:eastAsia="Arial" w:hAnsi="Arial"/>
          <w:sz w:val="17"/>
          <w:szCs w:val="17"/>
          <w:color w:val="auto"/>
        </w:rPr>
        <w:t>(“ASU 2022-02”), which eliminates the accounting guidance on troubled debt restructurings ("TDRs")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creditors in ASC 310, </w:t>
      </w:r>
      <w:r>
        <w:rPr>
          <w:rFonts w:ascii="Arial" w:cs="Arial" w:eastAsia="Arial" w:hAnsi="Arial"/>
          <w:sz w:val="17"/>
          <w:szCs w:val="17"/>
          <w:i w:val="1"/>
          <w:iCs w:val="1"/>
          <w:color w:val="auto"/>
        </w:rPr>
        <w:t>Receivables (Topic 310)</w:t>
      </w:r>
      <w:r>
        <w:rPr>
          <w:rFonts w:ascii="Arial" w:cs="Arial" w:eastAsia="Arial" w:hAnsi="Arial"/>
          <w:sz w:val="17"/>
          <w:szCs w:val="17"/>
          <w:color w:val="auto"/>
        </w:rPr>
        <w:t xml:space="preserve">, and requires entities to provide disclosures about current period gross write-offs by year of origination. Also, ASU 2022-02 updates the requirements related to accounting for credit losses under ASC 326,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and adds enhanced disclosures for creditors with respect to loan refinancings and restructurings for borrowers experiencing financial difficulty. ASU 2022-02 is effective for the Company January 1, 2023, with early adoption permitted. The Company believes that the adoption of ASU 2022-02 will not have a material impact on its consolidated financial statements upon adoption.</w:t>
      </w:r>
    </w:p>
    <w:p>
      <w:pPr>
        <w:spacing w:after="0" w:line="211" w:lineRule="exact"/>
        <w:rPr>
          <w:sz w:val="20"/>
          <w:szCs w:val="20"/>
          <w:color w:val="auto"/>
        </w:rPr>
      </w:pPr>
    </w:p>
    <w:p>
      <w:pPr>
        <w:ind w:right="80" w:firstLine="314"/>
        <w:spacing w:after="0" w:line="295"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("ASU 2021-08"), which amends ASC 805,</w:t>
      </w:r>
      <w:r>
        <w:rPr>
          <w:rFonts w:ascii="Arial" w:cs="Arial" w:eastAsia="Arial" w:hAnsi="Arial"/>
          <w:sz w:val="15"/>
          <w:szCs w:val="15"/>
          <w:i w:val="1"/>
          <w:iCs w:val="1"/>
          <w:color w:val="auto"/>
        </w:rPr>
        <w:t xml:space="preserve"> Business Combinations (Topic 805)</w:t>
      </w:r>
      <w:r>
        <w:rPr>
          <w:rFonts w:ascii="Arial" w:cs="Arial" w:eastAsia="Arial" w:hAnsi="Arial"/>
          <w:sz w:val="15"/>
          <w:szCs w:val="15"/>
          <w:color w:val="auto"/>
        </w:rPr>
        <w:t>, to add contract assets and contract liabilities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list of exceptions to the recognition and measurement principles that apply to business combinations and to require that an acquiring entity recognize and measure contract assets and contract liabilities acquired in a business combination in accordance with ASC 606, </w:t>
      </w:r>
      <w:r>
        <w:rPr>
          <w:rFonts w:ascii="Arial" w:cs="Arial" w:eastAsia="Arial" w:hAnsi="Arial"/>
          <w:sz w:val="15"/>
          <w:szCs w:val="15"/>
          <w:i w:val="1"/>
          <w:iCs w:val="1"/>
          <w:color w:val="auto"/>
        </w:rPr>
        <w:t>Revenue from Contracts with Customers (Topic</w:t>
      </w:r>
    </w:p>
    <w:p>
      <w:pPr>
        <w:ind w:firstLine="5"/>
        <w:spacing w:after="0" w:line="260" w:lineRule="auto"/>
        <w:tabs>
          <w:tab w:leader="none" w:pos="363"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 xml:space="preserve">("ASC 606"). Under current GAAP, an acquirer generally recognizes such items at fair value on the acquisition date. While primarily related to contract assets and contract liabilities that were accounted for by the acquiree in accordance with ASC 606, ASU 2021-08 also applies to contract assets and contract liabilities from other contracts to which the provisions of ASC 606 apply, such as contract liabilities from the sale of nonfinancial assets within the scope of ASU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ASU 2021-08 is effective for us January 1, 2023, with early adoption permitted. We believe that the adoption of ASU 2021-08 could have a material impact on our consolidated financial statements for periods including and subsequent to significant business acquisitions.</w:t>
      </w:r>
    </w:p>
    <w:p>
      <w:pPr>
        <w:spacing w:after="0" w:line="207" w:lineRule="exact"/>
        <w:rPr>
          <w:sz w:val="20"/>
          <w:szCs w:val="20"/>
          <w:color w:val="auto"/>
        </w:rPr>
      </w:pPr>
    </w:p>
    <w:p>
      <w:pPr>
        <w:ind w:right="80" w:firstLine="314"/>
        <w:spacing w:after="0" w:line="280" w:lineRule="auto"/>
        <w:rPr>
          <w:sz w:val="20"/>
          <w:szCs w:val="20"/>
          <w:color w:val="auto"/>
        </w:rPr>
      </w:pPr>
      <w:r>
        <w:rPr>
          <w:rFonts w:ascii="Arial" w:cs="Arial" w:eastAsia="Arial" w:hAnsi="Arial"/>
          <w:sz w:val="16"/>
          <w:szCs w:val="16"/>
          <w:color w:val="auto"/>
        </w:rPr>
        <w:t xml:space="preserve">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("ASU 2021-01"), which refines the scope of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and clarifies some of its guidance as part of the FASB's monitoring of global reference rate reform activities. ASU 2021-01 permits</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to elect certain optional expedients and exceptions when accounting for derivative contracts and certain hedging relationships affected by changes in the interest rates used for discounting cash flows, for computing variation margin settlements, and for calculating price alignment interest in connection with reference rate reform activities under way in global financial markets (the "discounting transition"). ASU 2021-01 is effective for us prospectively in any period through December 31, 2022 that a modification is made to the terms of the derivatives affected by the discounting transition. The adoption of ASU 2021-01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1" w:name="page52"/>
    <w:bookmarkEnd w:id="51"/>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5" w:lineRule="exact"/>
        <w:rPr>
          <w:sz w:val="20"/>
          <w:szCs w:val="20"/>
          <w:color w:val="auto"/>
        </w:rPr>
      </w:pPr>
    </w:p>
    <w:p>
      <w:pPr>
        <w:jc w:val="both"/>
        <w:ind w:right="20" w:firstLine="314"/>
        <w:spacing w:after="0" w:line="272" w:lineRule="auto"/>
        <w:rPr>
          <w:sz w:val="20"/>
          <w:szCs w:val="20"/>
          <w:color w:val="auto"/>
        </w:rPr>
      </w:pPr>
      <w:r>
        <w:rPr>
          <w:rFonts w:ascii="Arial" w:cs="Arial" w:eastAsia="Arial" w:hAnsi="Arial"/>
          <w:sz w:val="17"/>
          <w:szCs w:val="17"/>
          <w:color w:val="auto"/>
        </w:rPr>
        <w:t>We are exposed to financial market risk related to foreign currency fluctuations and changes in interest rates. Except as presented below, there have been no material changes in market risk from the information provided in Item 7A. Quantitative and Qualitative Disclosures About Market Risk of our Annual Report on Form 10-K, for the year ended December 31, 2021.</w:t>
      </w:r>
    </w:p>
    <w:p>
      <w:pPr>
        <w:spacing w:after="0" w:line="198" w:lineRule="exact"/>
        <w:rPr>
          <w:sz w:val="20"/>
          <w:szCs w:val="20"/>
          <w:color w:val="auto"/>
        </w:rPr>
      </w:pPr>
    </w:p>
    <w:p>
      <w:pPr>
        <w:ind w:right="140" w:firstLine="314"/>
        <w:spacing w:after="0" w:line="267" w:lineRule="auto"/>
        <w:rPr>
          <w:sz w:val="20"/>
          <w:szCs w:val="20"/>
          <w:color w:val="auto"/>
        </w:rPr>
      </w:pPr>
      <w:r>
        <w:rPr>
          <w:rFonts w:ascii="Arial" w:cs="Arial" w:eastAsia="Arial" w:hAnsi="Arial"/>
          <w:sz w:val="17"/>
          <w:szCs w:val="17"/>
          <w:color w:val="auto"/>
        </w:rPr>
        <w:t>To manage the volatility related to the exposure to changes in interest rates, we have entered into a derivative financial instrument. Our objective is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202" w:lineRule="exact"/>
        <w:rPr>
          <w:sz w:val="20"/>
          <w:szCs w:val="20"/>
          <w:color w:val="auto"/>
        </w:rPr>
      </w:pPr>
    </w:p>
    <w:p>
      <w:pPr>
        <w:jc w:val="both"/>
        <w:ind w:right="80" w:firstLine="314"/>
        <w:spacing w:after="0" w:line="297" w:lineRule="auto"/>
        <w:rPr>
          <w:sz w:val="20"/>
          <w:szCs w:val="20"/>
          <w:color w:val="auto"/>
        </w:rPr>
      </w:pPr>
      <w:r>
        <w:rPr>
          <w:rFonts w:ascii="Arial" w:cs="Arial" w:eastAsia="Arial" w:hAnsi="Arial"/>
          <w:sz w:val="16"/>
          <w:szCs w:val="16"/>
          <w:color w:val="auto"/>
        </w:rPr>
        <w:t>Amounts reported in accumulated other comprehensive income (loss) related to our derivative will be reclassified to interest expense as interest is accrued on our variable-rate debt. The fair value of our derivative was an asset of $26.3 million at September 30, 2022. Based upon projected forward rates, we estimate as of September 30, 2022 that $11.0 million may be reclassified as an decrease to interest expense over the next twelve months.</w:t>
      </w:r>
    </w:p>
    <w:p>
      <w:pPr>
        <w:spacing w:after="0" w:line="200" w:lineRule="exact"/>
        <w:rPr>
          <w:sz w:val="20"/>
          <w:szCs w:val="20"/>
          <w:color w:val="auto"/>
        </w:rPr>
      </w:pP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55" w:lineRule="exact"/>
        <w:rPr>
          <w:sz w:val="20"/>
          <w:szCs w:val="20"/>
          <w:color w:val="auto"/>
        </w:rPr>
      </w:pPr>
    </w:p>
    <w:p>
      <w:pPr>
        <w:ind w:firstLine="314"/>
        <w:spacing w:after="0" w:line="288" w:lineRule="auto"/>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principal executive officer and principal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September 30, 2022.</w:t>
      </w:r>
    </w:p>
    <w:p>
      <w:pPr>
        <w:spacing w:after="0" w:line="188" w:lineRule="exact"/>
        <w:rPr>
          <w:sz w:val="20"/>
          <w:szCs w:val="20"/>
          <w:color w:val="auto"/>
        </w:rPr>
      </w:pPr>
    </w:p>
    <w:p>
      <w:pPr>
        <w:ind w:right="40" w:firstLine="314"/>
        <w:spacing w:after="0" w:line="272" w:lineRule="auto"/>
        <w:rPr>
          <w:sz w:val="20"/>
          <w:szCs w:val="20"/>
          <w:color w:val="auto"/>
        </w:rPr>
      </w:pPr>
      <w:r>
        <w:rPr>
          <w:rFonts w:ascii="Arial" w:cs="Arial" w:eastAsia="Arial" w:hAnsi="Arial"/>
          <w:sz w:val="17"/>
          <w:szCs w:val="17"/>
          <w:i w:val="1"/>
          <w:iCs w:val="1"/>
          <w:color w:val="auto"/>
        </w:rPr>
        <w:t>Changes in Internal Control over Financial Reporting</w:t>
      </w:r>
      <w:r>
        <w:rPr>
          <w:rFonts w:ascii="Arial" w:cs="Arial" w:eastAsia="Arial" w:hAnsi="Arial"/>
          <w:sz w:val="17"/>
          <w:szCs w:val="17"/>
          <w:color w:val="auto"/>
        </w:rPr>
        <w:t>. There have been no changes in our internal control over financial reporting (as defined in Rules 13a-15(f) and 15d-15(f) under the Exchange Act) during the fiscal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PART II OTHER INFORMATION</w:t>
      </w:r>
    </w:p>
    <w:p>
      <w:pPr>
        <w:spacing w:after="0" w:line="24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5" w:lineRule="exact"/>
        <w:rPr>
          <w:sz w:val="20"/>
          <w:szCs w:val="20"/>
          <w:color w:val="auto"/>
        </w:rPr>
      </w:pPr>
    </w:p>
    <w:p>
      <w:pPr>
        <w:ind w:right="160" w:firstLine="314"/>
        <w:spacing w:after="0" w:line="272" w:lineRule="auto"/>
        <w:rPr>
          <w:sz w:val="20"/>
          <w:szCs w:val="20"/>
          <w:color w:val="auto"/>
        </w:rPr>
      </w:pPr>
      <w:r>
        <w:rPr>
          <w:rFonts w:ascii="Arial" w:cs="Arial" w:eastAsia="Arial" w:hAnsi="Arial"/>
          <w:sz w:val="17"/>
          <w:szCs w:val="17"/>
          <w:color w:val="auto"/>
        </w:rPr>
        <w:t>We are subject to legal proceedings and claims that have not been fully resolved and that have arisen in the ordinary course of business. Our material legal proceedings as described in Part I, Item 1 of this Form 10-Q in the notes to the condensed consolidated financial statements in Note 17, "Commitments and Contingencies," under the heading "Litigation."</w:t>
      </w:r>
    </w:p>
    <w:p>
      <w:pPr>
        <w:spacing w:after="0" w:line="198" w:lineRule="exact"/>
        <w:rPr>
          <w:sz w:val="20"/>
          <w:szCs w:val="20"/>
          <w:color w:val="auto"/>
        </w:rPr>
      </w:pPr>
    </w:p>
    <w:p>
      <w:pPr>
        <w:ind w:right="180" w:firstLine="314"/>
        <w:spacing w:after="0" w:line="267" w:lineRule="auto"/>
        <w:rPr>
          <w:sz w:val="20"/>
          <w:szCs w:val="20"/>
          <w:color w:val="auto"/>
        </w:rPr>
      </w:pPr>
      <w:r>
        <w:rPr>
          <w:rFonts w:ascii="Arial" w:cs="Arial" w:eastAsia="Arial" w:hAnsi="Arial"/>
          <w:sz w:val="17"/>
          <w:szCs w:val="17"/>
          <w:color w:val="auto"/>
        </w:rPr>
        <w:t>The outcome of litigation is inherently uncertain. If one or more legal matters were resolved against the Company in a reporting period for amounts above management's expectations, our financial condition and operating results for that reporting period could be materially adversely affected. We settled certain matters during the nine months ended September 30, 2022 that did not individually or in the aggregate have a material impact on our financial condition or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2" w:lineRule="exact"/>
        <w:rPr>
          <w:sz w:val="20"/>
          <w:szCs w:val="20"/>
          <w:color w:val="auto"/>
        </w:rPr>
      </w:pPr>
    </w:p>
    <w:p>
      <w:pPr>
        <w:ind w:right="60" w:firstLine="314"/>
        <w:spacing w:after="0" w:line="264" w:lineRule="auto"/>
        <w:rPr>
          <w:sz w:val="20"/>
          <w:szCs w:val="20"/>
          <w:color w:val="auto"/>
        </w:rPr>
      </w:pPr>
      <w:r>
        <w:rPr>
          <w:rFonts w:ascii="Arial" w:cs="Arial" w:eastAsia="Arial" w:hAnsi="Arial"/>
          <w:sz w:val="17"/>
          <w:szCs w:val="17"/>
          <w:color w:val="auto"/>
        </w:rPr>
        <w:t>Our business faces significant risks and uncertainties, which may have a material adverse effect on our business prospects, financial condition and results of operations, and you should carefully consider them. There have been no material changes in the nine months ended September 30, 2022 to the risk factors described in Part I, Item 1A. of our Annual Report on Form 10-K for the year ended December 31, 2021.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 Issuer Purchases of Equity Securities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with respect to the shares of common stock repurchased by us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Approximate Dollar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Shares 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3"/>
              <w:spacing w:after="0" w:line="144" w:lineRule="exact"/>
              <w:rPr>
                <w:sz w:val="20"/>
                <w:szCs w:val="20"/>
                <w:color w:val="auto"/>
              </w:rPr>
            </w:pPr>
            <w:r>
              <w:rPr>
                <w:rFonts w:ascii="Arial" w:cs="Arial" w:eastAsia="Arial" w:hAnsi="Arial"/>
                <w:sz w:val="14"/>
                <w:szCs w:val="14"/>
                <w:b w:val="1"/>
                <w:bCs w:val="1"/>
                <w:color w:val="auto"/>
              </w:rPr>
              <w:t>May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as Part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w w:val="86"/>
              </w:rPr>
              <w:t>Yet be Purchased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3"/>
              </w:rPr>
              <w:t>Publicly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3"/>
              <w:spacing w:after="0" w:line="140"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1"/>
              </w:rPr>
              <w:t>Price Paid</w:t>
            </w: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Announced Plans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3"/>
              <w:spacing w:after="0" w:line="144"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gridSpan w:val="2"/>
            <w:vMerge w:val="continue"/>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Purchased (1)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89"/>
              </w:rPr>
              <w:t>per Share</w:t>
            </w: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or Programs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3"/>
              <w:spacing w:after="0" w:line="144"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1, 2022 to July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7"/>
                <w:szCs w:val="17"/>
                <w:color w:val="auto"/>
              </w:rPr>
              <w:t>August 1, 2022 to August 31, 2022</w:t>
            </w:r>
          </w:p>
        </w:tc>
        <w:tc>
          <w:tcPr>
            <w:tcW w:w="1360" w:type="dxa"/>
            <w:vAlign w:val="bottom"/>
          </w:tcPr>
          <w:p>
            <w:pPr>
              <w:jc w:val="right"/>
              <w:spacing w:after="0"/>
              <w:rPr>
                <w:sz w:val="20"/>
                <w:szCs w:val="20"/>
                <w:color w:val="auto"/>
              </w:rPr>
            </w:pPr>
            <w:r>
              <w:rPr>
                <w:rFonts w:ascii="Arial" w:cs="Arial" w:eastAsia="Arial" w:hAnsi="Arial"/>
                <w:sz w:val="17"/>
                <w:szCs w:val="17"/>
                <w:color w:val="auto"/>
              </w:rPr>
              <w:t>1,643</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3.33</w:t>
            </w:r>
          </w:p>
        </w:tc>
        <w:tc>
          <w:tcPr>
            <w:tcW w:w="140" w:type="dxa"/>
            <w:vAlign w:val="bottom"/>
          </w:tcPr>
          <w:p>
            <w:pPr>
              <w:spacing w:after="0"/>
              <w:rPr>
                <w:sz w:val="19"/>
                <w:szCs w:val="19"/>
                <w:color w:val="auto"/>
              </w:rPr>
            </w:pPr>
          </w:p>
        </w:tc>
        <w:tc>
          <w:tcPr>
            <w:tcW w:w="1360" w:type="dxa"/>
            <w:vAlign w:val="bottom"/>
          </w:tcPr>
          <w:p>
            <w:pPr>
              <w:ind w:left="112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1, 2022 to September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234,043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4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242,434</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3.03</w:t>
            </w:r>
          </w:p>
        </w:tc>
        <w:tc>
          <w:tcPr>
            <w:tcW w:w="140" w:type="dxa"/>
            <w:vAlign w:val="bottom"/>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300" w:firstLine="5"/>
        <w:spacing w:after="0" w:line="297" w:lineRule="auto"/>
        <w:tabs>
          <w:tab w:leader="none" w:pos="2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vesting of restricted stock awards, certain of our employees surrender to us a portion of the newly vested shares of common stock to satisfy the tax withholding obligations that arise in connection with such vesting. During the third quarter of 2022, 242,434 shares of restricted stock were returned to us by employees to satisfy tax withholding obligations arising in connection with vesting of restricted stock, which shares are included in this column.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7"/>
        </w:trPr>
        <w:tc>
          <w:tcPr>
            <w:tcW w:w="1720" w:type="dxa"/>
            <w:vAlign w:val="bottom"/>
            <w:gridSpan w:val="5"/>
          </w:tcPr>
          <w:p>
            <w:pPr>
              <w:jc w:val="right"/>
              <w:ind w:right="313"/>
              <w:spacing w:after="0"/>
              <w:rPr>
                <w:sz w:val="20"/>
                <w:szCs w:val="20"/>
                <w:color w:val="auto"/>
              </w:rPr>
            </w:pPr>
            <w:r>
              <w:rPr>
                <w:rFonts w:ascii="Arial" w:cs="Arial" w:eastAsia="Arial" w:hAnsi="Arial"/>
                <w:sz w:val="17"/>
                <w:szCs w:val="17"/>
                <w:b w:val="1"/>
                <w:bCs w:val="1"/>
                <w:color w:val="auto"/>
              </w:rPr>
              <w:t>Item 6.  Exhibits</w:t>
            </w:r>
          </w:p>
        </w:tc>
        <w:tc>
          <w:tcPr>
            <w:tcW w:w="9460" w:type="dxa"/>
            <w:vAlign w:val="bottom"/>
          </w:tcPr>
          <w:p>
            <w:pPr>
              <w:spacing w:after="0"/>
              <w:rPr>
                <w:sz w:val="19"/>
                <w:szCs w:val="19"/>
                <w:color w:val="auto"/>
              </w:rPr>
            </w:pPr>
          </w:p>
        </w:tc>
      </w:tr>
      <w:tr>
        <w:trPr>
          <w:trHeight w:val="379"/>
        </w:trPr>
        <w:tc>
          <w:tcPr>
            <w:tcW w:w="180" w:type="dxa"/>
            <w:vAlign w:val="bottom"/>
          </w:tcPr>
          <w:p>
            <w:pPr>
              <w:spacing w:after="0"/>
              <w:rPr>
                <w:sz w:val="24"/>
                <w:szCs w:val="24"/>
                <w:color w:val="auto"/>
              </w:rPr>
            </w:pPr>
          </w:p>
        </w:tc>
        <w:tc>
          <w:tcPr>
            <w:tcW w:w="1540" w:type="dxa"/>
            <w:vAlign w:val="bottom"/>
            <w:gridSpan w:val="4"/>
          </w:tcPr>
          <w:p>
            <w:pPr>
              <w:jc w:val="right"/>
              <w:ind w:right="393"/>
              <w:spacing w:after="0"/>
              <w:rPr>
                <w:sz w:val="20"/>
                <w:szCs w:val="20"/>
                <w:color w:val="auto"/>
              </w:rPr>
            </w:pPr>
            <w:r>
              <w:rPr>
                <w:rFonts w:ascii="Arial" w:cs="Arial" w:eastAsia="Arial" w:hAnsi="Arial"/>
                <w:sz w:val="17"/>
                <w:szCs w:val="17"/>
                <w:b w:val="1"/>
                <w:bCs w:val="1"/>
                <w:color w:val="auto"/>
              </w:rPr>
              <w:t>Exhibit No.</w:t>
            </w:r>
          </w:p>
        </w:tc>
        <w:tc>
          <w:tcPr>
            <w:tcW w:w="9460" w:type="dxa"/>
            <w:vAlign w:val="bottom"/>
          </w:tcPr>
          <w:p>
            <w:pPr>
              <w:ind w:left="4340"/>
              <w:spacing w:after="0"/>
              <w:rPr>
                <w:sz w:val="20"/>
                <w:szCs w:val="20"/>
                <w:color w:val="auto"/>
              </w:rPr>
            </w:pPr>
            <w:r>
              <w:rPr>
                <w:rFonts w:ascii="Arial" w:cs="Arial" w:eastAsia="Arial" w:hAnsi="Arial"/>
                <w:sz w:val="17"/>
                <w:szCs w:val="17"/>
                <w:b w:val="1"/>
                <w:bCs w:val="1"/>
                <w:color w:val="auto"/>
              </w:rPr>
              <w:t>Description</w:t>
            </w:r>
          </w:p>
        </w:tc>
      </w:tr>
      <w:tr>
        <w:trPr>
          <w:trHeight w:val="183"/>
        </w:trPr>
        <w:tc>
          <w:tcPr>
            <w:tcW w:w="180" w:type="dxa"/>
            <w:vAlign w:val="bottom"/>
          </w:tcPr>
          <w:p>
            <w:pPr>
              <w:spacing w:after="0"/>
              <w:rPr>
                <w:sz w:val="15"/>
                <w:szCs w:val="15"/>
                <w:color w:val="auto"/>
              </w:rPr>
            </w:pPr>
          </w:p>
        </w:tc>
        <w:tc>
          <w:tcPr>
            <w:tcW w:w="820" w:type="dxa"/>
            <w:vAlign w:val="bottom"/>
            <w:gridSpan w:val="3"/>
          </w:tcPr>
          <w:p>
            <w:pPr>
              <w:jc w:val="right"/>
              <w:spacing w:after="0" w:line="183" w:lineRule="exact"/>
              <w:rPr>
                <w:rFonts w:ascii="Arial" w:cs="Arial" w:eastAsia="Arial" w:hAnsi="Arial"/>
                <w:sz w:val="17"/>
                <w:szCs w:val="17"/>
                <w:color w:val="0000FF"/>
              </w:rPr>
            </w:pPr>
            <w:hyperlink r:id="rId78">
              <w:r>
                <w:rPr>
                  <w:rFonts w:ascii="Arial" w:cs="Arial" w:eastAsia="Arial" w:hAnsi="Arial"/>
                  <w:sz w:val="17"/>
                  <w:szCs w:val="17"/>
                  <w:color w:val="0000FF"/>
                </w:rPr>
                <w:t>2.</w:t>
              </w:r>
              <w:r>
                <w:rPr>
                  <w:rFonts w:ascii="Arial" w:cs="Arial" w:eastAsia="Arial" w:hAnsi="Arial"/>
                  <w:sz w:val="17"/>
                  <w:szCs w:val="17"/>
                  <w:u w:val="single" w:color="auto"/>
                  <w:color w:val="0000FF"/>
                </w:rPr>
                <w:t>1</w:t>
              </w:r>
            </w:hyperlink>
          </w:p>
        </w:tc>
        <w:tc>
          <w:tcPr>
            <w:tcW w:w="720" w:type="dxa"/>
            <w:vAlign w:val="bottom"/>
          </w:tcPr>
          <w:p>
            <w:pPr>
              <w:spacing w:after="0"/>
              <w:rPr>
                <w:sz w:val="15"/>
                <w:szCs w:val="15"/>
                <w:color w:val="auto"/>
              </w:rPr>
            </w:pPr>
          </w:p>
        </w:tc>
        <w:tc>
          <w:tcPr>
            <w:tcW w:w="9460" w:type="dxa"/>
            <w:vAlign w:val="bottom"/>
          </w:tcPr>
          <w:p>
            <w:pPr>
              <w:ind w:left="60"/>
              <w:spacing w:after="0" w:line="183" w:lineRule="exact"/>
              <w:rPr>
                <w:sz w:val="20"/>
                <w:szCs w:val="20"/>
                <w:color w:val="auto"/>
              </w:rPr>
            </w:pPr>
            <w:r>
              <w:rPr>
                <w:rFonts w:ascii="Arial" w:cs="Arial" w:eastAsia="Arial" w:hAnsi="Arial"/>
                <w:sz w:val="17"/>
                <w:szCs w:val="17"/>
                <w:color w:val="auto"/>
                <w:w w:val="95"/>
              </w:rPr>
              <w:t>Agreement and Plan of Merger, dated as of November 14, 2019, by and among the Registrant, Ribbon Communications Israel Ltd.,</w:t>
            </w:r>
          </w:p>
        </w:tc>
      </w:tr>
      <w:tr>
        <w:trPr>
          <w:trHeight w:val="151"/>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9460" w:type="dxa"/>
            <w:vAlign w:val="bottom"/>
          </w:tcPr>
          <w:p>
            <w:pPr>
              <w:ind w:left="60"/>
              <w:spacing w:after="0" w:line="150" w:lineRule="exact"/>
              <w:rPr>
                <w:sz w:val="20"/>
                <w:szCs w:val="20"/>
                <w:color w:val="auto"/>
              </w:rPr>
            </w:pPr>
            <w:r>
              <w:rPr>
                <w:rFonts w:ascii="Arial" w:cs="Arial" w:eastAsia="Arial" w:hAnsi="Arial"/>
                <w:sz w:val="17"/>
                <w:szCs w:val="17"/>
                <w:color w:val="auto"/>
                <w:w w:val="96"/>
              </w:rPr>
              <w:t>Eclipse Communications Ltd., ECI Telecom Group Ltd. and ECI Holding (Hungary) Korlátolt Felelősségű Társág (incorporated by</w:t>
            </w:r>
          </w:p>
        </w:tc>
      </w:tr>
      <w:tr>
        <w:trPr>
          <w:trHeight w:val="221"/>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rPr>
              <w:t>reference to Exhibit 2.1 to the Registrant's Current Report on Form 8-K, filed November 14, 2019 with the SEC).</w:t>
            </w:r>
          </w:p>
        </w:tc>
      </w:tr>
      <w:tr>
        <w:trPr>
          <w:trHeight w:val="183"/>
        </w:trPr>
        <w:tc>
          <w:tcPr>
            <w:tcW w:w="180" w:type="dxa"/>
            <w:vAlign w:val="bottom"/>
          </w:tcPr>
          <w:p>
            <w:pPr>
              <w:spacing w:after="0"/>
              <w:rPr>
                <w:sz w:val="15"/>
                <w:szCs w:val="15"/>
                <w:color w:val="auto"/>
              </w:rPr>
            </w:pPr>
          </w:p>
        </w:tc>
        <w:tc>
          <w:tcPr>
            <w:tcW w:w="820" w:type="dxa"/>
            <w:vAlign w:val="bottom"/>
            <w:gridSpan w:val="3"/>
          </w:tcPr>
          <w:p>
            <w:pPr>
              <w:jc w:val="right"/>
              <w:spacing w:after="0" w:line="183" w:lineRule="exact"/>
              <w:rPr>
                <w:rFonts w:ascii="Arial" w:cs="Arial" w:eastAsia="Arial" w:hAnsi="Arial"/>
                <w:sz w:val="17"/>
                <w:szCs w:val="17"/>
                <w:color w:val="0000FF"/>
              </w:rPr>
            </w:pPr>
            <w:hyperlink r:id="rId79">
              <w:r>
                <w:rPr>
                  <w:rFonts w:ascii="Arial" w:cs="Arial" w:eastAsia="Arial" w:hAnsi="Arial"/>
                  <w:sz w:val="17"/>
                  <w:szCs w:val="17"/>
                  <w:color w:val="0000FF"/>
                </w:rPr>
                <w:t>2.</w:t>
              </w:r>
              <w:r>
                <w:rPr>
                  <w:rFonts w:ascii="Arial" w:cs="Arial" w:eastAsia="Arial" w:hAnsi="Arial"/>
                  <w:sz w:val="17"/>
                  <w:szCs w:val="17"/>
                  <w:u w:val="single" w:color="auto"/>
                  <w:color w:val="0000FF"/>
                </w:rPr>
                <w:t>2</w:t>
              </w:r>
            </w:hyperlink>
          </w:p>
        </w:tc>
        <w:tc>
          <w:tcPr>
            <w:tcW w:w="720" w:type="dxa"/>
            <w:vAlign w:val="bottom"/>
          </w:tcPr>
          <w:p>
            <w:pPr>
              <w:spacing w:after="0"/>
              <w:rPr>
                <w:sz w:val="15"/>
                <w:szCs w:val="15"/>
                <w:color w:val="auto"/>
              </w:rPr>
            </w:pPr>
          </w:p>
        </w:tc>
        <w:tc>
          <w:tcPr>
            <w:tcW w:w="9460" w:type="dxa"/>
            <w:vAlign w:val="bottom"/>
          </w:tcPr>
          <w:p>
            <w:pPr>
              <w:ind w:left="60"/>
              <w:spacing w:after="0" w:line="183" w:lineRule="exact"/>
              <w:rPr>
                <w:sz w:val="20"/>
                <w:szCs w:val="20"/>
                <w:color w:val="auto"/>
              </w:rPr>
            </w:pPr>
            <w:r>
              <w:rPr>
                <w:rFonts w:ascii="Arial" w:cs="Arial" w:eastAsia="Arial" w:hAnsi="Arial"/>
                <w:sz w:val="17"/>
                <w:szCs w:val="17"/>
                <w:color w:val="auto"/>
                <w:w w:val="92"/>
              </w:rPr>
              <w:t>Amended and Restated Purchase Agreement, dated December 1, 2020, among Ribbon Communications Inc., Ribbon Communications</w:t>
            </w:r>
          </w:p>
        </w:tc>
      </w:tr>
      <w:tr>
        <w:trPr>
          <w:trHeight w:val="151"/>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9460" w:type="dxa"/>
            <w:vAlign w:val="bottom"/>
          </w:tcPr>
          <w:p>
            <w:pPr>
              <w:ind w:left="60"/>
              <w:spacing w:after="0" w:line="150" w:lineRule="exact"/>
              <w:rPr>
                <w:sz w:val="20"/>
                <w:szCs w:val="20"/>
                <w:color w:val="auto"/>
              </w:rPr>
            </w:pPr>
            <w:r>
              <w:rPr>
                <w:rFonts w:ascii="Arial" w:cs="Arial" w:eastAsia="Arial" w:hAnsi="Arial"/>
                <w:sz w:val="17"/>
                <w:szCs w:val="17"/>
                <w:color w:val="auto"/>
              </w:rPr>
              <w:t>Operating Company, Inc., Ribbon Communications International Limited and American Virtual Cloud Technologies, Inc.</w:t>
            </w:r>
          </w:p>
        </w:tc>
      </w:tr>
      <w:tr>
        <w:trPr>
          <w:trHeight w:val="221"/>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w w:val="97"/>
              </w:rPr>
              <w:t>(incorporated by reference to Exhibit 2.1 to the Registrant's Current Report on Form 8-K, filed December 7, 2020 with the SEC).</w:t>
            </w:r>
          </w:p>
        </w:tc>
      </w:tr>
      <w:tr>
        <w:trPr>
          <w:trHeight w:val="183"/>
        </w:trPr>
        <w:tc>
          <w:tcPr>
            <w:tcW w:w="180" w:type="dxa"/>
            <w:vAlign w:val="bottom"/>
          </w:tcPr>
          <w:p>
            <w:pPr>
              <w:spacing w:after="0"/>
              <w:rPr>
                <w:sz w:val="15"/>
                <w:szCs w:val="15"/>
                <w:color w:val="auto"/>
              </w:rPr>
            </w:pPr>
          </w:p>
        </w:tc>
        <w:tc>
          <w:tcPr>
            <w:tcW w:w="820" w:type="dxa"/>
            <w:vAlign w:val="bottom"/>
            <w:gridSpan w:val="3"/>
          </w:tcPr>
          <w:p>
            <w:pPr>
              <w:jc w:val="right"/>
              <w:spacing w:after="0" w:line="183" w:lineRule="exact"/>
              <w:rPr>
                <w:rFonts w:ascii="Arial" w:cs="Arial" w:eastAsia="Arial" w:hAnsi="Arial"/>
                <w:sz w:val="17"/>
                <w:szCs w:val="17"/>
                <w:color w:val="0000FF"/>
              </w:rPr>
            </w:pPr>
            <w:hyperlink r:id="rId80">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720" w:type="dxa"/>
            <w:vAlign w:val="bottom"/>
          </w:tcPr>
          <w:p>
            <w:pPr>
              <w:spacing w:after="0"/>
              <w:rPr>
                <w:sz w:val="15"/>
                <w:szCs w:val="15"/>
                <w:color w:val="auto"/>
              </w:rPr>
            </w:pPr>
          </w:p>
        </w:tc>
        <w:tc>
          <w:tcPr>
            <w:tcW w:w="9460" w:type="dxa"/>
            <w:vAlign w:val="bottom"/>
          </w:tcPr>
          <w:p>
            <w:pPr>
              <w:ind w:left="60"/>
              <w:spacing w:after="0" w:line="183" w:lineRule="exact"/>
              <w:rPr>
                <w:sz w:val="20"/>
                <w:szCs w:val="20"/>
                <w:color w:val="auto"/>
              </w:rPr>
            </w:pPr>
            <w:r>
              <w:rPr>
                <w:rFonts w:ascii="Arial" w:cs="Arial" w:eastAsia="Arial" w:hAnsi="Arial"/>
                <w:sz w:val="17"/>
                <w:szCs w:val="17"/>
                <w:color w:val="auto"/>
                <w:w w:val="94"/>
              </w:rPr>
              <w:t>Restated Certificate of Incorporation of the Registrant (incorporated by reference to Exhibit 3.2 to the Registrant's Current Report on</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rPr>
              <w:t>Form 8-K12B, filed October 30, 2017 with the SEC).</w:t>
            </w:r>
          </w:p>
        </w:tc>
      </w:tr>
      <w:tr>
        <w:trPr>
          <w:trHeight w:val="183"/>
        </w:trPr>
        <w:tc>
          <w:tcPr>
            <w:tcW w:w="180" w:type="dxa"/>
            <w:vAlign w:val="bottom"/>
          </w:tcPr>
          <w:p>
            <w:pPr>
              <w:spacing w:after="0"/>
              <w:rPr>
                <w:sz w:val="15"/>
                <w:szCs w:val="15"/>
                <w:color w:val="auto"/>
              </w:rPr>
            </w:pPr>
          </w:p>
        </w:tc>
        <w:tc>
          <w:tcPr>
            <w:tcW w:w="820" w:type="dxa"/>
            <w:vAlign w:val="bottom"/>
            <w:gridSpan w:val="3"/>
          </w:tcPr>
          <w:p>
            <w:pPr>
              <w:jc w:val="right"/>
              <w:spacing w:after="0" w:line="183" w:lineRule="exact"/>
              <w:rPr>
                <w:rFonts w:ascii="Arial" w:cs="Arial" w:eastAsia="Arial" w:hAnsi="Arial"/>
                <w:sz w:val="17"/>
                <w:szCs w:val="17"/>
                <w:color w:val="0000FF"/>
              </w:rPr>
            </w:pPr>
            <w:hyperlink r:id="rId81">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720" w:type="dxa"/>
            <w:vAlign w:val="bottom"/>
          </w:tcPr>
          <w:p>
            <w:pPr>
              <w:spacing w:after="0"/>
              <w:rPr>
                <w:sz w:val="15"/>
                <w:szCs w:val="15"/>
                <w:color w:val="auto"/>
              </w:rPr>
            </w:pPr>
          </w:p>
        </w:tc>
        <w:tc>
          <w:tcPr>
            <w:tcW w:w="9460" w:type="dxa"/>
            <w:vAlign w:val="bottom"/>
          </w:tcPr>
          <w:p>
            <w:pPr>
              <w:ind w:left="60"/>
              <w:spacing w:after="0" w:line="183" w:lineRule="exact"/>
              <w:rPr>
                <w:sz w:val="20"/>
                <w:szCs w:val="20"/>
                <w:color w:val="auto"/>
              </w:rPr>
            </w:pPr>
            <w:r>
              <w:rPr>
                <w:rFonts w:ascii="Arial" w:cs="Arial" w:eastAsia="Arial" w:hAnsi="Arial"/>
                <w:sz w:val="17"/>
                <w:szCs w:val="17"/>
                <w:color w:val="auto"/>
                <w:w w:val="93"/>
              </w:rPr>
              <w:t>Certificate of Amendment of the Restated Certificate of Incorporation of the Registrant (incorporated by reference to Exhibit 3.1 to the</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rPr>
              <w:t>Registrant's Current Report on Form 8-K, filed November 28, 2017 with the SEC).</w:t>
            </w:r>
          </w:p>
        </w:tc>
      </w:tr>
      <w:tr>
        <w:trPr>
          <w:trHeight w:val="183"/>
        </w:trPr>
        <w:tc>
          <w:tcPr>
            <w:tcW w:w="180" w:type="dxa"/>
            <w:vAlign w:val="bottom"/>
          </w:tcPr>
          <w:p>
            <w:pPr>
              <w:spacing w:after="0"/>
              <w:rPr>
                <w:sz w:val="15"/>
                <w:szCs w:val="15"/>
                <w:color w:val="auto"/>
              </w:rPr>
            </w:pPr>
          </w:p>
        </w:tc>
        <w:tc>
          <w:tcPr>
            <w:tcW w:w="820" w:type="dxa"/>
            <w:vAlign w:val="bottom"/>
            <w:gridSpan w:val="3"/>
          </w:tcPr>
          <w:p>
            <w:pPr>
              <w:jc w:val="right"/>
              <w:spacing w:after="0" w:line="183" w:lineRule="exact"/>
              <w:rPr>
                <w:rFonts w:ascii="Arial" w:cs="Arial" w:eastAsia="Arial" w:hAnsi="Arial"/>
                <w:sz w:val="17"/>
                <w:szCs w:val="17"/>
                <w:color w:val="0000FF"/>
              </w:rPr>
            </w:pPr>
            <w:hyperlink r:id="rId82">
              <w:r>
                <w:rPr>
                  <w:rFonts w:ascii="Arial" w:cs="Arial" w:eastAsia="Arial" w:hAnsi="Arial"/>
                  <w:sz w:val="17"/>
                  <w:szCs w:val="17"/>
                  <w:color w:val="0000FF"/>
                </w:rPr>
                <w:t>3.</w:t>
              </w:r>
              <w:r>
                <w:rPr>
                  <w:rFonts w:ascii="Arial" w:cs="Arial" w:eastAsia="Arial" w:hAnsi="Arial"/>
                  <w:sz w:val="17"/>
                  <w:szCs w:val="17"/>
                  <w:u w:val="single" w:color="auto"/>
                  <w:color w:val="0000FF"/>
                </w:rPr>
                <w:t>3</w:t>
              </w:r>
            </w:hyperlink>
          </w:p>
        </w:tc>
        <w:tc>
          <w:tcPr>
            <w:tcW w:w="720" w:type="dxa"/>
            <w:vAlign w:val="bottom"/>
          </w:tcPr>
          <w:p>
            <w:pPr>
              <w:spacing w:after="0"/>
              <w:rPr>
                <w:sz w:val="15"/>
                <w:szCs w:val="15"/>
                <w:color w:val="auto"/>
              </w:rPr>
            </w:pPr>
          </w:p>
        </w:tc>
        <w:tc>
          <w:tcPr>
            <w:tcW w:w="9460" w:type="dxa"/>
            <w:vAlign w:val="bottom"/>
          </w:tcPr>
          <w:p>
            <w:pPr>
              <w:ind w:left="60"/>
              <w:spacing w:after="0" w:line="183" w:lineRule="exact"/>
              <w:rPr>
                <w:sz w:val="20"/>
                <w:szCs w:val="20"/>
                <w:color w:val="auto"/>
              </w:rPr>
            </w:pPr>
            <w:r>
              <w:rPr>
                <w:rFonts w:ascii="Arial" w:cs="Arial" w:eastAsia="Arial" w:hAnsi="Arial"/>
                <w:sz w:val="17"/>
                <w:szCs w:val="17"/>
                <w:color w:val="auto"/>
                <w:w w:val="93"/>
              </w:rPr>
              <w:t>Amended and Restated By-Laws of the Registrant (incorporated by reference to Exhibit 3.3 to the Registrant's Annual Report on Form</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rPr>
              <w:t>10-K, filed March 8, 2018 with the SEC).</w:t>
            </w:r>
          </w:p>
        </w:tc>
      </w:tr>
      <w:tr>
        <w:trPr>
          <w:trHeight w:val="183"/>
        </w:trPr>
        <w:tc>
          <w:tcPr>
            <w:tcW w:w="180" w:type="dxa"/>
            <w:vAlign w:val="bottom"/>
          </w:tcPr>
          <w:p>
            <w:pPr>
              <w:spacing w:after="0"/>
              <w:rPr>
                <w:sz w:val="15"/>
                <w:szCs w:val="15"/>
                <w:color w:val="auto"/>
              </w:rPr>
            </w:pPr>
          </w:p>
        </w:tc>
        <w:tc>
          <w:tcPr>
            <w:tcW w:w="820" w:type="dxa"/>
            <w:vAlign w:val="bottom"/>
            <w:gridSpan w:val="3"/>
          </w:tcPr>
          <w:p>
            <w:pPr>
              <w:jc w:val="right"/>
              <w:spacing w:after="0" w:line="183" w:lineRule="exact"/>
              <w:rPr>
                <w:rFonts w:ascii="Arial" w:cs="Arial" w:eastAsia="Arial" w:hAnsi="Arial"/>
                <w:sz w:val="17"/>
                <w:szCs w:val="17"/>
                <w:color w:val="0000FF"/>
              </w:rPr>
            </w:pPr>
            <w:hyperlink r:id="rId83">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720" w:type="dxa"/>
            <w:vAlign w:val="bottom"/>
          </w:tcPr>
          <w:p>
            <w:pPr>
              <w:spacing w:after="0"/>
              <w:rPr>
                <w:sz w:val="15"/>
                <w:szCs w:val="15"/>
                <w:color w:val="auto"/>
              </w:rPr>
            </w:pPr>
          </w:p>
        </w:tc>
        <w:tc>
          <w:tcPr>
            <w:tcW w:w="9460" w:type="dxa"/>
            <w:vAlign w:val="bottom"/>
          </w:tcPr>
          <w:p>
            <w:pPr>
              <w:ind w:left="60"/>
              <w:spacing w:after="0" w:line="183" w:lineRule="exact"/>
              <w:rPr>
                <w:sz w:val="20"/>
                <w:szCs w:val="20"/>
                <w:color w:val="auto"/>
              </w:rPr>
            </w:pPr>
            <w:r>
              <w:rPr>
                <w:rFonts w:ascii="Arial" w:cs="Arial" w:eastAsia="Arial" w:hAnsi="Arial"/>
                <w:sz w:val="17"/>
                <w:szCs w:val="17"/>
                <w:color w:val="auto"/>
                <w:w w:val="92"/>
              </w:rPr>
              <w:t>Form of Securities Purchase Agreement, dated as of August 12, 2022, by and among Ribbon Communications Inc. and each purchaser</w:t>
            </w:r>
          </w:p>
        </w:tc>
      </w:tr>
      <w:tr>
        <w:trPr>
          <w:trHeight w:val="190"/>
        </w:trPr>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tcPr>
          <w:p>
            <w:pPr>
              <w:ind w:left="60"/>
              <w:spacing w:after="0" w:line="189" w:lineRule="exact"/>
              <w:rPr>
                <w:sz w:val="20"/>
                <w:szCs w:val="20"/>
                <w:color w:val="auto"/>
              </w:rPr>
            </w:pPr>
            <w:r>
              <w:rPr>
                <w:rFonts w:ascii="Arial" w:cs="Arial" w:eastAsia="Arial" w:hAnsi="Arial"/>
                <w:sz w:val="17"/>
                <w:szCs w:val="17"/>
                <w:color w:val="auto"/>
                <w:w w:val="95"/>
              </w:rPr>
              <w:t>identified on the signature pages thereto (incorporated by reference to Exhibit 10.1 to the Registrant's Current Report on Form 8-K,</w:t>
            </w:r>
          </w:p>
        </w:tc>
      </w:tr>
      <w:tr>
        <w:trPr>
          <w:trHeight w:val="221"/>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rPr>
              <w:t>filed August 16, 2022 with the SEC).</w:t>
            </w:r>
          </w:p>
        </w:tc>
      </w:tr>
      <w:tr>
        <w:trPr>
          <w:trHeight w:val="209"/>
        </w:trPr>
        <w:tc>
          <w:tcPr>
            <w:tcW w:w="180" w:type="dxa"/>
            <w:vAlign w:val="bottom"/>
          </w:tcPr>
          <w:p>
            <w:pPr>
              <w:spacing w:after="0"/>
              <w:rPr>
                <w:sz w:val="18"/>
                <w:szCs w:val="18"/>
                <w:color w:val="auto"/>
              </w:rPr>
            </w:pPr>
          </w:p>
        </w:tc>
        <w:tc>
          <w:tcPr>
            <w:tcW w:w="820" w:type="dxa"/>
            <w:vAlign w:val="bottom"/>
            <w:gridSpan w:val="3"/>
          </w:tcPr>
          <w:p>
            <w:pPr>
              <w:jc w:val="right"/>
              <w:spacing w:after="0"/>
              <w:rPr>
                <w:rFonts w:ascii="Arial" w:cs="Arial" w:eastAsia="Arial" w:hAnsi="Arial"/>
                <w:sz w:val="17"/>
                <w:szCs w:val="17"/>
                <w:color w:val="0000FF"/>
              </w:rPr>
            </w:pPr>
            <w:hyperlink r:id="rId84">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72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w w:val="99"/>
              </w:rPr>
              <w:t>Form of Second Amended and Restated Registration Rights Agreement, dated as of August 12, 2022, by and among Ribbon</w:t>
            </w:r>
          </w:p>
        </w:tc>
      </w:tr>
      <w:tr>
        <w:trPr>
          <w:trHeight w:val="151"/>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9460" w:type="dxa"/>
            <w:vAlign w:val="bottom"/>
          </w:tcPr>
          <w:p>
            <w:pPr>
              <w:ind w:left="60"/>
              <w:spacing w:after="0" w:line="150" w:lineRule="exact"/>
              <w:rPr>
                <w:sz w:val="20"/>
                <w:szCs w:val="20"/>
                <w:color w:val="auto"/>
              </w:rPr>
            </w:pPr>
            <w:r>
              <w:rPr>
                <w:rFonts w:ascii="Arial" w:cs="Arial" w:eastAsia="Arial" w:hAnsi="Arial"/>
                <w:sz w:val="17"/>
                <w:szCs w:val="17"/>
                <w:color w:val="auto"/>
                <w:w w:val="92"/>
              </w:rPr>
              <w:t>Communications Inc. and its stockholders that are parties thereto (incorporated by reference to Exhibit 10.2 to the Registrant's Current</w:t>
            </w:r>
          </w:p>
        </w:tc>
      </w:tr>
      <w:tr>
        <w:trPr>
          <w:trHeight w:val="221"/>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60" w:type="dxa"/>
            <w:vAlign w:val="bottom"/>
          </w:tcPr>
          <w:p>
            <w:pPr>
              <w:ind w:left="60"/>
              <w:spacing w:after="0"/>
              <w:rPr>
                <w:sz w:val="20"/>
                <w:szCs w:val="20"/>
                <w:color w:val="auto"/>
              </w:rPr>
            </w:pPr>
            <w:r>
              <w:rPr>
                <w:rFonts w:ascii="Arial" w:cs="Arial" w:eastAsia="Arial" w:hAnsi="Arial"/>
                <w:sz w:val="17"/>
                <w:szCs w:val="17"/>
                <w:color w:val="auto"/>
              </w:rPr>
              <w:t>Report on Form 8-K, filed August 16, 2022 with the SEC).</w:t>
            </w:r>
          </w:p>
        </w:tc>
      </w:tr>
      <w:tr>
        <w:trPr>
          <w:trHeight w:val="183"/>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1</w:t>
            </w:r>
          </w:p>
        </w:tc>
        <w:tc>
          <w:tcPr>
            <w:tcW w:w="720" w:type="dxa"/>
            <w:vAlign w:val="bottom"/>
          </w:tcPr>
          <w:p>
            <w:pPr>
              <w:jc w:val="right"/>
              <w:ind w:right="513"/>
              <w:spacing w:after="0" w:line="183" w:lineRule="exact"/>
              <w:rPr>
                <w:sz w:val="20"/>
                <w:szCs w:val="20"/>
                <w:color w:val="auto"/>
              </w:rPr>
            </w:pPr>
            <w:r>
              <w:rPr>
                <w:rFonts w:ascii="Arial" w:cs="Arial" w:eastAsia="Arial" w:hAnsi="Arial"/>
                <w:sz w:val="17"/>
                <w:szCs w:val="17"/>
                <w:color w:val="auto"/>
              </w:rPr>
              <w:t>*</w:t>
            </w:r>
          </w:p>
        </w:tc>
        <w:tc>
          <w:tcPr>
            <w:tcW w:w="9460" w:type="dxa"/>
            <w:vAlign w:val="bottom"/>
          </w:tcPr>
          <w:p>
            <w:pPr>
              <w:ind w:left="60"/>
              <w:spacing w:after="0" w:line="183" w:lineRule="exact"/>
              <w:rPr>
                <w:sz w:val="20"/>
                <w:szCs w:val="20"/>
                <w:color w:val="auto"/>
              </w:rPr>
            </w:pPr>
            <w:r>
              <w:rPr>
                <w:rFonts w:ascii="Arial" w:cs="Arial" w:eastAsia="Arial" w:hAnsi="Arial"/>
                <w:sz w:val="17"/>
                <w:szCs w:val="17"/>
                <w:color w:val="auto"/>
                <w:w w:val="98"/>
              </w:rPr>
              <w:t>Certificate of Ribbon Communications Inc. Chief Executive Officer Pursuant to Section 302 of the Sarbanes-Oxley Act of 2002.</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7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60" w:type="dxa"/>
            <w:vAlign w:val="bottom"/>
          </w:tcPr>
          <w:p>
            <w:pPr>
              <w:ind w:left="60"/>
              <w:spacing w:after="0"/>
              <w:rPr>
                <w:sz w:val="20"/>
                <w:szCs w:val="20"/>
                <w:color w:val="auto"/>
              </w:rPr>
            </w:pPr>
            <w:r>
              <w:rPr>
                <w:rFonts w:ascii="Arial" w:cs="Arial" w:eastAsia="Arial" w:hAnsi="Arial"/>
                <w:sz w:val="17"/>
                <w:szCs w:val="17"/>
                <w:color w:val="auto"/>
                <w:w w:val="99"/>
              </w:rPr>
              <w:t>Certificate of Ribbon Communications Inc. Chief Financial Officer Pursuant to Section 302 of the Sarbanes-Oxley Act of 2002.</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1</w:t>
            </w:r>
          </w:p>
        </w:tc>
        <w:tc>
          <w:tcPr>
            <w:tcW w:w="7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60" w:type="dxa"/>
            <w:vAlign w:val="bottom"/>
          </w:tcPr>
          <w:p>
            <w:pPr>
              <w:ind w:left="60"/>
              <w:spacing w:after="0"/>
              <w:rPr>
                <w:sz w:val="20"/>
                <w:szCs w:val="20"/>
                <w:color w:val="auto"/>
              </w:rPr>
            </w:pPr>
            <w:r>
              <w:rPr>
                <w:rFonts w:ascii="Arial" w:cs="Arial" w:eastAsia="Arial" w:hAnsi="Arial"/>
                <w:sz w:val="17"/>
                <w:szCs w:val="17"/>
                <w:color w:val="auto"/>
                <w:w w:val="98"/>
              </w:rPr>
              <w:t>Certificate of Ribbon Communications Inc. Chief Executive Officer Pursuant to Section 906 of the Sarbanes-Oxley Act of 2002.</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2</w:t>
            </w:r>
          </w:p>
        </w:tc>
        <w:tc>
          <w:tcPr>
            <w:tcW w:w="7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60" w:type="dxa"/>
            <w:vAlign w:val="bottom"/>
          </w:tcPr>
          <w:p>
            <w:pPr>
              <w:ind w:left="60"/>
              <w:spacing w:after="0"/>
              <w:rPr>
                <w:sz w:val="20"/>
                <w:szCs w:val="20"/>
                <w:color w:val="auto"/>
              </w:rPr>
            </w:pPr>
            <w:r>
              <w:rPr>
                <w:rFonts w:ascii="Arial" w:cs="Arial" w:eastAsia="Arial" w:hAnsi="Arial"/>
                <w:sz w:val="17"/>
                <w:szCs w:val="17"/>
                <w:color w:val="auto"/>
                <w:w w:val="99"/>
              </w:rPr>
              <w:t>Certificate of Ribbon Communications Inc. Chief Financial Officer Pursuant to Section 906 of the Sarbanes-Oxley Act of 2002.</w:t>
            </w:r>
          </w:p>
        </w:tc>
      </w:tr>
      <w:tr>
        <w:trPr>
          <w:trHeight w:val="241"/>
        </w:trPr>
        <w:tc>
          <w:tcPr>
            <w:tcW w:w="180" w:type="dxa"/>
            <w:vAlign w:val="bottom"/>
          </w:tcPr>
          <w:p>
            <w:pPr>
              <w:spacing w:after="0"/>
              <w:rPr>
                <w:sz w:val="20"/>
                <w:szCs w:val="20"/>
                <w:color w:val="auto"/>
              </w:rPr>
            </w:pPr>
          </w:p>
        </w:tc>
        <w:tc>
          <w:tcPr>
            <w:tcW w:w="1540" w:type="dxa"/>
            <w:vAlign w:val="bottom"/>
            <w:gridSpan w:val="4"/>
          </w:tcPr>
          <w:p>
            <w:pPr>
              <w:jc w:val="right"/>
              <w:ind w:right="513"/>
              <w:spacing w:after="0"/>
              <w:rPr>
                <w:sz w:val="20"/>
                <w:szCs w:val="20"/>
                <w:color w:val="auto"/>
              </w:rPr>
            </w:pPr>
            <w:r>
              <w:rPr>
                <w:rFonts w:ascii="Arial" w:cs="Arial" w:eastAsia="Arial" w:hAnsi="Arial"/>
                <w:sz w:val="17"/>
                <w:szCs w:val="17"/>
                <w:color w:val="auto"/>
              </w:rPr>
              <w:t>101.INS *</w:t>
            </w:r>
          </w:p>
        </w:tc>
        <w:tc>
          <w:tcPr>
            <w:tcW w:w="9460" w:type="dxa"/>
            <w:vAlign w:val="bottom"/>
          </w:tcPr>
          <w:p>
            <w:pPr>
              <w:ind w:left="60"/>
              <w:spacing w:after="0"/>
              <w:rPr>
                <w:sz w:val="20"/>
                <w:szCs w:val="20"/>
                <w:color w:val="auto"/>
              </w:rPr>
            </w:pPr>
            <w:r>
              <w:rPr>
                <w:rFonts w:ascii="Arial" w:cs="Arial" w:eastAsia="Arial" w:hAnsi="Arial"/>
                <w:sz w:val="17"/>
                <w:szCs w:val="17"/>
                <w:color w:val="auto"/>
              </w:rPr>
              <w:t>Inline XBRL Instance Document</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Arial" w:cs="Arial" w:eastAsia="Arial" w:hAnsi="Arial"/>
                <w:sz w:val="17"/>
                <w:szCs w:val="17"/>
                <w:color w:val="auto"/>
              </w:rPr>
              <w:t>101.SCH *</w:t>
            </w:r>
          </w:p>
        </w:tc>
        <w:tc>
          <w:tcPr>
            <w:tcW w:w="9460" w:type="dxa"/>
            <w:vAlign w:val="bottom"/>
          </w:tcPr>
          <w:p>
            <w:pPr>
              <w:ind w:left="60"/>
              <w:spacing w:after="0"/>
              <w:rPr>
                <w:sz w:val="20"/>
                <w:szCs w:val="20"/>
                <w:color w:val="auto"/>
              </w:rPr>
            </w:pPr>
            <w:r>
              <w:rPr>
                <w:rFonts w:ascii="Arial" w:cs="Arial" w:eastAsia="Arial" w:hAnsi="Arial"/>
                <w:sz w:val="17"/>
                <w:szCs w:val="17"/>
                <w:color w:val="auto"/>
              </w:rPr>
              <w:t>Inline XBRL Taxonomy Extension Schema</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Arial" w:cs="Arial" w:eastAsia="Arial" w:hAnsi="Arial"/>
                <w:sz w:val="17"/>
                <w:szCs w:val="17"/>
                <w:color w:val="auto"/>
              </w:rPr>
              <w:t>101.CAL *</w:t>
            </w:r>
          </w:p>
        </w:tc>
        <w:tc>
          <w:tcPr>
            <w:tcW w:w="9460" w:type="dxa"/>
            <w:vAlign w:val="bottom"/>
          </w:tcPr>
          <w:p>
            <w:pPr>
              <w:ind w:left="60"/>
              <w:spacing w:after="0"/>
              <w:rPr>
                <w:sz w:val="20"/>
                <w:szCs w:val="20"/>
                <w:color w:val="auto"/>
              </w:rPr>
            </w:pPr>
            <w:r>
              <w:rPr>
                <w:rFonts w:ascii="Arial" w:cs="Arial" w:eastAsia="Arial" w:hAnsi="Arial"/>
                <w:sz w:val="17"/>
                <w:szCs w:val="17"/>
                <w:color w:val="auto"/>
              </w:rPr>
              <w:t>Inline XBRL Taxonomy Extension Calculation Linkbase</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Arial" w:cs="Arial" w:eastAsia="Arial" w:hAnsi="Arial"/>
                <w:sz w:val="17"/>
                <w:szCs w:val="17"/>
                <w:color w:val="auto"/>
              </w:rPr>
              <w:t>101.DEF *</w:t>
            </w:r>
          </w:p>
        </w:tc>
        <w:tc>
          <w:tcPr>
            <w:tcW w:w="9460" w:type="dxa"/>
            <w:vAlign w:val="bottom"/>
          </w:tcPr>
          <w:p>
            <w:pPr>
              <w:ind w:left="60"/>
              <w:spacing w:after="0"/>
              <w:rPr>
                <w:sz w:val="20"/>
                <w:szCs w:val="20"/>
                <w:color w:val="auto"/>
              </w:rPr>
            </w:pPr>
            <w:r>
              <w:rPr>
                <w:rFonts w:ascii="Arial" w:cs="Arial" w:eastAsia="Arial" w:hAnsi="Arial"/>
                <w:sz w:val="17"/>
                <w:szCs w:val="17"/>
                <w:color w:val="auto"/>
              </w:rPr>
              <w:t>Inline XBRL Taxonomy Extension Definition Linkbase</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Arial" w:cs="Arial" w:eastAsia="Arial" w:hAnsi="Arial"/>
                <w:sz w:val="17"/>
                <w:szCs w:val="17"/>
                <w:color w:val="auto"/>
              </w:rPr>
              <w:t>101.LAB *</w:t>
            </w:r>
          </w:p>
        </w:tc>
        <w:tc>
          <w:tcPr>
            <w:tcW w:w="9460" w:type="dxa"/>
            <w:vAlign w:val="bottom"/>
          </w:tcPr>
          <w:p>
            <w:pPr>
              <w:ind w:left="60"/>
              <w:spacing w:after="0"/>
              <w:rPr>
                <w:sz w:val="20"/>
                <w:szCs w:val="20"/>
                <w:color w:val="auto"/>
              </w:rPr>
            </w:pPr>
            <w:r>
              <w:rPr>
                <w:rFonts w:ascii="Arial" w:cs="Arial" w:eastAsia="Arial" w:hAnsi="Arial"/>
                <w:sz w:val="17"/>
                <w:szCs w:val="17"/>
                <w:color w:val="auto"/>
              </w:rPr>
              <w:t>Inline XBRL Taxonomy Extension Label Linkbase</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Arial" w:cs="Arial" w:eastAsia="Arial" w:hAnsi="Arial"/>
                <w:sz w:val="17"/>
                <w:szCs w:val="17"/>
                <w:color w:val="auto"/>
              </w:rPr>
              <w:t>101.PRE *</w:t>
            </w:r>
          </w:p>
        </w:tc>
        <w:tc>
          <w:tcPr>
            <w:tcW w:w="9460" w:type="dxa"/>
            <w:vAlign w:val="bottom"/>
          </w:tcPr>
          <w:p>
            <w:pPr>
              <w:ind w:left="60"/>
              <w:spacing w:after="0"/>
              <w:rPr>
                <w:sz w:val="20"/>
                <w:szCs w:val="20"/>
                <w:color w:val="auto"/>
              </w:rPr>
            </w:pPr>
            <w:r>
              <w:rPr>
                <w:rFonts w:ascii="Arial" w:cs="Arial" w:eastAsia="Arial" w:hAnsi="Arial"/>
                <w:sz w:val="17"/>
                <w:szCs w:val="17"/>
                <w:color w:val="auto"/>
              </w:rPr>
              <w:t>Inline XBRL Taxonomy Extension Presentation Linkbase</w:t>
            </w:r>
          </w:p>
        </w:tc>
      </w:tr>
      <w:tr>
        <w:trPr>
          <w:trHeight w:val="222"/>
        </w:trPr>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104</w:t>
            </w:r>
          </w:p>
        </w:tc>
        <w:tc>
          <w:tcPr>
            <w:tcW w:w="7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60" w:type="dxa"/>
            <w:vAlign w:val="bottom"/>
          </w:tcPr>
          <w:p>
            <w:pPr>
              <w:ind w:left="6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251"/>
        </w:trPr>
        <w:tc>
          <w:tcPr>
            <w:tcW w:w="11180" w:type="dxa"/>
            <w:vAlign w:val="bottom"/>
            <w:gridSpan w:val="6"/>
          </w:tcPr>
          <w:p>
            <w:pPr>
              <w:spacing w:after="0"/>
              <w:rPr>
                <w:sz w:val="20"/>
                <w:szCs w:val="20"/>
                <w:color w:val="auto"/>
              </w:rPr>
            </w:pPr>
            <w:r>
              <w:rPr>
                <w:rFonts w:ascii="Arial" w:cs="Arial" w:eastAsia="Arial" w:hAnsi="Arial"/>
                <w:sz w:val="14"/>
                <w:szCs w:val="14"/>
                <w:b w:val="1"/>
                <w:bCs w:val="1"/>
                <w:color w:val="auto"/>
              </w:rPr>
              <w:t>_______________________________________</w:t>
            </w:r>
          </w:p>
        </w:tc>
      </w:tr>
      <w:tr>
        <w:trPr>
          <w:trHeight w:val="35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540" w:type="dxa"/>
            <w:vAlign w:val="bottom"/>
            <w:gridSpan w:val="4"/>
          </w:tcPr>
          <w:p>
            <w:pPr>
              <w:jc w:val="right"/>
              <w:ind w:right="313"/>
              <w:spacing w:after="0"/>
              <w:rPr>
                <w:sz w:val="20"/>
                <w:szCs w:val="20"/>
                <w:color w:val="auto"/>
              </w:rPr>
            </w:pPr>
            <w:r>
              <w:rPr>
                <w:rFonts w:ascii="Arial" w:cs="Arial" w:eastAsia="Arial" w:hAnsi="Arial"/>
                <w:sz w:val="17"/>
                <w:szCs w:val="17"/>
                <w:color w:val="auto"/>
              </w:rPr>
              <w:t>Filed herewith.</w:t>
            </w:r>
          </w:p>
        </w:tc>
        <w:tc>
          <w:tcPr>
            <w:tcW w:w="9460" w:type="dxa"/>
            <w:vAlign w:val="bottom"/>
          </w:tcPr>
          <w:p>
            <w:pPr>
              <w:spacing w:after="0"/>
              <w:rPr>
                <w:sz w:val="24"/>
                <w:szCs w:val="24"/>
                <w:color w:val="auto"/>
              </w:rPr>
            </w:pPr>
          </w:p>
        </w:tc>
      </w:tr>
      <w:tr>
        <w:trPr>
          <w:trHeight w:val="353"/>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540" w:type="dxa"/>
            <w:vAlign w:val="bottom"/>
            <w:gridSpan w:val="4"/>
          </w:tcPr>
          <w:p>
            <w:pPr>
              <w:jc w:val="right"/>
              <w:spacing w:after="0"/>
              <w:rPr>
                <w:sz w:val="20"/>
                <w:szCs w:val="20"/>
                <w:color w:val="auto"/>
              </w:rPr>
            </w:pPr>
            <w:r>
              <w:rPr>
                <w:rFonts w:ascii="Arial" w:cs="Arial" w:eastAsia="Arial" w:hAnsi="Arial"/>
                <w:sz w:val="17"/>
                <w:szCs w:val="17"/>
                <w:color w:val="auto"/>
                <w:w w:val="97"/>
              </w:rPr>
              <w:t>Furnished herewith.</w:t>
            </w:r>
          </w:p>
        </w:tc>
        <w:tc>
          <w:tcPr>
            <w:tcW w:w="9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010" w:right="39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55"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9" w:lineRule="exact"/>
        <w:rPr>
          <w:sz w:val="20"/>
          <w:szCs w:val="20"/>
          <w:color w:val="auto"/>
        </w:rPr>
      </w:pPr>
    </w:p>
    <w:p>
      <w:pPr>
        <w:ind w:left="1260"/>
        <w:spacing w:after="0"/>
        <w:tabs>
          <w:tab w:leader="none" w:pos="5200" w:val="left"/>
        </w:tabs>
        <w:rPr>
          <w:sz w:val="20"/>
          <w:szCs w:val="20"/>
          <w:color w:val="auto"/>
        </w:rPr>
      </w:pPr>
      <w:r>
        <w:rPr>
          <w:rFonts w:ascii="Arial" w:cs="Arial" w:eastAsia="Arial" w:hAnsi="Arial"/>
          <w:sz w:val="17"/>
          <w:szCs w:val="17"/>
          <w:color w:val="auto"/>
        </w:rPr>
        <w:t>Date: October 28, 2022</w:t>
      </w:r>
      <w:r>
        <w:rPr>
          <w:sz w:val="20"/>
          <w:szCs w:val="20"/>
          <w:color w:val="auto"/>
        </w:rPr>
        <w:tab/>
      </w:r>
      <w:r>
        <w:rPr>
          <w:rFonts w:ascii="Arial" w:cs="Arial" w:eastAsia="Arial" w:hAnsi="Arial"/>
          <w:sz w:val="17"/>
          <w:szCs w:val="17"/>
          <w:color w:val="auto"/>
        </w:rPr>
        <w:t>RIBBON COMMUNICATIONS INC.</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By: /s/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16510</wp:posOffset>
            </wp:positionV>
            <wp:extent cx="30537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Miguel A. Lopez</w:t>
      </w:r>
    </w:p>
    <w:p>
      <w:pPr>
        <w:ind w:left="5220"/>
        <w:spacing w:after="0" w:line="224" w:lineRule="auto"/>
        <w:rPr>
          <w:sz w:val="20"/>
          <w:szCs w:val="20"/>
          <w:color w:val="auto"/>
        </w:rPr>
      </w:pPr>
      <w:r>
        <w:rPr>
          <w:rFonts w:ascii="Arial" w:cs="Arial" w:eastAsia="Arial" w:hAnsi="Arial"/>
          <w:sz w:val="17"/>
          <w:szCs w:val="17"/>
          <w:color w:val="auto"/>
        </w:rPr>
        <w:t>Executive Vice President and Chief Financial Officer (Principal</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00"/>
          </w:cols>
          <w:pgMar w:left="320" w:top="866"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 Bruce McClelland, certify that:</w:t>
      </w:r>
    </w:p>
    <w:p>
      <w:pPr>
        <w:spacing w:after="0" w:line="157" w:lineRule="exact"/>
        <w:rPr>
          <w:sz w:val="20"/>
          <w:szCs w:val="20"/>
          <w:color w:val="auto"/>
        </w:rPr>
      </w:pPr>
    </w:p>
    <w:p>
      <w:pPr>
        <w:ind w:left="1100" w:hanging="311"/>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Ribbon Communications Inc.;</w:t>
      </w:r>
    </w:p>
    <w:p>
      <w:pPr>
        <w:spacing w:after="0" w:line="157" w:lineRule="exact"/>
        <w:rPr>
          <w:rFonts w:ascii="Arial" w:cs="Arial" w:eastAsia="Arial" w:hAnsi="Arial"/>
          <w:sz w:val="17"/>
          <w:szCs w:val="17"/>
          <w:color w:val="auto"/>
        </w:rPr>
      </w:pPr>
    </w:p>
    <w:p>
      <w:pPr>
        <w:jc w:val="both"/>
        <w:ind w:left="1100" w:hanging="311"/>
        <w:spacing w:after="0" w:line="272"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7"/>
          <w:szCs w:val="17"/>
          <w:color w:val="auto"/>
        </w:rPr>
      </w:pPr>
    </w:p>
    <w:p>
      <w:pPr>
        <w:ind w:left="1100" w:right="220" w:hanging="311"/>
        <w:spacing w:after="0" w:line="321"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100" w:hanging="311"/>
        <w:spacing w:after="0" w:line="272"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ind w:left="1420" w:right="120" w:hanging="318"/>
        <w:spacing w:after="0" w:line="272" w:lineRule="auto"/>
        <w:tabs>
          <w:tab w:leader="none" w:pos="1417"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7"/>
          <w:szCs w:val="17"/>
          <w:color w:val="auto"/>
        </w:rPr>
      </w:pPr>
    </w:p>
    <w:p>
      <w:pPr>
        <w:ind w:left="1420" w:right="240" w:hanging="318"/>
        <w:spacing w:after="0" w:line="272" w:lineRule="auto"/>
        <w:tabs>
          <w:tab w:leader="none" w:pos="1414"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jc w:val="both"/>
        <w:ind w:left="1420" w:right="420" w:hanging="318"/>
        <w:spacing w:after="0" w:line="358" w:lineRule="auto"/>
        <w:tabs>
          <w:tab w:leader="none" w:pos="1417"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ind w:left="1420" w:right="140" w:hanging="318"/>
        <w:spacing w:after="0" w:line="272" w:lineRule="auto"/>
        <w:tabs>
          <w:tab w:leader="none" w:pos="1414"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7"/>
          <w:szCs w:val="17"/>
          <w:color w:val="auto"/>
        </w:rPr>
      </w:pPr>
    </w:p>
    <w:p>
      <w:pPr>
        <w:ind w:left="1100" w:right="180" w:hanging="311"/>
        <w:spacing w:after="0" w:line="321"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420" w:right="640" w:hanging="318"/>
        <w:spacing w:after="0" w:line="321" w:lineRule="auto"/>
        <w:tabs>
          <w:tab w:leader="none" w:pos="141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20" w:right="360" w:hanging="318"/>
        <w:spacing w:after="0" w:line="288" w:lineRule="auto"/>
        <w:tabs>
          <w:tab w:leader="none" w:pos="1414"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2022</w:t>
      </w:r>
    </w:p>
    <w:p>
      <w:pPr>
        <w:spacing w:after="0" w:line="197"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36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Bruce McClelland</w:t>
      </w:r>
    </w:p>
    <w:p>
      <w:pPr>
        <w:jc w:val="center"/>
        <w:ind w:left="5920"/>
        <w:spacing w:after="0" w:line="208" w:lineRule="auto"/>
        <w:rPr>
          <w:sz w:val="20"/>
          <w:szCs w:val="20"/>
          <w:color w:val="auto"/>
        </w:rPr>
      </w:pPr>
      <w:r>
        <w:rPr>
          <w:rFonts w:ascii="Arial" w:cs="Arial" w:eastAsia="Arial" w:hAnsi="Arial"/>
          <w:sz w:val="17"/>
          <w:szCs w:val="17"/>
          <w:color w:val="auto"/>
        </w:rPr>
        <w:t>President and Chief Executive Officer</w:t>
      </w:r>
    </w:p>
    <w:p>
      <w:pPr>
        <w:jc w:val="center"/>
        <w:ind w:left="59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1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31.2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Miguel A. Lopez, certify that:</w:t>
      </w:r>
    </w:p>
    <w:p>
      <w:pPr>
        <w:spacing w:after="0" w:line="144" w:lineRule="exact"/>
        <w:rPr>
          <w:sz w:val="20"/>
          <w:szCs w:val="20"/>
          <w:color w:val="auto"/>
        </w:rPr>
      </w:pPr>
    </w:p>
    <w:p>
      <w:pPr>
        <w:ind w:left="1100" w:hanging="311"/>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Ribbon Communications Inc.;</w:t>
      </w:r>
    </w:p>
    <w:p>
      <w:pPr>
        <w:spacing w:after="0" w:line="157" w:lineRule="exact"/>
        <w:rPr>
          <w:rFonts w:ascii="Arial" w:cs="Arial" w:eastAsia="Arial" w:hAnsi="Arial"/>
          <w:sz w:val="17"/>
          <w:szCs w:val="17"/>
          <w:color w:val="auto"/>
        </w:rPr>
      </w:pPr>
    </w:p>
    <w:p>
      <w:pPr>
        <w:jc w:val="both"/>
        <w:ind w:left="1100" w:hanging="311"/>
        <w:spacing w:after="0" w:line="272"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7"/>
          <w:szCs w:val="17"/>
          <w:color w:val="auto"/>
        </w:rPr>
      </w:pPr>
    </w:p>
    <w:p>
      <w:pPr>
        <w:ind w:left="1100" w:right="220" w:hanging="311"/>
        <w:spacing w:after="0" w:line="321" w:lineRule="auto"/>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1100" w:hanging="311"/>
        <w:spacing w:after="0" w:line="272"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ind w:left="1420" w:right="120" w:hanging="318"/>
        <w:spacing w:after="0" w:line="272" w:lineRule="auto"/>
        <w:tabs>
          <w:tab w:leader="none" w:pos="1417"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7"/>
          <w:szCs w:val="17"/>
          <w:color w:val="auto"/>
        </w:rPr>
      </w:pPr>
    </w:p>
    <w:p>
      <w:pPr>
        <w:ind w:left="1420" w:right="240" w:hanging="318"/>
        <w:spacing w:after="0" w:line="272" w:lineRule="auto"/>
        <w:tabs>
          <w:tab w:leader="none" w:pos="14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7"/>
          <w:szCs w:val="17"/>
          <w:color w:val="auto"/>
        </w:rPr>
      </w:pPr>
    </w:p>
    <w:p>
      <w:pPr>
        <w:jc w:val="both"/>
        <w:ind w:left="1420" w:right="420" w:hanging="318"/>
        <w:spacing w:after="0" w:line="358" w:lineRule="auto"/>
        <w:tabs>
          <w:tab w:leader="none" w:pos="1417"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ind w:left="1420" w:right="140" w:hanging="318"/>
        <w:spacing w:after="0" w:line="272" w:lineRule="auto"/>
        <w:tabs>
          <w:tab w:leader="none" w:pos="14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7"/>
          <w:szCs w:val="17"/>
          <w:color w:val="auto"/>
        </w:rPr>
      </w:pPr>
    </w:p>
    <w:p>
      <w:pPr>
        <w:ind w:left="1100" w:right="180" w:hanging="311"/>
        <w:spacing w:after="0" w:line="321" w:lineRule="auto"/>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420" w:right="640" w:hanging="318"/>
        <w:spacing w:after="0" w:line="321" w:lineRule="auto"/>
        <w:tabs>
          <w:tab w:leader="none" w:pos="141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20" w:right="360" w:hanging="318"/>
        <w:spacing w:after="0" w:line="288" w:lineRule="auto"/>
        <w:tabs>
          <w:tab w:leader="none" w:pos="14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2022</w:t>
      </w:r>
    </w:p>
    <w:p>
      <w:pPr>
        <w:spacing w:after="0" w:line="184"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36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20"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Miguel A. Lopez</w:t>
      </w:r>
    </w:p>
    <w:p>
      <w:pPr>
        <w:jc w:val="center"/>
        <w:ind w:left="5920"/>
        <w:spacing w:after="0" w:line="210" w:lineRule="auto"/>
        <w:rPr>
          <w:sz w:val="20"/>
          <w:szCs w:val="20"/>
          <w:color w:val="auto"/>
        </w:rPr>
      </w:pPr>
      <w:r>
        <w:rPr>
          <w:rFonts w:ascii="Arial" w:cs="Arial" w:eastAsia="Arial" w:hAnsi="Arial"/>
          <w:sz w:val="17"/>
          <w:szCs w:val="17"/>
          <w:color w:val="auto"/>
        </w:rPr>
        <w:t>Executive Vice President and Chief Financial Officer</w:t>
      </w:r>
    </w:p>
    <w:p>
      <w:pPr>
        <w:jc w:val="center"/>
        <w:ind w:left="59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41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32" w:lineRule="exact"/>
        <w:rPr>
          <w:sz w:val="20"/>
          <w:szCs w:val="20"/>
          <w:color w:val="auto"/>
        </w:rPr>
      </w:pPr>
    </w:p>
    <w:p>
      <w:pPr>
        <w:ind w:firstLine="431"/>
        <w:spacing w:after="0" w:line="267" w:lineRule="auto"/>
        <w:rPr>
          <w:sz w:val="20"/>
          <w:szCs w:val="20"/>
          <w:color w:val="auto"/>
        </w:rPr>
      </w:pPr>
      <w:r>
        <w:rPr>
          <w:rFonts w:ascii="Arial" w:cs="Arial" w:eastAsia="Arial" w:hAnsi="Arial"/>
          <w:sz w:val="17"/>
          <w:szCs w:val="17"/>
          <w:color w:val="auto"/>
        </w:rPr>
        <w:t>In connection with the Quarterly Report on Form 10-Q of Ribbon Communications Inc. (the "Company") for the period ended September 30, 2022 as filed with the Securities and Exchange Commission on the date hereof (the "Report"), the undersigned, Bruce McClelland, President and Chief Executive Officer of the Company, hereby certifies, pursuant to 18 U.S.C. Section 1350, as adopted pursuant to Section 906 of the Sarbanes-Oxley Act of 2002, that to his knowledge:</w:t>
      </w:r>
    </w:p>
    <w:p>
      <w:pPr>
        <w:spacing w:after="0" w:line="110" w:lineRule="exact"/>
        <w:rPr>
          <w:sz w:val="20"/>
          <w:szCs w:val="20"/>
          <w:color w:val="auto"/>
        </w:rPr>
      </w:pPr>
    </w:p>
    <w:p>
      <w:pPr>
        <w:ind w:left="1100" w:hanging="311"/>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57" w:lineRule="exact"/>
        <w:rPr>
          <w:rFonts w:ascii="Arial" w:cs="Arial" w:eastAsia="Arial" w:hAnsi="Arial"/>
          <w:sz w:val="17"/>
          <w:szCs w:val="17"/>
          <w:color w:val="auto"/>
        </w:rPr>
      </w:pPr>
    </w:p>
    <w:p>
      <w:pPr>
        <w:ind w:right="100" w:firstLine="789"/>
        <w:spacing w:after="0" w:line="448" w:lineRule="auto"/>
        <w:tabs>
          <w:tab w:leader="none" w:pos="109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October 28, 2022</w:t>
      </w:r>
    </w:p>
    <w:p>
      <w:pPr>
        <w:spacing w:after="0" w:line="2"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36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8"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Bruce McClelland</w:t>
      </w:r>
    </w:p>
    <w:p>
      <w:pPr>
        <w:ind w:left="7240"/>
        <w:spacing w:after="0" w:line="224" w:lineRule="auto"/>
        <w:rPr>
          <w:sz w:val="20"/>
          <w:szCs w:val="20"/>
          <w:color w:val="auto"/>
        </w:rPr>
      </w:pPr>
      <w:r>
        <w:rPr>
          <w:rFonts w:ascii="Arial" w:cs="Arial" w:eastAsia="Arial" w:hAnsi="Arial"/>
          <w:sz w:val="17"/>
          <w:szCs w:val="17"/>
          <w:color w:val="auto"/>
        </w:rPr>
        <w:t>President and Chief Executive Officer</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1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32" w:lineRule="exact"/>
        <w:rPr>
          <w:sz w:val="20"/>
          <w:szCs w:val="20"/>
          <w:color w:val="auto"/>
        </w:rPr>
      </w:pPr>
    </w:p>
    <w:p>
      <w:pPr>
        <w:ind w:firstLine="431"/>
        <w:spacing w:after="0" w:line="267" w:lineRule="auto"/>
        <w:rPr>
          <w:sz w:val="20"/>
          <w:szCs w:val="20"/>
          <w:color w:val="auto"/>
        </w:rPr>
      </w:pPr>
      <w:r>
        <w:rPr>
          <w:rFonts w:ascii="Arial" w:cs="Arial" w:eastAsia="Arial" w:hAnsi="Arial"/>
          <w:sz w:val="17"/>
          <w:szCs w:val="17"/>
          <w:color w:val="auto"/>
        </w:rPr>
        <w:t>In connection with the Quarterly Report on Form 10-Q of Ribbon Communications Inc. (the "Company") for the period ended September 30, 2022 as filed with the Securities and Exchange Commission on the date hereof (the "Report"), the undersigned, Miguel A. Lopez, Executive Vice President and Chief Financial Officer of the Company, hereby certifies, pursuant to 18 U.S.C. Section 1350, as adopted pursuant to Section 906 of the Sarbanes-Oxley Act of 2002, that to his knowledge:</w:t>
      </w:r>
    </w:p>
    <w:p>
      <w:pPr>
        <w:spacing w:after="0" w:line="110" w:lineRule="exact"/>
        <w:rPr>
          <w:sz w:val="20"/>
          <w:szCs w:val="20"/>
          <w:color w:val="auto"/>
        </w:rPr>
      </w:pPr>
    </w:p>
    <w:p>
      <w:pPr>
        <w:ind w:left="1100" w:hanging="311"/>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57" w:lineRule="exact"/>
        <w:rPr>
          <w:rFonts w:ascii="Arial" w:cs="Arial" w:eastAsia="Arial" w:hAnsi="Arial"/>
          <w:sz w:val="17"/>
          <w:szCs w:val="17"/>
          <w:color w:val="auto"/>
        </w:rPr>
      </w:pPr>
    </w:p>
    <w:p>
      <w:pPr>
        <w:ind w:right="100" w:firstLine="789"/>
        <w:spacing w:after="0" w:line="448" w:lineRule="auto"/>
        <w:tabs>
          <w:tab w:leader="none" w:pos="10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October 28, 2022</w:t>
      </w:r>
    </w:p>
    <w:p>
      <w:pPr>
        <w:spacing w:after="0" w:line="2"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36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Miguel A. Lopez</w:t>
      </w:r>
    </w:p>
    <w:p>
      <w:pPr>
        <w:jc w:val="center"/>
        <w:ind w:left="5880"/>
        <w:spacing w:after="0" w:line="224" w:lineRule="auto"/>
        <w:rPr>
          <w:sz w:val="20"/>
          <w:szCs w:val="20"/>
          <w:color w:val="auto"/>
        </w:rPr>
      </w:pPr>
      <w:r>
        <w:rPr>
          <w:rFonts w:ascii="Arial" w:cs="Arial" w:eastAsia="Arial" w:hAnsi="Arial"/>
          <w:sz w:val="17"/>
          <w:szCs w:val="17"/>
          <w:color w:val="auto"/>
        </w:rPr>
        <w:t>Executive Vice President and Chief Financial Officer</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4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606"/>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3"/>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606"/>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78" Type="http://schemas.openxmlformats.org/officeDocument/2006/relationships/hyperlink" Target="http://www.sec.gov/ix?doc=/Archives/edgar/data/1708055/000170805520000154/rbbn-20200630.htm" TargetMode="External"/><Relationship Id="rId79" Type="http://schemas.openxmlformats.org/officeDocument/2006/relationships/hyperlink" Target="http://www.sec.gov/Archives/edgar/data/1708055/000110465920132853/tm2037745d1_ex2-1.htm" TargetMode="External"/><Relationship Id="rId80" Type="http://schemas.openxmlformats.org/officeDocument/2006/relationships/hyperlink" Target="http://www.sec.gov/Archives/edgar/data/1708055/000110465917064455/a17-24632_1ex3d2.htm" TargetMode="External"/><Relationship Id="rId81" Type="http://schemas.openxmlformats.org/officeDocument/2006/relationships/hyperlink" Target="http://www.sec.gov/Archives/edgar/data/1708055/000110465917070729/a17-27586_1ex3d1.htm" TargetMode="External"/><Relationship Id="rId82" Type="http://schemas.openxmlformats.org/officeDocument/2006/relationships/hyperlink" Target="http://www.sec.gov/Archives/edgar/data/1708055/000162828018002933/rbbn-ex3320171231.htm" TargetMode="External"/><Relationship Id="rId83" Type="http://schemas.openxmlformats.org/officeDocument/2006/relationships/hyperlink" Target="https://www.sec.gov/Archives/edgar/data/1708055/000110465922091826/tm2223504d1_ex10-1.htm" TargetMode="External"/><Relationship Id="rId84" Type="http://schemas.openxmlformats.org/officeDocument/2006/relationships/hyperlink" Target="https://www.sec.gov/Archives/edgar/data/1708055/000110465922091826/tm2223504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2022-10-28T11:32:36Z</dcterms:created>
  <dcterms:modified xsi:type="dcterms:W3CDTF">2022-10-28T11:32:36Z</dcterms:modified>
</cp:coreProperties>
</file>