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147320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92"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1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9" w:lineRule="exact"/>
        <w:rPr>
          <w:sz w:val="24"/>
          <w:szCs w:val="24"/>
          <w:color w:val="auto"/>
        </w:rPr>
      </w:pPr>
    </w:p>
    <w:p>
      <w:pPr>
        <w:ind w:left="330" w:right="560" w:hanging="330"/>
        <w:spacing w:after="0" w:line="273" w:lineRule="auto"/>
        <w:tabs>
          <w:tab w:leader="none" w:pos="33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8"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221"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0" w:lineRule="exact"/>
        <w:rPr>
          <w:sz w:val="24"/>
          <w:szCs w:val="24"/>
          <w:color w:val="auto"/>
        </w:rPr>
      </w:pPr>
    </w:p>
    <w:p>
      <w:pPr>
        <w:ind w:left="330" w:right="540" w:hanging="330"/>
        <w:spacing w:after="0" w:line="273" w:lineRule="auto"/>
        <w:tabs>
          <w:tab w:leader="none" w:pos="33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ectPr>
          <w:pgSz w:w="11900" w:h="16838" w:orient="portrait"/>
          <w:cols w:equalWidth="0" w:num="1">
            <w:col w:w="10170"/>
          </w:cols>
          <w:pgMar w:left="830" w:top="661" w:right="899" w:bottom="1440" w:gutter="0" w:footer="0" w:header="0"/>
        </w:sectPr>
      </w:pPr>
    </w:p>
    <w:p>
      <w:pPr>
        <w:spacing w:after="0" w:line="68" w:lineRule="exact"/>
        <w:rPr>
          <w:sz w:val="24"/>
          <w:szCs w:val="24"/>
          <w:color w:val="auto"/>
        </w:rPr>
      </w:pPr>
    </w:p>
    <w:p>
      <w:pPr>
        <w:jc w:val="center"/>
        <w:ind w:left="65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40" w:lineRule="exact"/>
        <w:rPr>
          <w:sz w:val="24"/>
          <w:szCs w:val="24"/>
          <w:color w:val="auto"/>
        </w:rPr>
      </w:pPr>
    </w:p>
    <w:p>
      <w:pPr>
        <w:sectPr>
          <w:pgSz w:w="11900" w:h="16838" w:orient="portrait"/>
          <w:cols w:equalWidth="0" w:num="2">
            <w:col w:w="2750" w:space="680"/>
            <w:col w:w="6740"/>
          </w:cols>
          <w:pgMar w:left="830" w:top="661" w:right="899" w:bottom="1440" w:gutter="0" w:footer="0" w:header="0"/>
          <w:type w:val="continuous"/>
        </w:sect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Commission File Number 001-38267</w:t>
      </w:r>
    </w:p>
    <w:p>
      <w:pPr>
        <w:spacing w:after="0" w:line="28"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30"/>
          <w:szCs w:val="30"/>
          <w:b w:val="1"/>
          <w:bCs w:val="1"/>
          <w:color w:val="auto"/>
        </w:rPr>
        <w:t>RIBBON COMMUNICATIONS INC.</w:t>
      </w:r>
    </w:p>
    <w:p>
      <w:pPr>
        <w:spacing w:after="0" w:line="1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170"/>
          </w:cols>
          <w:pgMar w:left="830" w:top="661" w:right="899" w:bottom="1440" w:gutter="0" w:footer="0" w:header="0"/>
          <w:type w:val="continuous"/>
        </w:sectPr>
      </w:pPr>
    </w:p>
    <w:p>
      <w:pPr>
        <w:spacing w:after="0" w:line="134" w:lineRule="exact"/>
        <w:rPr>
          <w:sz w:val="24"/>
          <w:szCs w:val="24"/>
          <w:color w:val="auto"/>
        </w:rPr>
      </w:pPr>
    </w:p>
    <w:p>
      <w:pPr>
        <w:ind w:left="219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57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53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6"/>
          <w:szCs w:val="16"/>
          <w:b w:val="1"/>
          <w:bCs w:val="1"/>
          <w:color w:val="auto"/>
        </w:rPr>
        <w:t>82-1669692</w:t>
      </w:r>
    </w:p>
    <w:p>
      <w:pPr>
        <w:spacing w:after="0" w:line="28"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359" w:lineRule="exact"/>
        <w:rPr>
          <w:sz w:val="24"/>
          <w:szCs w:val="24"/>
          <w:color w:val="auto"/>
        </w:rPr>
      </w:pPr>
    </w:p>
    <w:p>
      <w:pPr>
        <w:sectPr>
          <w:pgSz w:w="11900" w:h="16838" w:orient="portrait"/>
          <w:cols w:equalWidth="0" w:num="2">
            <w:col w:w="5830" w:space="720"/>
            <w:col w:w="3620"/>
          </w:cols>
          <w:pgMar w:left="830" w:top="661" w:right="899" w:bottom="1440" w:gutter="0" w:footer="0" w:header="0"/>
          <w:type w:val="continuous"/>
        </w:sectPr>
      </w:pPr>
    </w:p>
    <w:p>
      <w:pPr>
        <w:ind w:left="710"/>
        <w:spacing w:after="0"/>
        <w:rPr>
          <w:sz w:val="20"/>
          <w:szCs w:val="20"/>
          <w:color w:val="auto"/>
        </w:rPr>
      </w:pPr>
      <w:r>
        <w:rPr>
          <w:rFonts w:ascii="Times New Roman" w:cs="Times New Roman" w:eastAsia="Times New Roman" w:hAnsi="Times New Roman"/>
          <w:sz w:val="16"/>
          <w:szCs w:val="16"/>
          <w:b w:val="1"/>
          <w:bCs w:val="1"/>
          <w:color w:val="auto"/>
        </w:rPr>
        <w:t>6500 Chase Oaks Boulevard, Suite 100, Plano,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75023</w:t>
      </w:r>
    </w:p>
    <w:p>
      <w:pPr>
        <w:spacing w:after="0" w:line="48" w:lineRule="exact"/>
        <w:rPr>
          <w:sz w:val="24"/>
          <w:szCs w:val="24"/>
          <w:color w:val="auto"/>
        </w:rPr>
      </w:pPr>
    </w:p>
    <w:p>
      <w:pPr>
        <w:sectPr>
          <w:pgSz w:w="11900" w:h="16838" w:orient="portrait"/>
          <w:cols w:equalWidth="0" w:num="2">
            <w:col w:w="6790" w:space="720"/>
            <w:col w:w="2660"/>
          </w:cols>
          <w:pgMar w:left="830" w:top="661" w:right="899" w:bottom="1440" w:gutter="0" w:footer="0" w:header="0"/>
          <w:type w:val="continuous"/>
        </w:sectPr>
      </w:pPr>
    </w:p>
    <w:p>
      <w:pPr>
        <w:ind w:left="123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6650" w:space="720"/>
            <w:col w:w="2800"/>
          </w:cols>
          <w:pgMar w:left="830" w:top="661" w:right="899" w:bottom="1440" w:gutter="0" w:footer="0" w:header="0"/>
          <w:type w:val="continuous"/>
        </w:sectPr>
      </w:pPr>
    </w:p>
    <w:p>
      <w:pPr>
        <w:spacing w:after="0" w:line="33"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(978) 614-8100</w:t>
      </w:r>
    </w:p>
    <w:p>
      <w:pPr>
        <w:spacing w:after="0" w:line="28"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2"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N/A</w:t>
      </w:r>
    </w:p>
    <w:p>
      <w:pPr>
        <w:spacing w:after="0" w:line="2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30"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0170"/>
          </w:cols>
          <w:pgMar w:left="830" w:top="661" w:right="899" w:bottom="1440" w:gutter="0" w:footer="0" w:header="0"/>
          <w:type w:val="continuous"/>
        </w:sectPr>
      </w:pPr>
    </w:p>
    <w:p>
      <w:pPr>
        <w:spacing w:after="0" w:line="145" w:lineRule="exact"/>
        <w:rPr>
          <w:sz w:val="24"/>
          <w:szCs w:val="24"/>
          <w:color w:val="auto"/>
        </w:rPr>
      </w:pPr>
    </w:p>
    <w:p>
      <w:pPr>
        <w:ind w:left="117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17" w:lineRule="exact"/>
        <w:rPr>
          <w:sz w:val="24"/>
          <w:szCs w:val="24"/>
          <w:color w:val="auto"/>
        </w:rPr>
      </w:pPr>
    </w:p>
    <w:p>
      <w:pPr>
        <w:sectPr>
          <w:pgSz w:w="11900" w:h="16838" w:orient="portrait"/>
          <w:cols w:equalWidth="0" w:num="3">
            <w:col w:w="3750" w:space="720"/>
            <w:col w:w="1900" w:space="720"/>
            <w:col w:w="3080"/>
          </w:cols>
          <w:pgMar w:left="830" w:top="661" w:right="899" w:bottom="1440" w:gutter="0" w:footer="0" w:header="0"/>
          <w:type w:val="continuous"/>
        </w:sectPr>
      </w:pPr>
    </w:p>
    <w:p>
      <w:pPr>
        <w:ind w:left="710"/>
        <w:spacing w:after="0"/>
        <w:rPr>
          <w:sz w:val="20"/>
          <w:szCs w:val="20"/>
          <w:color w:val="auto"/>
        </w:rPr>
      </w:pPr>
      <w:r>
        <w:rPr>
          <w:rFonts w:ascii="Times New Roman" w:cs="Times New Roman" w:eastAsia="Times New Roman" w:hAnsi="Times New Roman"/>
          <w:sz w:val="14"/>
          <w:szCs w:val="14"/>
          <w:color w:val="auto"/>
        </w:rPr>
        <w:t>Common Stock, par value $0.0001</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4"/>
          <w:szCs w:val="14"/>
          <w:color w:val="auto"/>
        </w:rPr>
        <w:t>RBBN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185" w:lineRule="exact"/>
        <w:rPr>
          <w:sz w:val="24"/>
          <w:szCs w:val="24"/>
          <w:color w:val="auto"/>
        </w:rPr>
      </w:pPr>
    </w:p>
    <w:p>
      <w:pPr>
        <w:sectPr>
          <w:pgSz w:w="11900" w:h="16838" w:orient="portrait"/>
          <w:cols w:equalWidth="0" w:num="3">
            <w:col w:w="4110" w:space="720"/>
            <w:col w:w="1900" w:space="720"/>
            <w:col w:w="2720"/>
          </w:cols>
          <w:pgMar w:left="830" w:top="661" w:right="899" w:bottom="1440" w:gutter="0" w:footer="0" w:header="0"/>
          <w:type w:val="continuous"/>
        </w:sectPr>
      </w:pPr>
    </w:p>
    <w:p>
      <w:pPr>
        <w:ind w:left="1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left="10" w:right="6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left="10" w:right="12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70"/>
          </w:cols>
          <w:pgMar w:left="830" w:top="661" w:right="899" w:bottom="1440" w:gutter="0" w:footer="0" w:header="0"/>
          <w:type w:val="continuous"/>
        </w:sectPr>
      </w:pPr>
    </w:p>
    <w:p>
      <w:pPr>
        <w:spacing w:after="0" w:line="87" w:lineRule="exact"/>
        <w:rPr>
          <w:sz w:val="24"/>
          <w:szCs w:val="24"/>
          <w:color w:val="auto"/>
        </w:rPr>
      </w:pPr>
    </w:p>
    <w:p>
      <w:pPr>
        <w:jc w:val="center"/>
        <w:ind w:left="37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4"/>
          <w:szCs w:val="24"/>
          <w:color w:val="auto"/>
        </w:rPr>
      </w:pPr>
    </w:p>
    <w:p>
      <w:pPr>
        <w:jc w:val="center"/>
        <w:ind w:left="37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32" w:lineRule="exact"/>
        <w:rPr>
          <w:sz w:val="24"/>
          <w:szCs w:val="24"/>
          <w:color w:val="auto"/>
        </w:rPr>
      </w:pPr>
    </w:p>
    <w:p>
      <w:pPr>
        <w:sectPr>
          <w:pgSz w:w="11900" w:h="16838" w:orient="portrait"/>
          <w:cols w:equalWidth="0" w:num="6">
            <w:col w:w="2470" w:space="720"/>
            <w:col w:w="260" w:space="720"/>
            <w:col w:w="1760" w:space="720"/>
            <w:col w:w="340" w:space="720"/>
            <w:col w:w="1340" w:space="720"/>
            <w:col w:w="400"/>
          </w:cols>
          <w:pgMar w:left="830" w:top="661" w:right="899" w:bottom="1440" w:gutter="0" w:footer="0" w:header="0"/>
          <w:type w:val="continuous"/>
        </w:sectPr>
      </w:pPr>
    </w:p>
    <w:p>
      <w:pPr>
        <w:ind w:left="10" w:right="20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330" w:right="134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20, 2025, there were 176,599,590 shares of the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561975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81915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125095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70"/>
          </w:cols>
          <w:pgMar w:left="83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PERIOD ENDED SEPTEMBER 30,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40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0000EE"/>
        </w:rPr>
        <w:t>PART I FINANCIAL INFORMATION</w:t>
      </w:r>
    </w:p>
    <w:p>
      <w:pPr>
        <w:spacing w:after="0" w:line="229" w:lineRule="exact"/>
        <w:rPr>
          <w:sz w:val="20"/>
          <w:szCs w:val="20"/>
          <w:color w:val="auto"/>
        </w:rPr>
      </w:pPr>
    </w:p>
    <w:p>
      <w:pPr>
        <w:ind w:left="460" w:hanging="410"/>
        <w:spacing w:after="0"/>
        <w:tabs>
          <w:tab w:leader="none" w:pos="460"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Financial Statements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2025 and December 31, 2024 (unaudited)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 2025</w:t>
            </w:r>
          </w:p>
        </w:tc>
        <w:tc>
          <w:tcPr>
            <w:tcW w:w="1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and 2024 (unaudited)</w:t>
            </w:r>
          </w:p>
        </w:tc>
        <w:tc>
          <w:tcPr>
            <w:tcW w:w="6520" w:type="dxa"/>
            <w:vAlign w:val="bottom"/>
            <w:gridSpan w:val="11"/>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 for the Three and Nine Months Ended September</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30, 2025 and 2024 (unaudited)</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 Months Ended September</w:t>
            </w: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30, 2025 and 2024 (unaudited)</w:t>
            </w:r>
          </w:p>
        </w:tc>
        <w:tc>
          <w:tcPr>
            <w:tcW w:w="8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2025 and 2024</w:t>
            </w: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40" w:type="dxa"/>
            <w:vAlign w:val="bottom"/>
            <w:gridSpan w:val="3"/>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720" w:type="dxa"/>
            <w:vAlign w:val="bottom"/>
            <w:tcBorders>
              <w:left w:val="single" w:sz="8" w:color="0000EE"/>
            </w:tcBorders>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7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7"/>
              </w:rPr>
              <w:t>PART II OTHER INFORMATION</w:t>
            </w:r>
          </w:p>
        </w:tc>
        <w:tc>
          <w:tcPr>
            <w:tcW w:w="574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5"/>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0"/>
              </w:rPr>
              <w:t>1A.</w:t>
            </w: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5"/>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1027"/>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200" w:right="239" w:firstLine="32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 1995, which are subject to a number of risks and uncertainties. All statements other than statements of historical facts contained in this report, including statements regarding the effect of U.S. tariffs and the responses from other countries, future expenses and restructuring activities and the anticipated benefits thereof, results of operations and financial position, future revenue growth of the Company, expected sales growth in segments or regions, the impacts from the U.S. government shutdown, the effect of the Company’s recent cybersecurity incident, capital structure, impacts from the wars in Israel and Ukraine, financial sanctions and trade restrictions, beliefs about our business strategy, availability of components for the manufacturing of our products, ongoing litigation, plans and objectives of management for future operations and manufacturing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forward-looking statements contain these identifying words.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delayed purchases by U.S. federal customers as a result of the U.S. government shutdown; increases in tariffs, trade restrictions or taxes on our products; supply chain disruptions resulting from component availability and/or geopolitical instabilities and disputes (including those related to the wars in Israel and Ukraine); the impact of military call-ups of our employees in Israel; material litigation; the impact of fluctuations in interest rates; material cybersecurity and data intrusion incidents, including any security breaches resulting in the theft, transfer, or unauthorized disclosure of customer, employee, or company information;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 Additional important factors that could cause actual results to differ materially from those in these forward-looking statements are also discussed in Part I, Item 2, "Management’s Discussion and Analysis of Financial Condition and Results of Operations" and Part I, Item 1A and Part II, Item 7A, "Risk Factors" and "Quantitative and Qualitative Disclosures About Market Risk," respectively, of our Annual Report on Form 10-K for the year ended December 31, 2024. Any forward-looking statement made by us in this report speaks only as of the date on which this report was first filed. We undertake no obligation to publicly update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74,799</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87,770</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254,718</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39,286</w:t>
            </w:r>
          </w:p>
        </w:tc>
        <w:tc>
          <w:tcPr>
            <w:tcW w:w="0" w:type="dxa"/>
            <w:vAlign w:val="bottom"/>
          </w:tcPr>
          <w:p>
            <w:pPr>
              <w:spacing w:after="0"/>
              <w:rPr>
                <w:sz w:val="1"/>
                <w:szCs w:val="1"/>
                <w:color w:val="auto"/>
              </w:rPr>
            </w:pPr>
          </w:p>
        </w:tc>
      </w:tr>
      <w:tr>
        <w:trPr>
          <w:trHeight w:val="20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463,662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34,544</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1,105,234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1,162,554</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term debt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87,759</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106,697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119,295</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330,726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25,962</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745,182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757,933</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390,000,000 shares authorized at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30, 2025; 240,000,000 shares authorized at December 31, 2024;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176,476,492 shares issued and outstanding at September 30, 2025; 175,599,250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at December 31, 2024</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1,970,708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(1,623,614)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(1,574,185)</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404,621</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1,105,234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1,162,554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582,522</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317,590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283,083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109,617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299,643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299,439</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and related</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312,264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315,787</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60" w:type="dxa"/>
            <w:vAlign w:val="bottom"/>
            <w:shd w:val="clear" w:color="auto" w:fill="CCEEFF"/>
          </w:tcPr>
          <w:p>
            <w:pPr>
              <w:spacing w:after="0"/>
              <w:rPr>
                <w:sz w:val="18"/>
                <w:szCs w:val="18"/>
                <w:color w:val="auto"/>
              </w:rPr>
            </w:pPr>
          </w:p>
        </w:tc>
      </w:tr>
      <w:tr>
        <w:trPr>
          <w:trHeight w:val="25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160" w:type="dxa"/>
            <w:vAlign w:val="bottom"/>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loss per share: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173,615</w:t>
            </w:r>
          </w:p>
        </w:tc>
        <w:tc>
          <w:tcPr>
            <w:tcW w:w="1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176,366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173,615</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9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2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gridSpan w:val="2"/>
          </w:tcPr>
          <w:p>
            <w:pPr>
              <w:spacing w:after="0"/>
              <w:rPr>
                <w:sz w:val="10"/>
                <w:szCs w:val="10"/>
                <w:color w:val="auto"/>
              </w:rPr>
            </w:pPr>
          </w:p>
        </w:tc>
      </w:tr>
      <w:tr>
        <w:trPr>
          <w:trHeight w:val="173"/>
        </w:trPr>
        <w:tc>
          <w:tcPr>
            <w:tcW w:w="4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42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loss on interest rate swap, net of</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reclassifications and amortization into earnings</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(6,019)</w:t>
            </w:r>
          </w:p>
        </w:tc>
        <w:tc>
          <w:tcPr>
            <w:tcW w:w="140" w:type="dxa"/>
            <w:vAlign w:val="bottom"/>
            <w:shd w:val="clear" w:color="auto" w:fill="CCEEFF"/>
          </w:tcPr>
          <w:p>
            <w:pPr>
              <w:spacing w:after="0"/>
              <w:rPr>
                <w:sz w:val="20"/>
                <w:szCs w:val="20"/>
                <w:color w:val="auto"/>
              </w:rPr>
            </w:pP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2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(13,136)</w:t>
            </w:r>
          </w:p>
        </w:tc>
        <w:tc>
          <w:tcPr>
            <w:tcW w:w="14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(49,786)</w:t>
            </w:r>
          </w:p>
        </w:tc>
        <w:tc>
          <w:tcPr>
            <w:tcW w:w="14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p>
      <w:pPr>
        <w:spacing w:after="0" w:line="12" w:lineRule="exact"/>
        <w:rPr>
          <w:sz w:val="20"/>
          <w:szCs w:val="20"/>
          <w:color w:val="auto"/>
        </w:rPr>
      </w:pPr>
    </w:p>
    <w:tbl>
      <w:tblPr>
        <w:tblLayout w:type="fixed"/>
        <w:tblInd w:w="20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6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8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10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02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July 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177,156,341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$ 1,973,990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(1,611,505)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(911,092)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(3,478)</w:t>
            </w:r>
          </w:p>
        </w:tc>
        <w:tc>
          <w:tcPr>
            <w:tcW w:w="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297,586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performance-based</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returned to the Company under</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share settlements to satisfy</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 obligations</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(112,569)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(12,109)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176,476,492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$ 1,975,925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(1,623,614)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8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10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02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175,599,250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$ 1,970,708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(1,574,185)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2,922,214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performance-based</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returned to the Company under</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share settlements to satisfy</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 obligations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176,476,492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$ 1,975,925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(1,623,614)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12" w:lineRule="exact"/>
        <w:rPr>
          <w:sz w:val="20"/>
          <w:szCs w:val="20"/>
          <w:color w:val="auto"/>
        </w:rPr>
      </w:pPr>
    </w:p>
    <w:tbl>
      <w:tblPr>
        <w:tblLayout w:type="fixed"/>
        <w:tblInd w:w="20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6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July 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174,437,242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$ 1,964,304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(1,567,127)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417,633</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performance-based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returned to the Company under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share settlements to satisfy</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 obligations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174,735,798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$ 1,967,952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(1,580,549)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172,083,667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$ 1,958,909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(1,519,950)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3,444,670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performance-based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288,672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returned to the Company under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share settlements to satisfy</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 obligations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(1,089,888)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174,735,798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$ 1,967,952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(1,580,549)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2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1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cash flows provided by (used in) operating</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1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accumulated other comprehensive gain related to interest rate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swap</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2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preferred stock liability</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accrued on preferred stock liability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dividends accrued on preferred stock liability</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exchange losses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operating assets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2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software licenses</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payments on revolving line of credit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term debt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342,300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payments of term debt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(236,270)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preferred stock liability</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tax obligations related to vested stock awards and units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40,177</w:t>
            </w:r>
          </w:p>
        </w:tc>
        <w:tc>
          <w:tcPr>
            <w:tcW w:w="20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26,630</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8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refunds received</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 transfers to property and equipment</w:t>
            </w:r>
          </w:p>
        </w:tc>
        <w:tc>
          <w:tcPr>
            <w:tcW w:w="8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 liability released to additional paid-in-capital</w:t>
            </w:r>
          </w:p>
        </w:tc>
        <w:tc>
          <w:tcPr>
            <w:tcW w:w="8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vested restricted and performance-based stock grants</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Ribbon Communications Inc. ("Ribbon" or the "Company") is a leading global provider of communications technology to service providers and enterprises. The Company provides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Ribbon’s mission is to create a recognized global technology leader providing cloud-centric solutions that enable the secure exchange of information, with unparalleled scale, performance, and elasticity. The Company is headquartered in Plano, Texas, and has a global presence with research and development, or sales and support locations in over thirty countries around the world.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 all adjustments, consisting only of normal recurring items, necessary for their fair presentation with accounting principles generally accepted in the United States of America ("GAAP") and with the rules and regulations of the U.S. Securities and Exchange Commission ("SEC").</w:t>
      </w:r>
    </w:p>
    <w:p>
      <w:pPr>
        <w:spacing w:after="0" w:line="180"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Interim results are not necessarily indicative of results for a full year or any future interim period. The information included in this Quarterly Report on Form 10-Q should be read in conjunction with the Company’s Annual Report on Form 10-K for the year ended December 31, 2024 (the "Annual Report"), which was filed with the SEC on February 27,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"CODM") is its president and chief executive officer. The CODM assesses the Company’s performance based on the performance of two separate organizations within Ribbon: the Cloud and Edge segment ("Cloud and Edge") and the IP Optical Networks segment ("IP Optical Networks").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2 to the Consolidated Financial Statements included in the Annual Report. There were no material changes to the Company’s significant accounting policies during the nine months ended September 30,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Ribbon and its wholly-owned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 in consolidation.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Significant estimates and judgments relied upon in preparing these condensed consolidated financial statements include revenue recognition for arrangements that contain multiple performance obligations, inventory valuations, assumptions used to determine the fair value of stock-based compensation and the Preferred Stock and Warrants, intangible asset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goodwill valuations, including impairments, warranty accruals, legal contingencies and recoverability of Ribbon’s net deferred tax assets and the related valuation allowances. Ribbon regularly assesses these estimates and records changes in estimates in the period in which they become known. Ribbon bases its estimates on historical experience and various other assumptions that it believes to be reasonable under the circumstances. Actual results could differ from those estimates.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Company’s IP Optical Networks segment maintains customer receivables factoring agreements with a number of financial institutions. Under the terms of these agreements, the Company may transfer receivables to the financial institutions, on a non-recourse basis, provided that the financial institutions approve the receivables in advance. The Company maintains credit insurance policies from major insurance providers or obtains letters of credit from the customers for a majority of its factored trade receivables. The Company accounts for the factoring of its financial assets as a sale of the assets and records the factoring fees, when incurred, as a component of interest expense in the condensed consolidated statements of operations, and the proceeds from the sales of receivables are included in cash from operating activities in the condensed consolidated statements of cash flows.</w:t>
      </w:r>
    </w:p>
    <w:p>
      <w:pPr>
        <w:spacing w:after="0" w:line="192"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Factoring of accounts receivable and associated fees for the three and nine months ended September 30, 2025 and 2024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9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60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sold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73,597</w:t>
            </w: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factoring fees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(1,773)</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(1,466)</w:t>
            </w:r>
          </w:p>
        </w:tc>
      </w:tr>
      <w:tr>
        <w:trPr>
          <w:trHeight w:val="21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proceeds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(the "FASB") issued ASU 2025-06, </w:t>
      </w:r>
      <w:r>
        <w:rPr>
          <w:rFonts w:ascii="Times New Roman" w:cs="Times New Roman" w:eastAsia="Times New Roman" w:hAnsi="Times New Roman"/>
          <w:sz w:val="18"/>
          <w:szCs w:val="18"/>
          <w:i w:val="1"/>
          <w:iCs w:val="1"/>
          <w:color w:val="auto"/>
        </w:rPr>
        <w:t xml:space="preserve">Intangibles-Goodwill and Other- Internal-Use Software (Subtopic 350-40): Targeted Improvements to the Accounting for Internal-Use Software </w:t>
      </w:r>
      <w:r>
        <w:rPr>
          <w:rFonts w:ascii="Times New Roman" w:cs="Times New Roman" w:eastAsia="Times New Roman" w:hAnsi="Times New Roman"/>
          <w:sz w:val="18"/>
          <w:szCs w:val="18"/>
          <w:color w:val="auto"/>
        </w:rPr>
        <w:t>(“ASU 2025-06”). To clarify how the accounting guidance applies to both linear and nonlinear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this standard removes all references to “developments stages” from ASC 350-40. ASU 2025-06 will be effective for the Company beginning with its 2028 interim and annual financial statements, with early adoption permitted as of the beginning of an annual reporting period. The Company is currently evaluating the impact of this accounting standard on its consolidated financial statements and related disclosures.</w:t>
      </w:r>
    </w:p>
    <w:p>
      <w:pPr>
        <w:spacing w:after="0" w:line="183"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for Accounts Receivable and Contract Assets </w:t>
      </w:r>
      <w:r>
        <w:rPr>
          <w:rFonts w:ascii="Times New Roman" w:cs="Times New Roman" w:eastAsia="Times New Roman" w:hAnsi="Times New Roman"/>
          <w:sz w:val="18"/>
          <w:szCs w:val="18"/>
          <w:color w:val="auto"/>
        </w:rPr>
        <w:t>(“ASU 2025-05”), which provides a practical expedient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estimation of expected credit losses for current accounts receivable and current contract assets that arise from transactions accounted for under ASC 606. In developing reasonable and supportable forecasts as part of estimating expected credit losses, all entities may elect a practical expedient that assumes that current conditions as of the balance sheet date do not change for the remaining life of the asset. ASU 2025-06 will be effective for the Company beginning with its 2026 interim and annual financial statements, with early adoption permitted. The Company believes this ASU will have no material impact on its consolidated financial statements.</w:t>
      </w:r>
    </w:p>
    <w:p>
      <w:pPr>
        <w:spacing w:after="0" w:line="185" w:lineRule="exact"/>
        <w:rPr>
          <w:sz w:val="20"/>
          <w:szCs w:val="20"/>
          <w:color w:val="auto"/>
        </w:rPr>
      </w:pPr>
    </w:p>
    <w:p>
      <w:pPr>
        <w:ind w:left="60" w:right="339" w:firstLine="324"/>
        <w:spacing w:after="0" w:line="28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Reporting Comprehensive Income: Expense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Disaggregation Disclosures (Subtopic 220-40) </w:t>
      </w:r>
      <w:r>
        <w:rPr>
          <w:rFonts w:ascii="Times New Roman" w:cs="Times New Roman" w:eastAsia="Times New Roman" w:hAnsi="Times New Roman"/>
          <w:sz w:val="17"/>
          <w:szCs w:val="17"/>
          <w:color w:val="auto"/>
        </w:rPr>
        <w:t>(“ASU 2024-03”), which requires disaggregation of certain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captions into specified categories in disclosures within the footnotes to the financial statements. The objective of this standard is to provide investors with information to better understand a public entity’s performance and prospects for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future cash flows, and to compare its performance over time with that of other entities. ASU 2024-03 will be effective for the Company beginning with our 2027 annual financial statements and interim financial statements thereafter, with early adoption permitted. The adoption of ASU 2024-03 will require the Company to provide new footnote disclosure about the types of expenses that are included in certain captions on its Statements of Operations, such as Cost of revenue, Research and development, Sales and marketing, and General and administrative.</w:t>
      </w:r>
    </w:p>
    <w:p>
      <w:pPr>
        <w:spacing w:after="0" w:line="181"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which increases the disclosure requirements around rate reconciliation information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types of income taxes companies are required to pay. ASU 2023-09 will be effective for the Company beginning with its 2025 annual financial statements. The Company expects the adoption of the standard will require certain additional income tax disclosure.</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 average number of shares outstanding during the period. For periods in which the Company reports net income, diluted net earnings per share is determined by using the weighted average number of common and dilutive common equivalent shares outstanding during the period, unless the effect is antidilutive.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shares used to compute loss per share were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1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580" w:type="dxa"/>
            <w:vAlign w:val="bottom"/>
          </w:tcPr>
          <w:p>
            <w:pPr>
              <w:spacing w:after="0"/>
              <w:rPr>
                <w:sz w:val="10"/>
                <w:szCs w:val="10"/>
                <w:color w:val="auto"/>
              </w:rPr>
            </w:pPr>
          </w:p>
        </w:tc>
        <w:tc>
          <w:tcPr>
            <w:tcW w:w="10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0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r>
      <w:tr>
        <w:trPr>
          <w:trHeight w:val="173"/>
        </w:trPr>
        <w:tc>
          <w:tcPr>
            <w:tcW w:w="45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173,615</w:t>
            </w:r>
          </w:p>
        </w:tc>
        <w:tc>
          <w:tcPr>
            <w:tcW w:w="1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Potential dilutive common shares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9" w:lineRule="auto"/>
        <w:rPr>
          <w:sz w:val="20"/>
          <w:szCs w:val="20"/>
          <w:color w:val="auto"/>
        </w:rPr>
      </w:pPr>
      <w:r>
        <w:rPr>
          <w:rFonts w:ascii="Times New Roman" w:cs="Times New Roman" w:eastAsia="Times New Roman" w:hAnsi="Times New Roman"/>
          <w:sz w:val="17"/>
          <w:szCs w:val="17"/>
          <w:color w:val="auto"/>
        </w:rPr>
        <w:t>Options to purchase the Company’s common stock and unvested restricted and performance-based stock units aggregating 14.0 million and 8.1 million shares were excluded from the computation of diluted loss per share for the three and nine months ended September 30, 2025 and 2024, respectively, because their effect would have been antidilutive.</w:t>
      </w:r>
    </w:p>
    <w:p>
      <w:pPr>
        <w:spacing w:after="0" w:line="158"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On March 28, 2023, the Company issued 55,000 shares of newly designated Series A Preferred Stock (the "Preferred Stock") to investors in a private placement offering at a price of $970 per share, along with 4.9 million warrants (the "Warrants") to purchase shares of the Company’s common stock, par value $0.0001 per share (the "Private Placement"), at the exercise price of $3.77 per share. The proceeds from the Private Placement were approximately $53.4 million, including approximately $10 million from existing related party stockholders (See Note 11).</w:t>
      </w:r>
    </w:p>
    <w:p>
      <w:pPr>
        <w:spacing w:after="0" w:line="183"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On June 25, 2024, the Company redeemed the Preferred Stock with a portion of the proceeds from its refinancing of the 2020 Credit Facility at a rate of 103% for a total of approximately $63.5 million. During the nine months ended September 30, 2025, 0.2 million Warrants were exercised. The remaining Warrants outstanding continue without modification. See Note 9 for a description of the refinancing of the 2020 Credit Facility.</w:t>
      </w:r>
    </w:p>
    <w:p>
      <w:pPr>
        <w:spacing w:after="0" w:line="180"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and 2024, the potential number of dilutive shares from the Warrants outstanding totaled 4.7 million and 4.9 million shares, respectively. For the three and nine months ended September 30, 2025, 0.2 million of Warrants would have been included in the calculation of diluted loss per share, but had no impact due to the Company’s net loss position. There was no impact on weighted average shares outstanding from these Warrants for three and nine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months ended September 30, 2024 as the average market price of the Company’s common stock was below the exercise price of $3.77 per share and their effect would have been antidilutive.</w:t>
      </w:r>
    </w:p>
    <w:p>
      <w:pPr>
        <w:spacing w:after="0" w:line="16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Dividends accrued on the Preferred Stock were not an adjustment to net income (loss) used for the calculation of diluted earnings (loss) per share as these dividends were included in the fair value adjustment of the Preferred Stock which was reflected in Other income (expense), net until the redemption of the Preferred Stock on June 25,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at September 30, 2025 and December 31, 2024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On-hand assemblies and finished goods inventories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95,366</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10"/>
        </w:trPr>
        <w:tc>
          <w:tcPr>
            <w:tcW w:w="6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97,796</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noncurrent portion (included in Other assets)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(16,846)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(18,617)</w:t>
            </w:r>
          </w:p>
        </w:tc>
      </w:tr>
      <w:tr>
        <w:trPr>
          <w:trHeight w:val="209"/>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INTANGIBLE ASSETS AND GOODWILL</w:t>
      </w:r>
    </w:p>
    <w:p>
      <w:pPr>
        <w:spacing w:after="0" w:line="229"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The Company’s intangible assets at September 30, 2025 and December 31, 2024 consisted of the following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$ 340,380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$ 619,268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$ 340,380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$ 619,268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Estimated future amortization expense for the Company’s intangible assets at September 30, 2025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39,143</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33,979</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w:t>
            </w:r>
          </w:p>
        </w:tc>
      </w:tr>
      <w:tr>
        <w:trPr>
          <w:trHeight w:val="210"/>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153,752</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to the carrying value of the Company’s goodwill in the nine months ended September 30, 2025 and 2024. The components of goodwill at both September 30, 2025 and 2024 were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Cloud and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IP Optical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Edge</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584,298</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(283,406)</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224,896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HIERARCHY</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carrying amounts of the Company’s cash equivalents, accounts receivable, accounts payable and borrowings under a revolving credit facility in the condensed consolidated balance sheets approximate fair value due to the immediate or short-term nature of these financial instruments. Ribbon’s term debt balance as of September 30, 2025 and December 31, 2024 of $344.3 million and $348.3 million, respectively, had a fair value of approximately $348.6 million and $350.4 million, respectively. The Company’s Warrant liability had a fair value of $5.1 million and $8.1 million as of September 30, 2025 and December 31, 2024, respectively.</w:t>
      </w:r>
    </w:p>
    <w:p>
      <w:pPr>
        <w:spacing w:after="0" w:line="18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7" w:lineRule="exact"/>
        <w:rPr>
          <w:sz w:val="20"/>
          <w:szCs w:val="20"/>
          <w:color w:val="auto"/>
        </w:rPr>
      </w:pPr>
    </w:p>
    <w:p>
      <w:pPr>
        <w:ind w:left="1040" w:right="15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 The Company had no assets or liabilities fair valued using Level 1 input at September 30, 2025 or December 31, 2024.</w:t>
      </w:r>
    </w:p>
    <w:p>
      <w:pPr>
        <w:spacing w:after="0" w:line="175" w:lineRule="exact"/>
        <w:rPr>
          <w:rFonts w:ascii="Times New Roman" w:cs="Times New Roman" w:eastAsia="Times New Roman" w:hAnsi="Times New Roman"/>
          <w:sz w:val="18"/>
          <w:szCs w:val="18"/>
          <w:color w:val="auto"/>
        </w:rPr>
      </w:pPr>
    </w:p>
    <w:p>
      <w:pPr>
        <w:ind w:left="1040" w:right="119" w:hanging="315"/>
        <w:spacing w:after="0" w:line="255"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inputs that are directly or indirectly observable in the marketplace, such as quoted prices for similar assets or liabilities in active markets or quoted prices for identical assets or liabilities in markets with insufficient volume or infrequent transactions (less active markets). At December 31, 2024, the Company determined the fair value of its defined benefit plans’ assets using Level 2 input. There were no significant changes to the Company’s defined benefit plans’ assets during the nine months ended September 30, 2025 that required the calculation of their fair value as of September 30, 2025.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jc w:val="both"/>
        <w:ind w:left="1040" w:right="219" w:hanging="315"/>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 Level 3 input was used to determine the fair value of the Company’s Warrants at September 30, 2025 and December 31, 2024.</w:t>
      </w:r>
    </w:p>
    <w:p>
      <w:pPr>
        <w:spacing w:after="0" w:line="1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Company had no transfers between Level 2 and Level 3 fair value measurements during the three and nine months ended September 30, 2025 or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ACCRUED EXPENSES AND OTHER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at September 30, 2025 and December 31, 2024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related costs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44,948</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38,600</w:t>
            </w:r>
          </w:p>
        </w:tc>
      </w:tr>
      <w:tr>
        <w:trPr>
          <w:trHeight w:val="209"/>
        </w:trPr>
        <w:tc>
          <w:tcPr>
            <w:tcW w:w="6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106,251</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WARRANTY</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warranty accrual balance in the nine months ended September 30, 2025 were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w:t>
            </w: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2025, the Company’s accrual for product warranties was reflected in its condensed consolidated balance sheet as a current liability in Accrued expenses and other of $5.5 million, and as a long-term liability in Other long-term liabilities of $7.5 million.</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RESTRUCTURING AND FACILITIES CONSOLIDATION INITIATIVES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restructuring and related expense aggregating $3.5 million and $3.8 million in the three months ended September 30, 2025 and 2024, respectively, and $10.2 million and $8.8 million in the nine months ended September 30, 2025 and 2024, respectively. Restructuring and related expense includes restructuring expense (primarily severance and related costs), estimated future variable and other lease costs for vacated properties with no intent or ability to sublease, and accelerated rent amortization expense.</w:t>
      </w:r>
    </w:p>
    <w:p>
      <w:pPr>
        <w:spacing w:after="0" w:line="183"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For restructuring events that involve lease assets and liabilities, the Company applies lease reassessment and modification guidance and evaluates the right-of-use assets for potential impairment. If the Company plans to exit all or distinct portions of a facility and does not have the ability or intent to sublease, the Company will accelerate the amortization of each of those lease components through the vacate date. The accelerated amortization is recorded as a component of Restructuring and related expense in the Company’s condensed consolidated statements of operations. Related variable lease expenses will continue to be expensed as incurred through the vacate date, at which time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Company will reassess the liability balance to ensure it appropriately reflects the remaining liability associated with the premises and record a liability for the estimated future variable lease costs.</w:t>
      </w:r>
    </w:p>
    <w:p>
      <w:pPr>
        <w:spacing w:after="0" w:line="16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Accelerated amortization of lease assets is recognized from the date that the Company commences the plan to fully or partially vacate a facility, for which there is no intent or ability to enter into a sublease, through the final vacate date. Amounts of accelerated rent amortization that are included as a component of restructuring and related expense are excluded from the tables below, as the liability for lease payments for each respective facility is included as a component of Operating lease liabilities in the Company’s condensed consolidated balance sheets at September 30, 2025 and December 31, 2024 (see Note 17). The Company may incur additional future expense if it is unable to sublease other locations included in the facilities initiative.</w:t>
      </w:r>
    </w:p>
    <w:p>
      <w:pPr>
        <w:spacing w:after="0" w:line="18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restructuring and related expense for the three and nine months ended September 30, 2025 and 2024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9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60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and other facilities-related costs</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60" w:type="dxa"/>
            <w:vAlign w:val="bottom"/>
            <w:tcBorders>
              <w:bottom w:val="single" w:sz="8" w:color="CCEEFF"/>
            </w:tcBorders>
          </w:tcPr>
          <w:p>
            <w:pPr>
              <w:spacing w:after="0"/>
              <w:rPr>
                <w:sz w:val="18"/>
                <w:szCs w:val="18"/>
                <w:color w:val="auto"/>
              </w:rPr>
            </w:pPr>
          </w:p>
        </w:tc>
      </w:tr>
      <w:tr>
        <w:trPr>
          <w:trHeight w:val="210"/>
        </w:trPr>
        <w:tc>
          <w:tcPr>
            <w:tcW w:w="4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Restructuring Plan</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During the first quarter of 2025, the Company’s President and CEO approved a strategic restructuring program (as subsequently amended, the "2025 Restructuring Plan") that consists of workforce reductions in certain of the Company’s operating locations to correspond with current sales levels in those areas. The 2025 Restructuring Plan was amended in the third quarter of 2025 to reflect an increase in the scope of the proposed reductions. Any potential positions eliminated in countries outside the United States are subject to local law and consultation requirements. In connection with the 2025 Restructuring Plan, the Company recorded restructuring and related expense of $2.5 million and $5.1 million in the three and nine months ended September 30, 2025, respectively, with cash payments of $3.1 million in the nine months ended September 30, 2025.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Restructuring Plan</w:t>
      </w:r>
    </w:p>
    <w:p>
      <w:pPr>
        <w:spacing w:after="0" w:line="229" w:lineRule="exact"/>
        <w:rPr>
          <w:sz w:val="20"/>
          <w:szCs w:val="20"/>
          <w:color w:val="auto"/>
        </w:rPr>
      </w:pPr>
    </w:p>
    <w:p>
      <w:pPr>
        <w:ind w:left="60" w:right="139" w:firstLine="324"/>
        <w:spacing w:after="0" w:line="281" w:lineRule="auto"/>
        <w:rPr>
          <w:sz w:val="20"/>
          <w:szCs w:val="20"/>
          <w:color w:val="auto"/>
        </w:rPr>
      </w:pPr>
      <w:r>
        <w:rPr>
          <w:rFonts w:ascii="Times New Roman" w:cs="Times New Roman" w:eastAsia="Times New Roman" w:hAnsi="Times New Roman"/>
          <w:sz w:val="17"/>
          <w:szCs w:val="17"/>
          <w:color w:val="auto"/>
        </w:rPr>
        <w:t>On February 22, 2023, the Company’s Board of Directors approved a strategic restructuring program (the "2023 Restructuring Plan") to streamline the Company’s operations in order to support the Company’s investment in critical growth areas. The 2023 Restructuring Plan includes, among other things, charges related to a workforce reduction. Any potential positions eliminated in countries outside the United States are subject to local law and consultation requirements.</w:t>
      </w:r>
    </w:p>
    <w:p>
      <w:pPr>
        <w:spacing w:after="0" w:line="16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restructuring and related expense of $0.1 million in the three and nine months ended September 30, 2025 related to the 2023 Restructuring Plan. The Company recorded restructuring and related expense, consisting entirely of severance related costs, of $0.1 million and $2.1 million in the three and nine months ended September 30, 2024, respectively. Changes to accrued restructuring during the nine months ended September 30, 2025 and the accrued restructuring balance as of September 30, 2025 related to the 2023 Restructuring Plan were nominal.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Restructuring Plan</w:t>
      </w:r>
    </w:p>
    <w:p>
      <w:pPr>
        <w:spacing w:after="0" w:line="229"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On February 14, 2022, the Company’s Board of Directors approved a strategic restructuring program (the "2022 Restructuring Plan") to streamline the Company’s operations in order to support the Company’s investment in critical</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growth areas. The 2022 Restructuring Plan includes, among other things, charges related to a consolidation of facilities and a workforce reduction. Any positions eliminated in countries outside the United States are subject to local law and consultation requirements.</w:t>
      </w:r>
    </w:p>
    <w:p>
      <w:pPr>
        <w:spacing w:after="0" w:line="1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2022 Restructuring Plan, the Company recorded restructuring and related expense for variable and other facilities-related costs of $0.9 million and $1.5 million in the three months ended September 30, 2025 and 2024, respectively, and $5.2 million and $4.5 million in the nine months ended September 30, 2025 and 2024, respectively. A summary of the 2022 Restructuring Plan accrual activity for the nine months ended September 30, 2025 is as follows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Initiatives</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80" w:type="dxa"/>
            <w:vAlign w:val="bottom"/>
          </w:tcPr>
          <w:p>
            <w:pPr>
              <w:spacing w:after="0"/>
              <w:rPr>
                <w:sz w:val="13"/>
                <w:szCs w:val="13"/>
                <w:color w:val="auto"/>
              </w:rPr>
            </w:pPr>
          </w:p>
        </w:tc>
        <w:tc>
          <w:tcPr>
            <w:tcW w:w="10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and other facilities-related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current portions of accrued restructuring were $2.3 million and $1.4 million at September 30, 2025 and December 31, 2024, respectively, and are included as components of Accrued expenses in the condensed consolidated balance sheets. The long-term portions of accrued restructuring are included as components of Other long-term liabilities in the condensed consolidated balance sheets. The long-term portions of accrued restructuring were $0.6 million and $0.8 million at September 30, 2025 and December 31, 2024,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Credit Facility</w:t>
      </w:r>
    </w:p>
    <w:p>
      <w:pPr>
        <w:spacing w:after="0" w:line="229" w:lineRule="exact"/>
        <w:rPr>
          <w:sz w:val="20"/>
          <w:szCs w:val="20"/>
          <w:color w:val="auto"/>
        </w:rPr>
      </w:pPr>
    </w:p>
    <w:p>
      <w:pPr>
        <w:ind w:left="60" w:right="319" w:firstLine="324"/>
        <w:spacing w:after="0" w:line="269" w:lineRule="auto"/>
        <w:rPr>
          <w:sz w:val="20"/>
          <w:szCs w:val="20"/>
          <w:color w:val="auto"/>
        </w:rPr>
      </w:pPr>
      <w:r>
        <w:rPr>
          <w:rFonts w:ascii="Times New Roman" w:cs="Times New Roman" w:eastAsia="Times New Roman" w:hAnsi="Times New Roman"/>
          <w:sz w:val="17"/>
          <w:szCs w:val="17"/>
          <w:color w:val="auto"/>
        </w:rPr>
        <w:t>On June 21, 2024, the Company entered into a Senior Secured Credit Facilities Credit Agreement (the “2024 Credit Facility” or “Credit Agreement”) as guarantor, with the Company’s wholly-owned subsidiary, Ribbon Communications Operating Company, Inc., as the borrower (the “Borrower”), HPS Investment Partners, LLC ("HPS"), as administrative agent, and HPS and WhiteHorse Capital Management, LLC ("WhiteHorse" and, together with HPS, the "Lenders"), pursuant to which the Lenders provided the Company with a $385 million Credit Agreement comprised of (i) a</w:t>
      </w:r>
    </w:p>
    <w:p>
      <w:pPr>
        <w:spacing w:after="0" w:line="3" w:lineRule="exact"/>
        <w:rPr>
          <w:sz w:val="20"/>
          <w:szCs w:val="20"/>
          <w:color w:val="auto"/>
        </w:rPr>
      </w:pPr>
    </w:p>
    <w:p>
      <w:pPr>
        <w:ind w:left="60" w:right="519"/>
        <w:spacing w:after="0" w:line="265" w:lineRule="auto"/>
        <w:rPr>
          <w:sz w:val="20"/>
          <w:szCs w:val="20"/>
          <w:color w:val="auto"/>
        </w:rPr>
      </w:pPr>
      <w:r>
        <w:rPr>
          <w:rFonts w:ascii="Times New Roman" w:cs="Times New Roman" w:eastAsia="Times New Roman" w:hAnsi="Times New Roman"/>
          <w:sz w:val="17"/>
          <w:szCs w:val="17"/>
          <w:color w:val="auto"/>
        </w:rPr>
        <w:t>$350 million term loan (the “2024 Term Loan”) and (ii) a $35 million revolving credit facility (the “2024 Revolver”), including a $20 million sublimit for letters of credit. The proceeds received from the 2024 Term Loan were used to</w:t>
      </w:r>
    </w:p>
    <w:p>
      <w:pPr>
        <w:ind w:left="300" w:hanging="250"/>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100% of the amounts outstanding under the 2020 Credit Facility, (b) redeem in full the Preferred Stock and</w:t>
      </w:r>
    </w:p>
    <w:p>
      <w:pPr>
        <w:spacing w:after="0" w:line="9" w:lineRule="exact"/>
        <w:rPr>
          <w:rFonts w:ascii="Times New Roman" w:cs="Times New Roman" w:eastAsia="Times New Roman" w:hAnsi="Times New Roman"/>
          <w:sz w:val="18"/>
          <w:szCs w:val="18"/>
          <w:color w:val="auto"/>
        </w:rPr>
      </w:pPr>
    </w:p>
    <w:p>
      <w:pPr>
        <w:ind w:left="60" w:right="519" w:hanging="10"/>
        <w:spacing w:after="0" w:line="260"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fees and expenses related to the 2024 Credit Facility. The excess proceeds are being used by the Company for working capital and other general corporate purposes.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2024 Term Loan and the 2024 Revolver bear interest, at the Borrower’s option, at either the Alternate Base Rate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(“ABR”) or Term Secured Overnight Financing Rate ("SOFR") with an Applicable Margin for each (all as defined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Credit Facility). Margins for the first six months were 5.25% per annum for ABR Loans and 6.25% per annum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SOFR Loans. Thereafter, margins vary based on the Company’s Consolidated Net Leverage Ratio, ranging from 4.75%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5.25% per annum for ABR Loans and 5.75% to 6.25% per annum for SOFR Loans. The 2024 Term Loan and the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Revolver will both mature on June 21, 2029. The 2024 Term Loan is being repaid in equal quarterly installments: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$0.9 million beginning with the third quarter of 2024 through the second quarter of 2025;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 million beginning with the third quarter of 2025 and ending with the second quarter of 2027; and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$4.4 million quarterly thereafter, with the remaining principal balance of approximately $298.4 million due on the maturity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of June 21, 2029. In connection with the establishment of the 2024 Credit Facility, $7.7 million of original issue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discount was withheld by the Lenders, and the Company incurred $6.3 million of debt issuance costs for a total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$14.0 million that is being amortized to Interest expense, net over the term of the 2024 Credit Facility.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2024 Credit Facility requires compliance with a Maximum Consolidated Net Leverage Ratio (the "Financial Covenant"), as defined in the 2024 Credit Facility, which is tested on a quarterly basis. The Company was in compliance with the Financial Covenant as of September 30, 2025 and December 31, 2024.</w:t>
      </w:r>
    </w:p>
    <w:p>
      <w:pPr>
        <w:spacing w:after="0" w:line="17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indebtedness and other obligations under the 2024 Credit Facility are irrevocably and unconditionally guaranteed on a joint and several basis by the Company and its subsidiaries (together, the "Guarantors"). The 2024 Credit Facility is secured on a first-priority basis by liens on substantially all assets of the Borrower and the Guarantors.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2020 Credit Facility</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On June 21, 2024, the Company used the proceeds from the 2024 Credit Facility to, among other things, repay all amounts outstanding under its Senior Secured Credit Facilities Credit Agreement, dated March 3, 2020 (as amended, the "2020 Credit Facility"), by and among the Company, as a guarantor, Ribbon Communications Operating Company, Inc., as the borrower (the "Borrower"), Citizens Bank, N.A., Santander Bank, N.A., and others as lenders ("2020 Credit Facility Lenders"). The Company wrote off $2.0 million of debt issuance costs in conjunction with the early extinguishment of the 2020 Credit Facility.</w:t>
      </w:r>
    </w:p>
    <w:p>
      <w:pPr>
        <w:spacing w:after="0" w:line="18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2020 Credit Facility had a maturity date of March 2025 and originally provided for $500 million of commitments from the 2020 Credit Facility Lenders to the Borrower, comprised of $400 million in term loans (the "2020 Term Loan Facility") and a $100 million facility available for revolving loans (the "2020 Revolving Credit Facility"). Under the 2020 Revolving Credit Facility, a $30 million sublimit was originally available for letters of credit and a $20 million sublimit was available for swingline loans.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 entered into the Sixth Amendment to the 2020 Credit Facility (the “Sixth Amendment”) effective March 30, 2023. Among other things, the Sixth Amendment reduced the maximum borrowings allowed under the 2020 Revolving Credit Facility from $100 million to $75 million and the sublimit available for letters of credit was reduced from $30 million to $20 million. Also, the Sixth Amendment replaced LIBOR with SOFR as the alternative rate available to the Company for calculating interest owed under the 2020 Credit Facility with the margin fixed at 4.5%. Debt issuance costs associated with the Sixth Amendment totaled $1.7 million and were being amortized on a straight-line basis over the remaining life of the 2020 Credit Facility and were written off in conjunction with the early extinguishment of the 2020 Credit Facility on June 21, 2024.</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 had the following outstanding borrowings, unamortized debt issuance costs and original issue discount, letters of credit, interest rates, and remaining borrowing capacity under the 2024 Credit Facility as of September 30, 2025 and December 31, 2024:</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Term Debt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 net of Current (Face Amount)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Original Issue Discount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Unamortized Debt Issuance Costs - Contra-Liability</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330,726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Face Amount of Borrowings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Original Issue Discount and Debt Issuance Costs: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 - Contra Liability</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Unamortized Original Issue Discount and Debt Issuance Costs</w:t>
            </w:r>
          </w:p>
        </w:tc>
        <w:tc>
          <w:tcPr>
            <w:tcW w:w="7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Remaining Borrowing Capacity</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Interest Rates: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 Loan</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10.6 %</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20" w:type="dxa"/>
            <w:vAlign w:val="bottom"/>
            <w:shd w:val="clear" w:color="auto" w:fill="CCEEFF"/>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Company’s debt maturities as of September 30, 2025 were as follows:</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0" w:type="dxa"/>
            <w:vAlign w:val="bottom"/>
          </w:tcPr>
          <w:p>
            <w:pPr>
              <w:spacing w:after="0"/>
              <w:rPr>
                <w:sz w:val="18"/>
                <w:szCs w:val="18"/>
                <w:color w:val="auto"/>
              </w:rPr>
            </w:pPr>
          </w:p>
        </w:tc>
      </w:tr>
      <w:tr>
        <w:trPr>
          <w:trHeight w:val="21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0" w:type="dxa"/>
            <w:vAlign w:val="bottom"/>
          </w:tcPr>
          <w:p>
            <w:pPr>
              <w:spacing w:after="0"/>
              <w:rPr>
                <w:sz w:val="18"/>
                <w:szCs w:val="18"/>
                <w:color w:val="auto"/>
              </w:rPr>
            </w:pPr>
          </w:p>
        </w:tc>
      </w:tr>
      <w:tr>
        <w:trPr>
          <w:trHeight w:val="216"/>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20" w:type="dxa"/>
            <w:vAlign w:val="bottom"/>
          </w:tcPr>
          <w:p>
            <w:pPr>
              <w:spacing w:after="0"/>
              <w:rPr>
                <w:sz w:val="18"/>
                <w:szCs w:val="18"/>
                <w:color w:val="auto"/>
              </w:rPr>
            </w:pPr>
          </w:p>
        </w:tc>
      </w:tr>
      <w:tr>
        <w:trPr>
          <w:trHeight w:val="21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Pr>
          <w:p>
            <w:pPr>
              <w:spacing w:after="0"/>
              <w:rPr>
                <w:sz w:val="18"/>
                <w:szCs w:val="18"/>
                <w:color w:val="auto"/>
              </w:rPr>
            </w:pPr>
          </w:p>
        </w:tc>
      </w:tr>
      <w:tr>
        <w:trPr>
          <w:trHeight w:val="216"/>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302,750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344,312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Other Guarantees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the course of its business, the Company uses letters of credit, bank guarantees, and surety bonds (collectively, "Guarantees"). The Company had $11.1 million and $10.9 million of Guarantees under various uncommitted facilities as of September 30, 2025 and December 31, 2024, respectively. The Company had no letters of credit outstanding under the 2024 Credit Facility as of September 30, 2025 or December 31, 2024. At September 30, 2025 and December 31, 2024, the Company had cash collateral of $2.0 million and $2.7 million supporting the Guarantees, respectively, which are reported as Restricted cash in the Company’s condensed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 is exposed to financial market risk related to foreign currency fluctuations and changes in interest rates. These exposures are actively monitored by management. To manage the volatility related to the exposure to changes in interest rates, the Company may enter into derivative financial instruments. Management’s objective has been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439"/>
        <w:spacing w:after="0" w:line="289" w:lineRule="auto"/>
        <w:rPr>
          <w:sz w:val="20"/>
          <w:szCs w:val="20"/>
          <w:color w:val="auto"/>
        </w:rPr>
      </w:pPr>
      <w:r>
        <w:rPr>
          <w:rFonts w:ascii="Times New Roman" w:cs="Times New Roman" w:eastAsia="Times New Roman" w:hAnsi="Times New Roman"/>
          <w:sz w:val="17"/>
          <w:szCs w:val="17"/>
          <w:color w:val="auto"/>
        </w:rPr>
        <w:t>to reduce, where it is deemed appropriate to do so, fluctuations in earnings and cash flows associated with changes in interest rates. Ribbon’s policies and practices are to use derivative financial instruments only to the extent necessary to manage exposures. Ribbon does not hold or issue derivative financial instruments for trading or speculative purposes.</w:t>
      </w:r>
    </w:p>
    <w:p>
      <w:pPr>
        <w:spacing w:after="0" w:line="15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specific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 of Interest Rate Risk</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2024 Term Loan Facility had outstanding balances of $344.3 million and $348.3 million at September 30, 2025 and December 31, 2024, respectively. The 2024 Revolving Credit Facility was undrawn at September 30, 2025 and December 31, 2024. Borrowings under the 2024 Credit Facility and the 2020 Credit Facility have variable interest rates based on SOFR (see Note 9).</w:t>
      </w:r>
    </w:p>
    <w:p>
      <w:pPr>
        <w:spacing w:after="0" w:line="180" w:lineRule="exact"/>
        <w:rPr>
          <w:sz w:val="20"/>
          <w:szCs w:val="20"/>
          <w:color w:val="auto"/>
        </w:rPr>
      </w:pPr>
    </w:p>
    <w:p>
      <w:pPr>
        <w:jc w:val="both"/>
        <w:ind w:left="60" w:right="359" w:firstLine="324"/>
        <w:spacing w:after="0" w:line="289" w:lineRule="auto"/>
        <w:rPr>
          <w:sz w:val="20"/>
          <w:szCs w:val="20"/>
          <w:color w:val="auto"/>
        </w:rPr>
      </w:pPr>
      <w:r>
        <w:rPr>
          <w:rFonts w:ascii="Times New Roman" w:cs="Times New Roman" w:eastAsia="Times New Roman" w:hAnsi="Times New Roman"/>
          <w:sz w:val="17"/>
          <w:szCs w:val="17"/>
          <w:color w:val="auto"/>
        </w:rPr>
        <w:t>As a result of exposure to interest rate movements, the Company entered into an interest rate swap arrangement in March 2020 which effectively converted its $400 million term loan with its variable interest rate based upon one-month LIBOR to an aggregate fixed rate of 0.904%, plus a leverage-based margin as defined in the 2020 Credit Facility.</w:t>
      </w:r>
    </w:p>
    <w:p>
      <w:pPr>
        <w:spacing w:after="0" w:line="158" w:lineRule="exact"/>
        <w:rPr>
          <w:sz w:val="20"/>
          <w:szCs w:val="20"/>
          <w:color w:val="auto"/>
        </w:rPr>
      </w:pPr>
    </w:p>
    <w:p>
      <w:pPr>
        <w:ind w:left="60" w:right="79" w:firstLine="324"/>
        <w:spacing w:after="0" w:line="273" w:lineRule="auto"/>
        <w:rPr>
          <w:sz w:val="20"/>
          <w:szCs w:val="20"/>
          <w:color w:val="auto"/>
        </w:rPr>
      </w:pPr>
      <w:r>
        <w:rPr>
          <w:rFonts w:ascii="Times New Roman" w:cs="Times New Roman" w:eastAsia="Times New Roman" w:hAnsi="Times New Roman"/>
          <w:sz w:val="17"/>
          <w:szCs w:val="17"/>
          <w:color w:val="auto"/>
        </w:rPr>
        <w:t>In two separate transactions during 2022, the Company sold a total of $60 million of the notional amount of its interest rate swap back to its counterparty for $3.1 million, reducing the notional amount of this swap to $340 million. The gain in Accumulated other comprehensive (loss) income related to these sales totaled $3.1 million and was being released into earnings on a straight-line basis over the remaining term of the 2020 Credit Facility as a decrease to interest expense, the amortization of which totaled $0.2 million and $0.4 million in three and nine months ended September 30, 2024, respectively. The remaining unamortized gain in Accumulated other comprehensive (loss) income of approximately $0.5 million was written off to interest expense in conjunction with the refinancing of the 2020 Credit Facility on June 21, 2024.</w:t>
      </w:r>
    </w:p>
    <w:p>
      <w:pPr>
        <w:spacing w:after="0" w:line="171"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two separate transactions in 2023, the Company received a total of $19.2 million, consisting of $0.8 million of interest and $18.4 million for the sale of the remaining $340 million notional amount of its swap. The portion of the gain in Accumulated other comprehensive (loss) income related to the term loan debt prepaid on the date of the final sale of the swap totaled $7.3 million and was released into earnings immediately as Other expense, net. The portion of the gain in Accumulated other comprehensive (loss) income related to the remaining term loan debt balance totaled $12.0 million and was being released into earnings on a straight-line basis over the remaining term of the 2020 Credit Facility as a decrease to interest expense beginning in the second quarter of 2023, the amortization of which was $1.4 million and $3.0 million for three and nine months ended September 30, 2024, respectively. The remaining unamortized gain in Accumulated other comprehensive (loss) income of $4.4 million was written off to interest expense in conjunction with the refinancing of the 2020 Credit Facility on June 21, 2024.</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have been to add stability to interest expense and to manage its exposure to interest rate movements. To accomplish these objectives, the Company has used an interest rate swap as part of its interest rate risk management strategy. Interest rate swaps designated as cash flow hedges involve the receipt of variable amounts from a counterparty in exchange for the Company making fixed-rate payments over the life of the related agreements without exchange of the underlying notional amount.</w:t>
      </w:r>
    </w:p>
    <w:p>
      <w:pPr>
        <w:spacing w:after="0" w:line="18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 Any ineffective portion of the change in the fair value of the derivative would have been recognized directly in earnings. However, there was no hedge ineffectiveness recorded over the life of the swap.</w:t>
      </w:r>
    </w:p>
    <w:p>
      <w:pPr>
        <w:spacing w:after="0" w:line="18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related to the Company’s derivative are reclassified to interest expense as interest is accrued on the Company’s variable-rate debt. The impact of the Company’s derivative financial instrument on its condensed consolidated statements of comprehensive (loss) income for the nine months ended September 30, 2024 was a reclassification of $6.0 million to increase interest expense. The Company had no derivative assets or liabilities at September 30, 2025 or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PREFERRED STOCK AND WARRANTS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On March 28, 2023, the Company issued 55,000 shares of Preferred Stock to investors in the Private Placement at a price of $970 per share, along with 4,858,090 Warrants with an exercise price of $3.77 per share.</w:t>
      </w:r>
    </w:p>
    <w:p>
      <w:pPr>
        <w:spacing w:after="0" w:line="16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On June 25, 2024, the Company redeemed the Preferred Stock with a portion of the proceeds from the refinancing of the 2020 Credit Facility at a rate of 103% for a total of approximately $63.5 million. During the nine months ended September 30, 2025, 0.2 million Warrants were exercised. The remaining Warrants outstanding continue without modification. See Note 9 for a description of the refinancing of the 2020 Credit Facility.</w:t>
      </w:r>
    </w:p>
    <w:p>
      <w:pPr>
        <w:spacing w:after="0" w:line="180" w:lineRule="exact"/>
        <w:rPr>
          <w:sz w:val="20"/>
          <w:szCs w:val="20"/>
          <w:color w:val="auto"/>
        </w:rPr>
      </w:pPr>
    </w:p>
    <w:p>
      <w:pPr>
        <w:ind w:left="60" w:right="299" w:firstLine="324"/>
        <w:spacing w:after="0" w:line="277" w:lineRule="auto"/>
        <w:rPr>
          <w:sz w:val="20"/>
          <w:szCs w:val="20"/>
          <w:color w:val="auto"/>
        </w:rPr>
      </w:pPr>
      <w:r>
        <w:rPr>
          <w:rFonts w:ascii="Times New Roman" w:cs="Times New Roman" w:eastAsia="Times New Roman" w:hAnsi="Times New Roman"/>
          <w:sz w:val="17"/>
          <w:szCs w:val="17"/>
          <w:color w:val="auto"/>
        </w:rPr>
        <w:t xml:space="preserve">The Company accounted for the Preferred Stock until it was redeemed and continues to account for the remaining Warrants as liability-classified instruments based on an assessment of their specific terms in accordance with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The fair value option was elected for the Preferred Stock, as the Company considered fair value to best reflect its expected future economic value. These liabilities are remeasured to fair value at each reporting date using the same valuation methodology applied upon issuance using current input assumptions.</w:t>
      </w:r>
    </w:p>
    <w:p>
      <w:pPr>
        <w:spacing w:after="0" w:line="168"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value of the Preferred Stock was calculated quarterly through March 31, 2024 using the Black-Derman-Toy (BDT) stochastic yield lattice model to capture the optimal timing of repayment, increasing dividend rate and other features and the value of the Warrants is calculated quarterly using the Black-Scholes Pricing Model.</w:t>
      </w:r>
    </w:p>
    <w:p>
      <w:pPr>
        <w:spacing w:after="0" w:line="176"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Preferred Stock and the Warrants are reported as Other expense, net in the Company’s condensed consolidated statements of operations.</w:t>
      </w:r>
    </w:p>
    <w:p>
      <w:pPr>
        <w:spacing w:after="0" w:line="16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Warrants using Level 3 input. The key assumptions into the model utilized were as follows as of September 30, 2025 and December 31,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expiration (years)</w:t>
            </w:r>
          </w:p>
        </w:tc>
        <w:tc>
          <w:tcPr>
            <w:tcW w:w="1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Warrant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1.66</w:t>
            </w:r>
          </w:p>
        </w:tc>
      </w:tr>
    </w:tbl>
    <w:p>
      <w:pPr>
        <w:spacing w:after="0" w:line="198"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Preferred Stock liabilities for the nine months ended September 30, 2024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Preferred stock</w:t>
            </w:r>
          </w:p>
        </w:tc>
      </w:tr>
      <w:tr>
        <w:trPr>
          <w:trHeight w:val="173"/>
        </w:trPr>
        <w:tc>
          <w:tcPr>
            <w:tcW w:w="7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0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53,337</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in-kind dividends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1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of fair value adjustments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Call premium (3%)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1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(June 25, 2024)</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(63,536)</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Warrant liabilities for the nine months ended September 30, 2025 and 2024 were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6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Preferred Stock, redeemed on June 25, 2024, was subordinate to the Company’s indebtedness and senior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common stock or other equity. Holders of the Preferred Stock were entitled to cumulative dividends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quarterly. Dividends were payable in-kind during the first year at a rate of 9.25%. At the Company’s option,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dividends were payable in-kind or in cash during the second year at a rate of 9.75%. Dividends thereafter were to be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payable in cash at a rate of 12.00%. The proceeds from the Preferred Stock issuance were approximately $53.4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including $10.0 million from existing related party stockholders. Offering costs paid by the Company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 million were recorded in Other expense, net in the year ended December 31, 2023. The net proceeds from the Private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Placement were used for the repayment of debt. The Preferred Stock was redeemable on or after the first and second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anniversaries of the closing date at a rate of 103% and 102%, respectively.</w:t>
      </w:r>
    </w:p>
    <w:p>
      <w:pPr>
        <w:spacing w:after="0" w:line="20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Warrants are immediately exercisable and upon an event such as a merger, consolidation, asset sale or similar change of control, the Warrants may be exercised and the holders may vote the underlying shares of common stock. In connection with the Private Placement, the Company provided the investors with certain registration rights relating to the Preferred Stock, the Warrants and the shares of the Company’s common stock underlying the Warrants, that required the Company to file a registration statement on Form S-3 with the SEC within 30 days following the closing date of the Private Placement. The registration requirement was completed on May 19,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176,658 of the Warrants were exercised in cashless exercises, resulting in the issuance of 32,573 of the Company’s common stock at a weighted average fair value of $4.62 per share. There were 4,681,432 remaining Warrants outstanding as of September 30,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REVENUE RECOGNITION</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two primary sources: products and services. Product revenue includes: 1) the Company’s proprietary hardware and software that function together to deliver the products’ essential functionality and 2) the Company’s software only solutions that can be used on either the Company’s hardware or third-party hardware. Both proprietary hardware and software only solutions are also sold on a standalone basis.</w:t>
      </w:r>
    </w:p>
    <w:p>
      <w:pPr>
        <w:spacing w:after="0" w:line="180"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Services include customer support (software updates, upgrades and technical support), consulting, design services, installation services and training. Generally, contracts with customers contain multiple performance obligations, consisting of products and services. For these contracts, the Company accounts for individual performance obligations separately if they are considered distinct.</w:t>
      </w:r>
    </w:p>
    <w:p>
      <w:pPr>
        <w:spacing w:after="0" w:line="18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When an arrangement contains more than one performance obligation, the Company will allocate the transaction price to each performance obligation on a relative standalone selling price basis. The Company utilizes the observable price of goods and services, including when they are sold separately to similar customers, in order to estimate standalone selling price (“SSP”).</w:t>
      </w:r>
    </w:p>
    <w:p>
      <w:pPr>
        <w:spacing w:after="0" w:line="180"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Company’s software licenses typically provide a perpetual right to use the Company’s software. However, the Company also sells term-based software licenses that expire and Software-as-a-Service (“SaaS”)-based software which are referred to as subscription arrangements. The Company does not customize its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The Company has concluded that its software licenses are functional intellectual property that are distinct, as the user can benefit from the software on its own.</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Product revenue from sales of the Company’s perpetual and term-based software licenses is typically recognized when the software is made available for download, as this is the point the user of the software can direct the use of and obtain substantially all of the remaining benefits from the functional intellectual property. The Company begins to recognize software revenue related to the renewal of term-based software licenses at the start of the renewal period. Revenue related to sales of SaaS-based software is recognized ratably over the service period as the customer does not take possession of the software or have the ability to take possession of the software.</w:t>
      </w:r>
    </w:p>
    <w:p>
      <w:pPr>
        <w:spacing w:after="0" w:line="18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offers warranties on its products. Certain of the Company’s warranties are considered to be assurance-type in nature, ensuring the product is functioning as intended. Assurance-type warranties do not represent separate performance obligations. The Company also sells separately-priced maintenance service contracts which qualify as service-type warranties and represent separate performance obligations. The Company does not allow and has no history of accepting product returns.</w:t>
      </w:r>
    </w:p>
    <w:p>
      <w:pPr>
        <w:spacing w:after="0" w:line="18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Service revenue includes revenue from customer support and other professional services. Customer support includes software updates on a when-and-if-available basis, telephone support, integrated web-based support and bug fixes or patches. The Company sells its customer support contracts at a percentage of list or net product price. Customer support revenue is recognized ratably over the term of the customer support agreement, which is typically one year.</w:t>
      </w:r>
    </w:p>
    <w:p>
      <w:pPr>
        <w:spacing w:after="0" w:line="180"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Company’s professional services include consulting, technical support, resident engineer services, design services and installation services. Because control transfers over time, revenue is recognized based on progress toward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completion of the performance obligation. The method to measure progress toward completion requires judgment and is based on the nature of the products or services to be provided.</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generally uses the input method to measure progress for its contracts and to recognize revenue because it believes such method, in general, best depicts the transfer of assets to its customers. The input method measures costs the Company has incurred in the period for its contracts. In some infrequent instances, the Company may engage a third-party to perform services on its behalf and in those cases the output method is used to recognize revenue because it best depicts the transfer of assets to its customers. Under the output method, there is a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to complete the performance obligation. Revenue is recorded proportionally as costs are incurred or as labor is expended. Costs to fulfill these obligations can include internal labor as well as subcontractor costs.</w:t>
      </w:r>
    </w:p>
    <w:p>
      <w:pPr>
        <w:spacing w:after="0" w:line="194"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Customer training includes courses offered by the Company. The related revenue is typically recognized as the training services are performed, typically over a period of one to five days.</w:t>
      </w:r>
    </w:p>
    <w:p>
      <w:pPr>
        <w:spacing w:after="0" w:line="162"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Payment terms for the Company’s contracts with its customers typically range from 30 to 60 days from the invoice date. In certain cases, the Company may offer extended payment terms, which are assessed on a case-by-case basis.</w:t>
      </w:r>
    </w:p>
    <w:p>
      <w:pPr>
        <w:spacing w:after="0" w:line="14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generally offer significant financing components in its contracts with customers. However, if a contract includes a significant financing component, the transaction price is adjusted for the time value of money. For the three and nine months ended September 30, 2025, the impact of financing components was immaterial.</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Amounts billed to customers for sales and other taxes are excluded from the transaction price. Revenue is recognized net of any taxes collected from customers, which are subsequently remitted to government authorities.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33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typical performance obligations include the following:</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4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When Performance Obligation is Typically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Satisfied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Software and Product Revenue</w:t>
            </w: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licenses (perpetual or term)</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 perpetual licenses, typically when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made available for download (point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time); for term-based licenses, at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beginning of the specified term (point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 time)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licenses (subscription)</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Upon activation of hosted site (over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time)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When control of the hardware passes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 the customer; typically, upon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delivery (point in time)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upgrades</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Upon transfer of control; typically,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when made available for download</w:t>
            </w:r>
          </w:p>
        </w:tc>
        <w:tc>
          <w:tcPr>
            <w:tcW w:w="0" w:type="dxa"/>
            <w:vAlign w:val="bottom"/>
          </w:tcPr>
          <w:p>
            <w:pPr>
              <w:spacing w:after="0"/>
              <w:rPr>
                <w:sz w:val="1"/>
                <w:szCs w:val="1"/>
                <w:color w:val="auto"/>
              </w:rPr>
            </w:pPr>
          </w:p>
        </w:tc>
      </w:tr>
      <w:tr>
        <w:trPr>
          <w:trHeight w:val="234"/>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Support Revenue</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(point in time)</w:t>
            </w:r>
          </w:p>
        </w:tc>
        <w:tc>
          <w:tcPr>
            <w:tcW w:w="0" w:type="dxa"/>
            <w:vAlign w:val="bottom"/>
          </w:tcPr>
          <w:p>
            <w:pPr>
              <w:spacing w:after="0"/>
              <w:rPr>
                <w:sz w:val="1"/>
                <w:szCs w:val="1"/>
                <w:color w:val="auto"/>
              </w:rPr>
            </w:pPr>
          </w:p>
        </w:tc>
      </w:tr>
      <w:tr>
        <w:trPr>
          <w:trHeight w:val="198"/>
        </w:trPr>
        <w:tc>
          <w:tcPr>
            <w:tcW w:w="28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support</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Ratably over the course of the support</w:t>
            </w:r>
          </w:p>
        </w:tc>
        <w:tc>
          <w:tcPr>
            <w:tcW w:w="0" w:type="dxa"/>
            <w:vAlign w:val="bottom"/>
          </w:tcPr>
          <w:p>
            <w:pPr>
              <w:spacing w:after="0"/>
              <w:rPr>
                <w:sz w:val="1"/>
                <w:szCs w:val="1"/>
                <w:color w:val="auto"/>
              </w:rPr>
            </w:pPr>
          </w:p>
        </w:tc>
      </w:tr>
      <w:tr>
        <w:trPr>
          <w:trHeight w:val="234"/>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(over time)</w:t>
            </w:r>
          </w:p>
        </w:tc>
        <w:tc>
          <w:tcPr>
            <w:tcW w:w="0" w:type="dxa"/>
            <w:vAlign w:val="bottom"/>
          </w:tcPr>
          <w:p>
            <w:pPr>
              <w:spacing w:after="0"/>
              <w:rPr>
                <w:sz w:val="1"/>
                <w:szCs w:val="1"/>
                <w:color w:val="auto"/>
              </w:rPr>
            </w:pPr>
          </w:p>
        </w:tc>
      </w:tr>
      <w:tr>
        <w:trPr>
          <w:trHeight w:val="198"/>
        </w:trPr>
        <w:tc>
          <w:tcPr>
            <w:tcW w:w="28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professional services (excluding</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 work is performed (over time),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training services)</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typically on the input method based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on hours incurred</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Training</w:t>
            </w: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 the training is delivered (over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time), typically one to five days</w:t>
            </w:r>
          </w:p>
        </w:tc>
        <w:tc>
          <w:tcPr>
            <w:tcW w:w="0" w:type="dxa"/>
            <w:vAlign w:val="bottom"/>
          </w:tcPr>
          <w:p>
            <w:pPr>
              <w:spacing w:after="0"/>
              <w:rPr>
                <w:sz w:val="1"/>
                <w:szCs w:val="1"/>
                <w:color w:val="auto"/>
              </w:rPr>
            </w:pPr>
          </w:p>
        </w:tc>
      </w:tr>
      <w:tr>
        <w:trPr>
          <w:trHeight w:val="432"/>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Significant Judgments</w:t>
            </w: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-2605405</wp:posOffset>
            </wp:positionV>
            <wp:extent cx="564896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-1919605</wp:posOffset>
            </wp:positionV>
            <wp:extent cx="564896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41148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-1370965</wp:posOffset>
            </wp:positionV>
            <wp:extent cx="564896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-959485</wp:posOffset>
            </wp:positionV>
            <wp:extent cx="564896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41148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-3437255</wp:posOffset>
            </wp:positionV>
            <wp:extent cx="564896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When Payment is Typically Due</w:t>
      </w:r>
    </w:p>
    <w:p>
      <w:pPr>
        <w:spacing w:after="0" w:line="223" w:lineRule="exact"/>
        <w:rPr>
          <w:sz w:val="20"/>
          <w:szCs w:val="20"/>
          <w:color w:val="auto"/>
        </w:rPr>
      </w:pPr>
    </w:p>
    <w:p>
      <w:pPr>
        <w:ind w:right="399"/>
        <w:spacing w:after="0" w:line="289" w:lineRule="auto"/>
        <w:rPr>
          <w:sz w:val="20"/>
          <w:szCs w:val="20"/>
          <w:color w:val="auto"/>
        </w:rPr>
      </w:pPr>
      <w:r>
        <w:rPr>
          <w:rFonts w:ascii="Times New Roman" w:cs="Times New Roman" w:eastAsia="Times New Roman" w:hAnsi="Times New Roman"/>
          <w:sz w:val="17"/>
          <w:szCs w:val="17"/>
          <w:color w:val="auto"/>
        </w:rPr>
        <w:t>Generally, within 30-60 days of invoicing, except for term licenses which may be paid for over time</w:t>
      </w:r>
    </w:p>
    <w:p>
      <w:pPr>
        <w:spacing w:after="0" w:line="374" w:lineRule="exact"/>
        <w:rPr>
          <w:sz w:val="20"/>
          <w:szCs w:val="20"/>
          <w:color w:val="auto"/>
        </w:rPr>
      </w:pPr>
    </w:p>
    <w:p>
      <w:pPr>
        <w:jc w:val="both"/>
        <w:ind w:right="599"/>
        <w:spacing w:after="0" w:line="261" w:lineRule="auto"/>
        <w:rPr>
          <w:sz w:val="20"/>
          <w:szCs w:val="20"/>
          <w:color w:val="auto"/>
        </w:rPr>
      </w:pPr>
      <w:r>
        <w:rPr>
          <w:rFonts w:ascii="Times New Roman" w:cs="Times New Roman" w:eastAsia="Times New Roman" w:hAnsi="Times New Roman"/>
          <w:sz w:val="18"/>
          <w:szCs w:val="18"/>
          <w:color w:val="auto"/>
        </w:rPr>
        <w:t>Generally, within 30-60 days of invoicing</w:t>
      </w:r>
    </w:p>
    <w:p>
      <w:pPr>
        <w:jc w:val="both"/>
        <w:ind w:right="599"/>
        <w:spacing w:after="0" w:line="260" w:lineRule="auto"/>
        <w:rPr>
          <w:sz w:val="20"/>
          <w:szCs w:val="20"/>
          <w:color w:val="auto"/>
        </w:rPr>
      </w:pPr>
      <w:r>
        <w:rPr>
          <w:rFonts w:ascii="Times New Roman" w:cs="Times New Roman" w:eastAsia="Times New Roman" w:hAnsi="Times New Roman"/>
          <w:sz w:val="18"/>
          <w:szCs w:val="18"/>
          <w:color w:val="auto"/>
        </w:rPr>
        <w:t>Generally, within 30-60 days of invoicing</w:t>
      </w:r>
    </w:p>
    <w:p>
      <w:pPr>
        <w:spacing w:after="0" w:line="181" w:lineRule="exact"/>
        <w:rPr>
          <w:sz w:val="20"/>
          <w:szCs w:val="20"/>
          <w:color w:val="auto"/>
        </w:rPr>
      </w:pPr>
    </w:p>
    <w:p>
      <w:pPr>
        <w:jc w:val="both"/>
        <w:ind w:right="599"/>
        <w:spacing w:after="0" w:line="282" w:lineRule="auto"/>
        <w:rPr>
          <w:sz w:val="20"/>
          <w:szCs w:val="20"/>
          <w:color w:val="auto"/>
        </w:rPr>
      </w:pPr>
      <w:r>
        <w:rPr>
          <w:rFonts w:ascii="Times New Roman" w:cs="Times New Roman" w:eastAsia="Times New Roman" w:hAnsi="Times New Roman"/>
          <w:sz w:val="18"/>
          <w:szCs w:val="18"/>
          <w:color w:val="auto"/>
        </w:rPr>
        <w:t>Generally, within 30-60 days of invoicing</w:t>
      </w:r>
    </w:p>
    <w:p>
      <w:pPr>
        <w:spacing w:after="0" w:line="378" w:lineRule="exact"/>
        <w:rPr>
          <w:sz w:val="20"/>
          <w:szCs w:val="20"/>
          <w:color w:val="auto"/>
        </w:rPr>
      </w:pPr>
    </w:p>
    <w:p>
      <w:pPr>
        <w:jc w:val="both"/>
        <w:ind w:right="599"/>
        <w:spacing w:after="0" w:line="282" w:lineRule="auto"/>
        <w:rPr>
          <w:sz w:val="20"/>
          <w:szCs w:val="20"/>
          <w:color w:val="auto"/>
        </w:rPr>
      </w:pPr>
      <w:r>
        <w:rPr>
          <w:rFonts w:ascii="Times New Roman" w:cs="Times New Roman" w:eastAsia="Times New Roman" w:hAnsi="Times New Roman"/>
          <w:sz w:val="18"/>
          <w:szCs w:val="18"/>
          <w:color w:val="auto"/>
        </w:rPr>
        <w:t>Generally, within 30-60 days of invoicing</w:t>
      </w:r>
    </w:p>
    <w:p>
      <w:pPr>
        <w:spacing w:after="0" w:line="162" w:lineRule="exact"/>
        <w:rPr>
          <w:sz w:val="20"/>
          <w:szCs w:val="20"/>
          <w:color w:val="auto"/>
        </w:rPr>
      </w:pPr>
    </w:p>
    <w:p>
      <w:pPr>
        <w:jc w:val="both"/>
        <w:ind w:right="599"/>
        <w:spacing w:after="0" w:line="257" w:lineRule="auto"/>
        <w:rPr>
          <w:sz w:val="20"/>
          <w:szCs w:val="20"/>
          <w:color w:val="auto"/>
        </w:rPr>
      </w:pPr>
      <w:r>
        <w:rPr>
          <w:rFonts w:ascii="Times New Roman" w:cs="Times New Roman" w:eastAsia="Times New Roman" w:hAnsi="Times New Roman"/>
          <w:sz w:val="18"/>
          <w:szCs w:val="18"/>
          <w:color w:val="auto"/>
        </w:rPr>
        <w:t>Generally, within 30-60 days of invoicing (upon completion of services)</w:t>
      </w:r>
    </w:p>
    <w:p>
      <w:pPr>
        <w:spacing w:after="0" w:line="1" w:lineRule="exact"/>
        <w:rPr>
          <w:sz w:val="20"/>
          <w:szCs w:val="20"/>
          <w:color w:val="auto"/>
        </w:rPr>
      </w:pPr>
    </w:p>
    <w:p>
      <w:pPr>
        <w:jc w:val="both"/>
        <w:ind w:right="599"/>
        <w:spacing w:after="0" w:line="260" w:lineRule="auto"/>
        <w:rPr>
          <w:sz w:val="20"/>
          <w:szCs w:val="20"/>
          <w:color w:val="auto"/>
        </w:rPr>
      </w:pPr>
      <w:r>
        <w:rPr>
          <w:rFonts w:ascii="Times New Roman" w:cs="Times New Roman" w:eastAsia="Times New Roman" w:hAnsi="Times New Roman"/>
          <w:sz w:val="18"/>
          <w:szCs w:val="18"/>
          <w:color w:val="auto"/>
        </w:rPr>
        <w:t>Generally, within 30-60 days of services being performed</w:t>
      </w:r>
    </w:p>
    <w:p>
      <w:pPr>
        <w:spacing w:after="0" w:line="613" w:lineRule="exact"/>
        <w:rPr>
          <w:sz w:val="20"/>
          <w:szCs w:val="20"/>
          <w:color w:val="auto"/>
        </w:rPr>
      </w:pPr>
    </w:p>
    <w:p>
      <w:pPr>
        <w:sectPr>
          <w:pgSz w:w="11900" w:h="16838" w:orient="portrait"/>
          <w:cols w:equalWidth="0" w:num="2">
            <w:col w:w="5900" w:space="240"/>
            <w:col w:w="2879"/>
          </w:cols>
          <w:pgMar w:left="1440" w:top="513" w:right="1440" w:bottom="1440" w:gutter="0" w:footer="0" w:header="0"/>
          <w:type w:val="continuous"/>
        </w:sectPr>
      </w:pPr>
    </w:p>
    <w:p>
      <w:pPr>
        <w:jc w:val="both"/>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spacing w:after="0" w:line="17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typically has more than one SSP for individual products and services due to the stratification of those products and services by customers and circumstances. In these instances, the Company may use information such as the size of the customer and geographic region in determining the SSP.</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Deferred revenue is a contract liability representing amounts collected from or invoiced to customers in excess of revenue recognized. This results primarily from the billing of annual customer support agreements where the revenue is recognized over the term of the agreement. The value of deferred revenue will increase or decrease based on the timing of invoices and recognition of revenue.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contracts with customers based on the nature of the products and services and the geographic regions in which each customer is domiciled. The Company’s total revenue for three and nine months ended September 30, 2025 and 2024 was disaggregated geographically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1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2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5"/>
                <w:szCs w:val="15"/>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96,673</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69,515</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0" w:type="dxa"/>
            <w:vAlign w:val="bottom"/>
          </w:tcPr>
          <w:p>
            <w:pPr>
              <w:spacing w:after="0"/>
              <w:rPr>
                <w:sz w:val="24"/>
                <w:szCs w:val="24"/>
                <w:color w:val="auto"/>
              </w:rPr>
            </w:pPr>
          </w:p>
        </w:tc>
        <w:tc>
          <w:tcPr>
            <w:tcW w:w="11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2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5"/>
                <w:szCs w:val="15"/>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109,558</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0" w:type="dxa"/>
            <w:vAlign w:val="bottom"/>
          </w:tcPr>
          <w:p>
            <w:pPr>
              <w:spacing w:after="0"/>
              <w:rPr>
                <w:sz w:val="24"/>
                <w:szCs w:val="24"/>
                <w:color w:val="auto"/>
              </w:rPr>
            </w:pPr>
          </w:p>
        </w:tc>
        <w:tc>
          <w:tcPr>
            <w:tcW w:w="11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2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5"/>
                <w:szCs w:val="15"/>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295,590</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128,182</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32,957</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0" w:type="dxa"/>
            <w:vAlign w:val="bottom"/>
          </w:tcPr>
          <w:p>
            <w:pPr>
              <w:spacing w:after="0"/>
              <w:rPr>
                <w:sz w:val="24"/>
                <w:szCs w:val="24"/>
                <w:color w:val="auto"/>
              </w:rPr>
            </w:pPr>
          </w:p>
        </w:tc>
        <w:tc>
          <w:tcPr>
            <w:tcW w:w="11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2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5"/>
                <w:szCs w:val="15"/>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262,141</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106,478</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38,135</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204,920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582,522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Company’s product revenue from its direct sales program and from indirect sales through its channel partner program for the three and nine months ended September 30, 2025 and 2024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0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sales through channel partner program</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216,816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183,936</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Company’s product revenue from sales to enterprise customers and from sales to service provider customers for the three and nine months ended September 30, 2025 and 2024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60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to enterprise customers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115,912</w:t>
            </w: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to service provider customers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207,276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182,982</w:t>
            </w:r>
          </w:p>
        </w:tc>
        <w:tc>
          <w:tcPr>
            <w:tcW w:w="160" w:type="dxa"/>
            <w:vAlign w:val="bottom"/>
            <w:tcBorders>
              <w:bottom w:val="single" w:sz="8" w:color="CCEEFF"/>
            </w:tcBorders>
          </w:tcPr>
          <w:p>
            <w:pPr>
              <w:spacing w:after="0"/>
              <w:rPr>
                <w:sz w:val="18"/>
                <w:szCs w:val="18"/>
                <w:color w:val="auto"/>
              </w:rPr>
            </w:pPr>
          </w:p>
        </w:tc>
      </w:tr>
      <w:tr>
        <w:trPr>
          <w:trHeight w:val="209"/>
        </w:trPr>
        <w:tc>
          <w:tcPr>
            <w:tcW w:w="4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product revenue and service revenue components by segment for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and 2024 were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60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46,097</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53,455</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134,070</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124,554</w:t>
            </w: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174,340</w:t>
            </w:r>
          </w:p>
        </w:tc>
        <w:tc>
          <w:tcPr>
            <w:tcW w:w="160" w:type="dxa"/>
            <w:vAlign w:val="bottom"/>
            <w:shd w:val="clear" w:color="auto" w:fill="CCEEFF"/>
          </w:tcPr>
          <w:p>
            <w:pPr>
              <w:spacing w:after="0"/>
              <w:rPr>
                <w:sz w:val="18"/>
                <w:szCs w:val="18"/>
                <w:color w:val="auto"/>
              </w:rPr>
            </w:pPr>
          </w:p>
        </w:tc>
      </w:tr>
      <w:tr>
        <w:trPr>
          <w:trHeight w:val="250"/>
        </w:trPr>
        <w:tc>
          <w:tcPr>
            <w:tcW w:w="4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product revenue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112,151</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298,894</w:t>
            </w:r>
          </w:p>
        </w:tc>
        <w:tc>
          <w:tcPr>
            <w:tcW w:w="160" w:type="dxa"/>
            <w:vAlign w:val="bottom"/>
            <w:tcBorders>
              <w:bottom w:val="single" w:sz="8" w:color="CCEEFF"/>
            </w:tcBorders>
          </w:tcPr>
          <w:p>
            <w:pPr>
              <w:spacing w:after="0"/>
              <w:rPr>
                <w:sz w:val="21"/>
                <w:szCs w:val="21"/>
                <w:color w:val="auto"/>
              </w:rPr>
            </w:pPr>
          </w:p>
        </w:tc>
      </w:tr>
      <w:tr>
        <w:trPr>
          <w:trHeight w:val="196"/>
        </w:trPr>
        <w:tc>
          <w:tcPr>
            <w:tcW w:w="4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Cloud and Edge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52,315</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53,595</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154,899</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159,454</w:t>
            </w: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 Optical Networks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45,466</w:t>
            </w:r>
          </w:p>
        </w:tc>
        <w:tc>
          <w:tcPr>
            <w:tcW w:w="160" w:type="dxa"/>
            <w:vAlign w:val="bottom"/>
            <w:shd w:val="clear" w:color="auto" w:fill="CCEEFF"/>
          </w:tcPr>
          <w:p>
            <w:pPr>
              <w:spacing w:after="0"/>
              <w:rPr>
                <w:sz w:val="18"/>
                <w:szCs w:val="18"/>
                <w:color w:val="auto"/>
              </w:rPr>
            </w:pPr>
          </w:p>
        </w:tc>
      </w:tr>
      <w:tr>
        <w:trPr>
          <w:trHeight w:val="210"/>
        </w:trPr>
        <w:tc>
          <w:tcPr>
            <w:tcW w:w="4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maintenance revenue</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69,019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204,234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204,920</w:t>
            </w:r>
          </w:p>
        </w:tc>
        <w:tc>
          <w:tcPr>
            <w:tcW w:w="16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56,294</w:t>
            </w: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160" w:type="dxa"/>
            <w:vAlign w:val="bottom"/>
            <w:shd w:val="clear" w:color="auto" w:fill="CCEEFF"/>
          </w:tcPr>
          <w:p>
            <w:pPr>
              <w:spacing w:after="0"/>
              <w:rPr>
                <w:sz w:val="18"/>
                <w:szCs w:val="18"/>
                <w:color w:val="auto"/>
              </w:rPr>
            </w:pPr>
          </w:p>
        </w:tc>
      </w:tr>
      <w:tr>
        <w:trPr>
          <w:trHeight w:val="210"/>
        </w:trPr>
        <w:tc>
          <w:tcPr>
            <w:tcW w:w="4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professional services revenue</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78,708</w:t>
            </w:r>
          </w:p>
        </w:tc>
        <w:tc>
          <w:tcPr>
            <w:tcW w:w="160" w:type="dxa"/>
            <w:vAlign w:val="bottom"/>
            <w:tcBorders>
              <w:bottom w:val="single" w:sz="8" w:color="CCEEFF"/>
            </w:tcBorders>
          </w:tcPr>
          <w:p>
            <w:pPr>
              <w:spacing w:after="0"/>
              <w:rPr>
                <w:sz w:val="18"/>
                <w:szCs w:val="18"/>
                <w:color w:val="auto"/>
              </w:rPr>
            </w:pPr>
          </w:p>
        </w:tc>
      </w:tr>
      <w:tr>
        <w:trPr>
          <w:trHeight w:val="210"/>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service revenue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Contract Balances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which are contract assets, and customer advances and deposits, which are contract liabilities, in the Company’s condensed consolidated balance sheets. Amounts are billed as work progresses in accordance with agreed-upon contractual terms, either at periodic intervals or upon achievement of contractual milestones. Billing may occur subsequent to revenue recognition, resulting in contract assets. The Company may receive advances or deposits from its customers before revenue is recognized, resulting in contract liabilities which are classified as deferred revenue. These assets and liabilities are reported in the Company’s condensed consolidated balance sheets on a contract-by-contract basis as of the end of each reporting period. Changes in the contract asset and liability balances during the nine months ended September 30, 2025 were not materially impacted by any factors other than billing and revenue recognition. Nearly all of the Company’s deferred revenue balance is related to services revenue, primarily customer support contracts. Unbilled receivables stem primarily from engagements where services have been performed; however, billing cannot occur until services are completed.</w:t>
      </w:r>
    </w:p>
    <w:p>
      <w:pPr>
        <w:spacing w:after="0" w:line="190"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term-based software licenses and products over the term of the software license. The Company also sells SaaS-based software under subscription arrangements, with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payment terms over the term of the SaaS agreement. Amounts recognized as revenue in excess of amounts billed are recorded as unbilled receivables. Unbilled receivables that are anticipated to be invoiced in the next twelve months are included in Accounts receivable on the Company’s condensed consolidated balance sheets. The changes in the Company’s accounts receivable, unbilled receivables and deferred revenue balances for the nine months ended September 30, 2025 were as follows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2"/>
                <w:szCs w:val="12"/>
                <w:color w:val="auto"/>
              </w:rPr>
            </w:pPr>
          </w:p>
        </w:tc>
        <w:tc>
          <w:tcPr>
            <w:tcW w:w="64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(current)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$ 176,575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$ 119,295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net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(22,861)</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(12,598)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$ 153,714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$ 106,697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recognized approximately $96 million of revenue in the nine months ended September 30, 2025 that was recorded as deferred revenue at December 31, 2024 and approximately $95 million of revenue in the nine months ended September 30, 2024 that was recorded as deferred revenue at December 31, 2023. Of the Company’s deferred revenue reported as long-term in its condensed consolidated balance sheet at September 30, 2025, the Company expects that approximately $10 million will be recognized as revenue in 2026, approximately $8 million will be recognized as revenue in 2027 and approximately $12 million will be recognized as revenue in 2028 and beyond.</w:t>
      </w:r>
    </w:p>
    <w:p>
      <w:pPr>
        <w:spacing w:after="0" w:line="18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Company applies the optional exemption of not disclosing the transaction price allocated to the remaining performance obligation for its contracts with an original duration of less than one year. In 2024, the Company entered into a contract with an existing customer that has revenue allocated to remaining performance obligations, which includes unearned revenue and amounts that will be invoiced and recognized as revenue in future periods of approximately $204 million and $285 million as of September 30, 2025 and December 31, 2024, respectively. At this time, the Company expects to recognize the majority of the revenue related to this contract in the years 2025 through 2028.</w:t>
      </w:r>
    </w:p>
    <w:p>
      <w:pPr>
        <w:spacing w:after="0" w:line="18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All freight-related customer invoicing is recorded as revenue, while the shipping and handling costs that occur after control of the promised goods or services transfer to the customer are reported as fulfillment costs, a component of Cost of revenue - product in the Company’s condensed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Commissions Cost</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Sales commissions earned by the Company’s employees are considered incremental and recoverable costs of obtaining a contract with a customer. These costs have been deferred on our condensed consolidated balance sheet and are being amortized over the expected life of the customer contract, which is generally five years. At September 30, 2025 and December 31, 2024, the Company had $2.1 million and $2.8 million of deferred sales commissions capitalized,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OPERATING SEGMENT INFORMATION</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operating and reportable segments, Cloud and Edge and IP Optical Networks, that align with the way the business is managed. The Company’s CODM, its President and Chief Executive Officer, makes key operating decisions and assesses performance based upon these reportable segments.</w:t>
      </w:r>
    </w:p>
    <w:p>
      <w:pPr>
        <w:spacing w:after="0" w:line="21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Cloud and Edge segment provides secure and reliable software and hardware products, solutions and services for enabling Voice over Internet Protocol ("VoIP") communications, Voice over Long-Term Evolution ("VoLTE") and Voice Over 5G ("VoNR") communications, and Unified Communications and Collaboration ("UC&amp;C") within service provider and enterprise networks and from the cloud. The Cloud and Edge products are increasingly software-centric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cloud-native for deployment on private, public or hybrid cloud infrastructures, in data centers, on enterprise premises and within service provider networks. Ribbon's Cloud and Edge product portfolio consists primarily of its Session Border Controller ("SBC") products and its Network Transformation products.</w:t>
      </w:r>
    </w:p>
    <w:p>
      <w:pPr>
        <w:spacing w:after="0" w:line="176"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The IP Optical Networks segment provides high-performance, secure solutions for IP networking and optical transport, supporting wireless networks including 5G, metro and edge aggregation, core networking, data center interconnect, legacy transformation and transport solutions for wholesale carriers. This portfolio is offered to service provider, enterprise and industry verticals with critical transport network infrastructures including utilities, government, defense, transportation, and education and research.</w:t>
      </w:r>
    </w:p>
    <w:p>
      <w:pPr>
        <w:spacing w:after="0" w:line="18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provide segment asset information as such information is not provided to the CODM and accordingly, asset information is not used in assessing segment performance. Segment revenue and expenses included in the tables below represent direct revenue and expense attributable to each segment. Please see Note 10 for information regarding the allocation of goodwill between segments.</w:t>
      </w:r>
    </w:p>
    <w:p>
      <w:pPr>
        <w:spacing w:after="0" w:line="18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CODM utilizes adjusted gross profit to evaluate each segment's performance. The Company calculates adjusted gross profit by excluding from cost of revenue both amortization of acquired technology and stock-based compensation and may also exclude other items in future periods that the Company believes are not part of the Company's core business. The Company uses adjusted gross profit to develop its annual budget and quarterly forecasts. The CODM analyzes adjusted gross profit compared to the annual budget and quarterly forecasts to allocate resources. Ribbon’s calculation of adjusted gross profit may not be comparable to similarly titled measures used by other companies. See below for a reconciliation of segment adjusted gross profit to gross profit and loss before income taxes.</w:t>
      </w:r>
    </w:p>
    <w:p>
      <w:pPr>
        <w:spacing w:after="0" w:line="18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tables below present significant segment expenses regularly reviewed by the CODM for the three and nine months ended September 30, 2025 and 2024 (in thousands):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600" w:type="dxa"/>
            <w:vAlign w:val="bottom"/>
          </w:tcPr>
          <w:p>
            <w:pPr>
              <w:spacing w:after="0"/>
              <w:rPr>
                <w:sz w:val="10"/>
                <w:szCs w:val="10"/>
                <w:color w:val="auto"/>
              </w:rPr>
            </w:pPr>
          </w:p>
        </w:tc>
        <w:tc>
          <w:tcPr>
            <w:tcW w:w="106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600" w:type="dxa"/>
            <w:vAlign w:val="bottom"/>
          </w:tcPr>
          <w:p>
            <w:pPr>
              <w:spacing w:after="0"/>
              <w:rPr>
                <w:sz w:val="10"/>
                <w:szCs w:val="10"/>
                <w:color w:val="auto"/>
              </w:rPr>
            </w:pPr>
          </w:p>
        </w:tc>
        <w:tc>
          <w:tcPr>
            <w:tcW w:w="106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gross profit: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adjusted gross profit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6"/>
        </w:trPr>
        <w:tc>
          <w:tcPr>
            <w:tcW w:w="46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Reconciliation of segment adjusted gross profit to gross profit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and loss before income taxes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shd w:val="clear" w:color="auto" w:fill="CCEEFF"/>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(19,406)</w:t>
            </w:r>
          </w:p>
        </w:tc>
        <w:tc>
          <w:tcPr>
            <w:tcW w:w="140" w:type="dxa"/>
            <w:vAlign w:val="bottom"/>
          </w:tcPr>
          <w:p>
            <w:pPr>
              <w:spacing w:after="0"/>
              <w:rPr>
                <w:sz w:val="18"/>
                <w:szCs w:val="18"/>
                <w:color w:val="auto"/>
              </w:rPr>
            </w:pPr>
          </w:p>
        </w:tc>
      </w:tr>
      <w:tr>
        <w:trPr>
          <w:trHeight w:val="209"/>
        </w:trPr>
        <w:tc>
          <w:tcPr>
            <w:tcW w:w="4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disposal- and integration-related expense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related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depreciation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MAJOR CUSTOMERS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customers contributed 10% or more of the Company’s revenue in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18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5"/>
                <w:szCs w:val="15"/>
                <w:color w:val="auto"/>
              </w:rPr>
            </w:pPr>
          </w:p>
        </w:tc>
      </w:tr>
      <w:tr>
        <w:trPr>
          <w:trHeight w:val="117"/>
        </w:trPr>
        <w:tc>
          <w:tcPr>
            <w:tcW w:w="438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1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00" w:type="dxa"/>
            <w:vAlign w:val="bottom"/>
          </w:tcPr>
          <w:p>
            <w:pPr>
              <w:spacing w:after="0"/>
              <w:rPr>
                <w:sz w:val="10"/>
                <w:szCs w:val="10"/>
                <w:color w:val="auto"/>
              </w:rPr>
            </w:pPr>
          </w:p>
        </w:tc>
      </w:tr>
      <w:tr>
        <w:trPr>
          <w:trHeight w:val="173"/>
        </w:trPr>
        <w:tc>
          <w:tcPr>
            <w:tcW w:w="43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5"/>
                <w:szCs w:val="15"/>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Bharti Telecom Limited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r>
      <w:tr>
        <w:trPr>
          <w:trHeight w:val="229"/>
        </w:trPr>
        <w:tc>
          <w:tcPr>
            <w:tcW w:w="4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 Less than 10% of total revenue</w:t>
      </w:r>
    </w:p>
    <w:p>
      <w:pPr>
        <w:spacing w:after="0" w:line="220"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2025 and December 31, 2024, no customer accounted for 10% or more of the Company’s accounts receivable balance. The Company performs ongoing credit evaluations of its customers and generally does not require collateral on accounts receivable. The Company maintains an allowance for doubtful accounts and such losses have historically been within management’s expectations.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COMMON STOCK REPURCHASES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the second quarter of 2025, the Company's Board of Directors approved a program to repurchase up to $50 million of the Company’s common stock (the “2025 Repurchase Program” or the “Repurchase Program”). Commencing on June 5, 2025 and continuing through December 31, 2027, the Repurchase Program is being funded with cash on hand or cash generated from operations. During the three and nine months ended September 30, 2025, the Company used $3.5 million and $5.7 million, respectively, including transaction fees, to repurchase and retire 0.9 million and 1.5 million shares of its common stock, respectively, under the Repurchase Program, with $44.3 million remaining for future repurchases as of September 30,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STOCK-BASED COMPENSATION PLANS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Company grants stock-based compensation to employees, officers and non-employee directors, as well as consultants and advisors of the Company and its subsidiaries under its 2025 Incentive Award Plan (the “2025 Plan”) which provides for the award of stock options, stock appreciation rights ("SARs"), restricted stock awards ("RSAs"), performance-based stock awards ("PSAs"), restricted stock units ("RSUs"), performance-based stock units ("PSUs") and other stock- or cash-based awards. The 2025 Plan, approved by the Company’s stockholders at the annual meeting held on May 28, 2025 (the “2025 Annual Meeting”), permits the Company to grant awards of up to (i) 14 million new shares of its common stock, plus (ii) 2,180,307 shares of its common stock previously reserved for issuance by the Company’s Amended and Restated 2019 Incentive Award Plan plus that number of shares of its common stock subject to awards granted under certain prior plans which become available for grant under the 2025 Plan.</w:t>
      </w:r>
    </w:p>
    <w:p>
      <w:pPr>
        <w:spacing w:after="0" w:line="188"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At the 2025 Annual Meeting, the Company's stockholders also approved an amendment to the Company’s Restated Certificate of Incorporation, as amended, to increase the number of authorized shares of its common stock by 150 million shares to a total of 390 million shares.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Executive Equity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Performance-Based Stock Grants</w:t>
      </w:r>
    </w:p>
    <w:p>
      <w:pPr>
        <w:spacing w:after="0" w:line="22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In addition to granting RSAs and RSUs to its executives and certain of its employees, the Company also grants PSUs to certain of its executives and certain other employees. Vesting periods for RSAs, RSUs, and PSUs granted range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from one to three years. PSUs granted consist of 60% that have both performance and service conditions (the "Performance PSUs") and 40% that have both market and service conditions (the "Market PSUs"). Each Performance PSU is comprised of three consecutive fiscal year performance periods beginning in the year of grant, with one-third of the Performance PSUs attributable to each fiscal year performance period. The Market PSUs have one three-year performance period, beginning January 1 in the year of grant and ending on December 31, three years thereafter. The number of shares of common stock underlying the PSUs that can be earned will not exceed 200% of the Performance or Market PSUs. Shares subject to PSUs that fail to be earned will be forfeited.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activity related to the Company’s RSUs for the nine months ended September 30, 2025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3,997,108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8,304,705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(2,922,214)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(205,197)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9,174,402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shares of restricted stock underlying RSUs that vested during the nine months ended September 30, 2025 was $9.0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activity related to the Company’s PSUs for the nine months ended September 30, 2025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3,605,892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2,118,290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(423,677)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(461,794)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4,838,711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shares of restricted stock underlying PSUs that vested during the nine months ended September 30, 2025 was $1.5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condensed consolidated statements of operations include stock-based compensation for the three and nine months ended September 30, 2025 and 2024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960" w:type="dxa"/>
            <w:vAlign w:val="bottom"/>
          </w:tcPr>
          <w:p>
            <w:pPr>
              <w:spacing w:after="0"/>
              <w:rPr>
                <w:sz w:val="10"/>
                <w:szCs w:val="10"/>
                <w:color w:val="auto"/>
              </w:rPr>
            </w:pPr>
          </w:p>
        </w:tc>
        <w:tc>
          <w:tcPr>
            <w:tcW w:w="124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80" w:type="dxa"/>
            <w:vAlign w:val="bottom"/>
            <w:tcBorders>
              <w:top w:val="single" w:sz="8" w:color="auto"/>
            </w:tcBorders>
            <w:gridSpan w:val="2"/>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0"/>
                <w:szCs w:val="10"/>
                <w:color w:val="auto"/>
              </w:rPr>
            </w:pPr>
          </w:p>
        </w:tc>
      </w:tr>
      <w:tr>
        <w:trPr>
          <w:trHeight w:val="173"/>
        </w:trPr>
        <w:tc>
          <w:tcPr>
            <w:tcW w:w="39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 of revenue</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 of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8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8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80" w:type="dxa"/>
            <w:vAlign w:val="bottom"/>
            <w:shd w:val="clear" w:color="auto" w:fill="CCEEFF"/>
          </w:tcPr>
          <w:p>
            <w:pPr>
              <w:spacing w:after="0"/>
              <w:rPr>
                <w:sz w:val="18"/>
                <w:szCs w:val="18"/>
                <w:color w:val="auto"/>
              </w:rPr>
            </w:pPr>
          </w:p>
        </w:tc>
      </w:tr>
      <w:tr>
        <w:trPr>
          <w:trHeight w:val="209"/>
        </w:trPr>
        <w:tc>
          <w:tcPr>
            <w:tcW w:w="396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8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2025, there was $32.8 million, net of expected forfeitures, of unrecognized stock-based compensation expense related to unvested RSUs and PSUs. This expense is expected to be recognized over a weighted average period of approximately two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research and development facilities. Operating leases are reported separately in the Company’s condensed consolidated balance sheets.</w:t>
      </w:r>
    </w:p>
    <w:p>
      <w:pPr>
        <w:spacing w:after="0" w:line="16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 Leases with an initial term of 12 months or less are not recorded on the balance sheet and lease expense for these leases is recognized on a straight-line basis over the lease term.</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Right-of-use assets and lease liabilities are initially measured based on the present value of the future minimum fixed lease payments (i.e., fixed payments in the lease contract) over the lease term at the commencement date. As the Company’s existing leases do not have a readily determinable implicit rate, the Company uses its incremental borrowing rate based on the information available at the commencement date in determining the present value of future minimum fixed lease payments. The Company calculates its incremental borrowing rate to reflect the interest rate that it would have to pay to borrow on a collateralized basis an amount equal to the lease payments in a similar economic environment over a similar term and considers its historical borrowing activities and market data from entities with comparable credit ratings in this determination. The measurement of the right-of-use asset also includes any lease payments made prior to the commencement date (excluding any lease incentives) and initial direct costs incurred. The Company assessed its right-of-use assets for impairment as of September 30, 2025 and December 31, 2024 and determined no impairment has occurred.</w:t>
      </w:r>
    </w:p>
    <w:p>
      <w:pPr>
        <w:spacing w:after="0" w:line="194"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and the Company incorporates such options in the lease term when it has the unilateral right to make such an election and it is reasonably certain that the Company will exercise that option. In making this determination, the Company considers its prior renewal and termination history and planned usage of the assets under lease, incorporating expected market conditions.</w:t>
      </w:r>
    </w:p>
    <w:p>
      <w:pPr>
        <w:spacing w:after="0" w:line="18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For operating leases, lease expense for minimum fixed lease payments is recognized on a straight-line basis over the lease term. Lease contracts may contain variable lease costs, such as common area maintenance, utilities and tax</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reimbursements that vary over the term of the contract. Variable lease costs are not included in minimum fixed lease payments and as a result, are excluded from the measurement of the right-of-use assets and lease liabilities. The Company expenses all variable lease costs as incurred.</w:t>
      </w:r>
    </w:p>
    <w:p>
      <w:pPr>
        <w:spacing w:after="0" w:line="1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Certain leased facilities are being partially or fully vacated as part of the 2022 Restructuring Plan and for some of those facilities, the Company has no plans to enter into sublease agreements. Accordingly, the Company may accelerate the amortization of those lease assets through the planned cease-use date of each facility, resulting in additional amortization expense. No such accelerated amortization was recorded in the three and nine months ended September 30, 2025 or 2024. The Company did not record estimated future variable lease costs in the three and nine months ended September 30, 2025 or 2024 related to the 2022 Restructuring Plan.</w:t>
      </w:r>
    </w:p>
    <w:p>
      <w:pPr>
        <w:spacing w:after="0" w:line="18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All incremental accelerated amortization and accruals for estimated future variable costs are included in Restructuring and related expense in the Company’s condensed consolidated statements of operations. At September 30, 2025 and December 31, 2024, the Company had accruals of $0.9 million and $1.1 million, respectively, for all future anticipated variable lease costs related to these facilities. The Company may incur additional future expense if it is unable to sublease other locations included in the facilities initiative.</w:t>
      </w:r>
    </w:p>
    <w:p>
      <w:pPr>
        <w:spacing w:after="0" w:line="183"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its corporate offices and other facilities under operating leases, which expire at various times through 2036.</w:t>
      </w:r>
    </w:p>
    <w:p>
      <w:pPr>
        <w:spacing w:after="0" w:line="162"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Company’s right-of-use lease assets and lease liabilities at September 30, 2025 and December 31, 2024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1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48,204</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3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three and nine months ended September 30, 2025 and 2024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6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r>
      <w:tr>
        <w:trPr>
          <w:trHeight w:val="198"/>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Variable lease costs (costs excluded from minimum fixed lease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lease cost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accelerated amortization was recorded in the three and nine months ended September 30, 2025 or 2024.</w:t>
      </w:r>
    </w:p>
    <w:p>
      <w:pPr>
        <w:spacing w:after="0" w:line="225" w:lineRule="exact"/>
        <w:rPr>
          <w:sz w:val="20"/>
          <w:szCs w:val="20"/>
          <w:color w:val="auto"/>
        </w:rPr>
      </w:pPr>
    </w:p>
    <w:p>
      <w:pPr>
        <w:jc w:val="both"/>
        <w:ind w:left="380" w:right="479" w:hanging="330"/>
        <w:spacing w:after="0" w:line="312"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variable lease costs were expensed in the three and nine months ended September 30, 2025 or 2024 for future estimated variable expenses related to certain assets partially or fully vacated with no intent or ability to sublease.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Cash flows related to the Company’s leases included in the measurement of operating lease liabilities were classified as operating cash flows and totaled $12.0 million and $14.0 million in the nine months ended September 30, 2025 and 2024, respectively.</w:t>
      </w:r>
    </w:p>
    <w:p>
      <w:pPr>
        <w:spacing w:after="0" w:line="176"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The Company’s non-cash investing and financing activities in the nine months ended September 30, 2025 and 2024 related to the addition of operating leases resulted in right-of-use assets (“ROUs”) obtained in exchange for lease obligations of $20.3 million and $2.1 million, respectively, and operating lease liabilities recorded of $31.0 million and $2.1 million, respectively.</w:t>
      </w:r>
    </w:p>
    <w:p>
      <w:pPr>
        <w:spacing w:after="0" w:line="18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Other information related to the Company’s leases as of September 30, 2025 and December 31, 2024 was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9.46 %</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7.73 %</w:t>
            </w:r>
          </w:p>
        </w:tc>
      </w:tr>
    </w:tbl>
    <w:p>
      <w:pPr>
        <w:spacing w:after="0" w:line="17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Future minimum fixed lease payments under noncancelable leases at September 30, 2025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7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16,525</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beyond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38,847</w:t>
            </w:r>
          </w:p>
        </w:tc>
      </w:tr>
      <w:tr>
        <w:trPr>
          <w:trHeight w:val="21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102,836</w:t>
            </w:r>
          </w:p>
        </w:tc>
      </w:tr>
      <w:tr>
        <w:trPr>
          <w:trHeight w:val="216"/>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(29,415)</w:t>
            </w:r>
          </w:p>
        </w:tc>
      </w:tr>
      <w:tr>
        <w:trPr>
          <w:trHeight w:val="210"/>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73,421</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recorded income tax provisions of $4.6 million and $6.5 million in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and 2024, respectively. These amounts reflect the Company’s estimates of the effective rates expected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be applicable for the respective full years, adjusted for any discrete events, which are recorded in the period in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they occur. These estimates are reevaluated each quarter based on the Company’s estimated tax expense for the full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fiscal year. The estimated effective tax rate includes the impact of valuation allowances in various jurisdictions.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intends to continue to maintain a valuation allowance on its deferred tax assets until there is sufficient evidence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support the reversal of all or some portion of the respective allowances.</w:t>
      </w:r>
    </w:p>
    <w:p>
      <w:pPr>
        <w:spacing w:after="0" w:line="20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One Big Beautiful Bill Act (the "Act") was signed into law on July 4, 2025. The Act reinstates bonus depreciation, allows for full expensing of R&amp;D expenses, and increases the limitation of interest deductibility for 2025, amongst many other provisions. Since the Act became law during the third quarter of 2025, we accounted for the effects of the Act on our tax provision in the three months ended September 30, 2025. The most significant impact of the Act for us is the ability to deduct the unamortized balance of capitalized R&amp;D costs.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RELATED PARTIES</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revenue from its largest stockholder of $1.0 million and $1.4 million in the three months ended September 30, 2025 and 2024, respectively, and $4.0 million and $4.4 million in the nine months ended September 30, 2025 and 2024, respectively. Also, the Company’s accounts receivable from its largest stockholder totaled $3.8 million and $5.5 million as of September 30, 2025 and December 31, 2024, respectively. In addition, certain related party stockholders participated in the Private Placement described in Note 11.</w:t>
      </w:r>
    </w:p>
    <w:p>
      <w:pPr>
        <w:spacing w:after="0" w:line="179" w:lineRule="exact"/>
        <w:rPr>
          <w:sz w:val="20"/>
          <w:szCs w:val="20"/>
          <w:color w:val="auto"/>
        </w:rPr>
      </w:pPr>
    </w:p>
    <w:p>
      <w:pPr>
        <w:ind w:left="60" w:right="5179" w:hanging="10"/>
        <w:spacing w:after="0" w:line="502" w:lineRule="auto"/>
        <w:tabs>
          <w:tab w:leader="none" w:pos="40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Contingencies</w:t>
      </w: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for Royalty Payments to the IIA</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Prior to the Company’s acquisition of ECI Telecom Group Ltd. ("ECI"), ECI had received research and development grants from the Office of the Innovation Authority of the Israeli Ministry of Economics (the "IIA"). The Company assumed ECI’s contract with the IIA, which requires the Company to pay royalties to the IIA on proceeds from the sale of products which the Israeli government has supported by way of research and development grants. The royalties for grants prior to 2017 were calculated at the rates of 1.3% to 5.0% of the aggregated proceeds from the sale of such products developed at certain of the Company’s R&amp;D centers, up to an amount not exceeding 100% of such grants plus interest at LIBOR. Effective for grants approved in 2017 and effective through 2023, interest was calculated at the higher of LIBOR plus 1.5% to 2.75%. For grants approved in 2024 and thereafter, interest is calculated based on SOFR. At September 30, 2025, the Company had $2.0 million of unpaid royalties accrued. The Company’s maximum possible future royalties commitment at September 30, 2025 of $13.0 million, including interest of $0.9 million, was based upon estimates of future sales of product and services and the grants received from the IIA not yet repaid.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Company is often a party to disputes and legal proceedings that it considers routine and incidental to its business, including those described below. The Company believes that it has meritorious defenses to the allegations made in the pending cases and intends to vigorously defend these lawsuits; however, the Company is currently unable to forecast the ultimate outcome of these or similar matters. Since it is difficult to predict the outcome of legal proceedings, it is possible that the ultimate outcomes could materially and adversely affect the Company’s business, financial position, results of operations or cash flows. Accordingly, with respect to these proceedings, the Company is currently unable to reasonably estimate the possible loss or range of possible loss.</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Charter Complaint. </w:t>
      </w:r>
      <w:r>
        <w:rPr>
          <w:rFonts w:ascii="Times New Roman" w:cs="Times New Roman" w:eastAsia="Times New Roman" w:hAnsi="Times New Roman"/>
          <w:sz w:val="18"/>
          <w:szCs w:val="18"/>
          <w:color w:val="auto"/>
        </w:rPr>
        <w:t>On September 19, 2022, Charter Communications Operating, LLC (“Charter”) filed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complaints against two of our subsidiaries (Sonus Networks, Inc. and Ribbon Communications Operating Company, Inc.) alleging breach of contract with respect to indemnification obligations purportedly owed to Charter in connection with Charter’s legal dispute with Sprint Communications Company L.P., which was settled by Charter in March 2022. One complaint was filed in the Supreme Court of the State of New York, in New York County; the second complaint was filed by Charter as well as co-plaintiffs Charter Communications Holding Company, LLC and Bright House Networks, LLC, in the Superior Court of the State of Delaware in and for New Castle County. In both complaints, Charter is seeking monetary damages. The Company filed its answer to the first complaint file in New York on December 7, 2022 and to the second complaint filed in Delaware on January 9, 2023. On May 14, 2025, the Delaware court granted our dispositive motion for summary judgement and denied Charter’s motion for partial summary judgement. The Delaware court’s ruling ended the case in Delaware at the trial level. Charter has appealed the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840" w:right="150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Delaware court’s ruling and oral argument on the appeals is scheduled for December 10, 2025. Discovery remains on-going in the New York case. No trial date has been set for the case in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9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operations of Ribbon Communications Inc. should be read in conjunction with the condensed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2024, which was filed with the U.S. Securities and Exchange Commission on February 27,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communications technology to service providers and enterprises. We provide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Our mission is to create a recognized global technology leader providing cloud-centric solutions that enable the secure exchange of information, with unparalleled scale, performance and elasticity. We are headquartered in Plano, Texas, and have a global presence with research and development or sales and support locations in over thirty countries around the world.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Trends and Economic Factors Affecting Ribbon</w:t>
      </w:r>
    </w:p>
    <w:p>
      <w:pPr>
        <w:spacing w:after="0" w:line="22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Tariffs. </w:t>
      </w:r>
      <w:r>
        <w:rPr>
          <w:rFonts w:ascii="Times New Roman" w:cs="Times New Roman" w:eastAsia="Times New Roman" w:hAnsi="Times New Roman"/>
          <w:sz w:val="18"/>
          <w:szCs w:val="18"/>
          <w:color w:val="auto"/>
        </w:rPr>
        <w:t>The United States has implemented, or indicated that it may or intends to implement, tariffs on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imported into the United States from numerous countries, including Mexico, Canada, China, Taiwan, Thailand and the European Union, amongst others. Many of these countries have implemented, or have threatened to implement, reciprocal tariffs in response. We maintain a global supply chain with our contract manufacturing partners located outside of the United States in several different countries. While the announced tariffs have not had a material impact on our business to date, the proposed tariffs, including exemptions under existing trade agreements or otherwise are continuing to evolve and could result in additional expenses for products we import into the United States. In addition, the economic uncertainty caused by the tariffs may result in customers delaying planned purchases of products and services.</w:t>
      </w:r>
    </w:p>
    <w:p>
      <w:pPr>
        <w:spacing w:after="0" w:line="185" w:lineRule="exact"/>
        <w:rPr>
          <w:sz w:val="20"/>
          <w:szCs w:val="20"/>
          <w:color w:val="auto"/>
        </w:rPr>
      </w:pPr>
    </w:p>
    <w:p>
      <w:pPr>
        <w:ind w:left="60" w:right="1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Supplier Disruptions. </w:t>
      </w:r>
      <w:r>
        <w:rPr>
          <w:rFonts w:ascii="Times New Roman" w:cs="Times New Roman" w:eastAsia="Times New Roman" w:hAnsi="Times New Roman"/>
          <w:sz w:val="18"/>
          <w:szCs w:val="18"/>
          <w:color w:val="auto"/>
        </w:rPr>
        <w:t>Ongoing uncertainty in the global economy due to proposed and enacted tariffs and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inflation, the wars in Israel and Ukraine, national security concerns and other factors, continue to disrupt various manufacturing, commodity and financial markets, increase volatility, and impede global supply chains. Our ability to deliver our solutions as agreed upon with our customers depends in part on the ability of our global contract manufacturers, vendors, licensors and other business partners to deliver products or perform services we have procured from them.</w:t>
      </w:r>
    </w:p>
    <w:p>
      <w:pPr>
        <w:spacing w:after="0" w:line="184"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Continued uncertain global economic conditions may cause our customers to restrict spending or delay purchases for an indeterminate period of time and consequently cause our revenues to decline. Further, such factors may negatively impact our operating costs resulting in a reduction in net income. The degree to which the ongoing wars in Israel and Ukraine, the inflationary and high interest rate environment and tariffs impacts our future business, financial position and results of operations will depend on developments beyond our control.</w:t>
      </w:r>
    </w:p>
    <w:p>
      <w:pPr>
        <w:spacing w:after="0" w:line="181"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Ongoing Wars in Israel and Ukraine</w:t>
      </w:r>
      <w:r>
        <w:rPr>
          <w:rFonts w:ascii="Times New Roman" w:cs="Times New Roman" w:eastAsia="Times New Roman" w:hAnsi="Times New Roman"/>
          <w:sz w:val="18"/>
          <w:szCs w:val="18"/>
          <w:color w:val="auto"/>
        </w:rPr>
        <w:t>. The uncertainty resulting from the ongoing wars in Israel and Ukraine,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threat for expansion of one or both of these wars, could result in some of our customers delaying purchases from us. Further, a number of our employees in Israel are members of the military reserves and subject to immediate call-up in response to the war in Israel. Following the terrorist attacks in Israel in October 2023, a number of our employees have been activated for military duty and we expect that additional employees will also be activated if the war in Israel continues. While we have business continuity plans in place to address the military call-ups, it could affect the timing of projects in the short-term as the work is shifted to other team members both inside and outside of Israel.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U.S. and other European countries have imposed sanctions and trade restrictions against Russia in connection with the war in Ukraine. These sanctions and restrictions currently prohibit our ability to sell hardware products in Russia or provide any replacement parts in Russia. The sanctions continue to evolve and further changes in the current sanctions or trade restrictions could further limit our ability to sell products and services to customers in Russia, our ability to collect on outstanding accounts receivable from such customers, and our ability to repatriate funds.</w:t>
      </w:r>
    </w:p>
    <w:p>
      <w:pPr>
        <w:spacing w:after="0" w:line="181" w:lineRule="exact"/>
        <w:rPr>
          <w:sz w:val="20"/>
          <w:szCs w:val="20"/>
          <w:color w:val="auto"/>
        </w:rPr>
      </w:pPr>
    </w:p>
    <w:p>
      <w:pPr>
        <w:ind w:left="60" w:right="59"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Inflation and Interest Rates. </w:t>
      </w:r>
      <w:r>
        <w:rPr>
          <w:rFonts w:ascii="Times New Roman" w:cs="Times New Roman" w:eastAsia="Times New Roman" w:hAnsi="Times New Roman"/>
          <w:sz w:val="17"/>
          <w:szCs w:val="17"/>
          <w:color w:val="auto"/>
        </w:rPr>
        <w:t>We continue to see near-term impacts on our business due to inflation, including ongoing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price pressures resulting in higher energy prices, component costs, freight premiums, and other operating costs above normal rates. Although headline inflation in the United States and Europe appears to be easing, core inflation (excluding food and energy prices) remains elevated and is a source of continued cost pressure on businesses and households. Interest rates remain high as central banks in developed countries attempt to subdue inflation while government deficits and debt remain at high levels in many global markets. However, since its peak in 2024, the Federal Reserve lowered the federal funds rate to its current target range of 4.00% to 4.25% as a result of indicators that inflation had made progress toward the Federal Reserve’s objective and labor market conditions had generally eased. Yet, the economic outlook remains uncertain, and the implications of current and future tariffs, higher government deficits and debt, tighter monetary policy, and potentially higher long-term interest rates may drive a higher cost of capital for our business.</w:t>
      </w:r>
    </w:p>
    <w:p>
      <w:pPr>
        <w:spacing w:after="0" w:line="177"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w:t>
      </w:r>
      <w:r>
        <w:rPr>
          <w:rFonts w:ascii="Times New Roman" w:cs="Times New Roman" w:eastAsia="Times New Roman" w:hAnsi="Times New Roman"/>
          <w:sz w:val="18"/>
          <w:szCs w:val="18"/>
          <w:color w:val="auto"/>
        </w:rPr>
        <w:t>As a portion of our business is conducted outside the United States, we face exposure to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in foreign currency exchange rates. A weakened U.S. dollar could increase the cost of local operating expenses and procurement of raw materials from sources outside the United States. Therefore, changes in the value of the U.S. dollar against other currencies will affect our revenue, income from operations, net income and the value of balance sheet items originally denominated in other currencies. There is no guarantee that our financial results will not be adversely affected by currency exchange rate fluctuations.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Presentation</w:t>
      </w:r>
    </w:p>
    <w:p>
      <w:pPr>
        <w:spacing w:after="0" w:line="229"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Unless otherwise noted, all financial amounts, excluding tabular information, in this Management’s Discussion and Analysis of Financial Condition and Results of Operations ("MD&amp;A") are rounded to the nearest million dollar amount, and all percentages, excluding tabular information, are rounded to the nearest percentage point.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assesses our performance based on the performance of two separate organizations within Ribbon: the Cloud and Edge operating segment ("Cloud and Edge") and the IP Optical Networks operating segment ("IP Optical Networks"). For additional details regarding our operating segments, see Note 13 - Operating Segment Information to our condensed consolidated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Results</w:t>
      </w:r>
    </w:p>
    <w:p>
      <w:pPr>
        <w:spacing w:after="0" w:line="227"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We reported income from operations of $2.8 million and a loss from operations of $0.9 million for the three months ended September 30, 2025 and 2024, respectively. We reported a loss from operations of $12.6 million and $16.3 million for the nine months ended September 30, 2025 and 2024, respectively.</w:t>
      </w:r>
    </w:p>
    <w:p>
      <w:pPr>
        <w:spacing w:after="0" w:line="17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revenue was $215.4 million and $210.2 million in the three months ended September 30, 2025 and 2024, respectively. Our gross profit and gross margin were $108.0 million and 50.1%, respectively, in the three months ended September 30, 2025, and $109.6 million and 52.1%, respectively, in the three months ended September 30, 2024. The higher revenue in the three months ended September 30, 2025 compared to 2024 is due to $8.7 million of higher IP Optical Networks sales, partially offset by $3.6 million of overall lower Cloud and Edge revenue. The IP Optical Networks revenue was higher primarily due to $5.2 million of higher product sales, and higher professional services sales and maintenance revenue of $1.8 million and $1.7 million, respectively. The lower Cloud and Edge revenue was attributable to $7.3 million of lower product sales and $1.3 million of lower maintenance revenue, partially offset 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6" w:lineRule="auto"/>
        <w:rPr>
          <w:sz w:val="20"/>
          <w:szCs w:val="20"/>
          <w:color w:val="auto"/>
        </w:rPr>
      </w:pPr>
      <w:r>
        <w:rPr>
          <w:rFonts w:ascii="Times New Roman" w:cs="Times New Roman" w:eastAsia="Times New Roman" w:hAnsi="Times New Roman"/>
          <w:sz w:val="17"/>
          <w:szCs w:val="17"/>
          <w:color w:val="auto"/>
        </w:rPr>
        <w:t>$5.0 million of higher professional services revenue. Our revenue was $617.2 million and $582.5 million in the nine months ended September 30, 2025 and 2024, respectively. Our gross profit and gross margin were $299.6 million and</w:t>
      </w:r>
    </w:p>
    <w:p>
      <w:pPr>
        <w:spacing w:after="0" w:line="1"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48.5%, respectively, in the nine months ended September 30, 2025, and $299.4 million and 51.4%, respectively, in the nine months ended September 30, 2024. The higher revenue in the nine months ended September 30, 2025 compared to 2024 is due to $28.8 million of higher overall Cloud and Edge revenue and $5.9 million of higher IP Optical Networks sales. The higher Cloud and Edge revenue was attributable to $23.8 million of higher sales of professional services and $9.5 million of higher product sales, partially offset by $4.5 million of lower maintenance revenue. The higher IP Optical Networks revenue was due to $3.9 million of higher maintenance revenue and $3.4 million of higher sales of professional services, partially offset by $1.4 million of lower product revenue.</w:t>
      </w:r>
    </w:p>
    <w:p>
      <w:pPr>
        <w:spacing w:after="0" w:line="18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Revenue from our Cloud and Edge segment was $124.5 million and $128.1 million in the three months ended September 30, 2025 and 2024, respectively. Gross profit and gross margin for this segment were $76.5 million and 61.5%, respectively, in the three months ended September 30, 2025, and $84.3 million and 65.9%, respectively, in the three months ended September 30, 2024. Revenue from our Cloud and Edge segment was $369.1 million and $340.3 million in the nine months ended September 30, 2025 and 2024, respectively. Gross profit and gross margin for this segment were $226.3 million and 61.3%, respectively, in the nine months ended September 30, 2025, and $219.2 million and 64.4%, respectively, in the nine months ended September 30, 2024.</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Revenue from our IP Optical Networks segment was $90.9 million and $82.2 million in the three months ended September 30, 2025 and 2024, respectively. Gross profit and gross margin for this segment were $31.5 million and 34.6%, respectively, in the three months ended September 30, 2025, and $25.3 million and 30.8%, respectively, in the three months ended September 30, 2024. Revenue from our IP Optical Networks segment was $248.1 million and $242.2 million in the nine months ended September 30, 2025 and 2024, respectively. Gross profit and gross margin for this segment were $73.3 million and 29.5%, respectively, in the nine months ended September 30, 2025, and $80.2 million and 33.1%, respectively, in the nine months ended September 30, 2024.</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operating expenses were $105.2 million and $110.5 million in the three months ended September 30, 2025 and 2024, respectively, and $312.3 million and $315.8 million in the nine months ended September 30, 2025 and 2024, respectively. The decreased operating expenses are primarily attributable to lower general and administrative expenses. Operating expenses for the three months ended September 30, 2025 included $5.9 million of amortization of acquired intangible assets, $0.4 million of acquisition-, disposal- and integration-related expense, and $3.5 million of restructuring and related expense. Operating expenses for the three months ended September 30, 2024 included $6.5 million of amortization of acquired intangible assets and $3.8 million of restructuring and related expense. Operating expenses for the nine months ended September 30, 2025 included $18.1 million of amortization of acquired intangible assets, $4.3 million of acquisition-, disposal- and integration-related expense, and $10.2 million of restructuring and related expense. Operating expenses for the nine months ended September 30, 2024 included $19.7 million of amortization of acquired intangible assets, and $8.8 million of restructuring and related expense.</w:t>
      </w:r>
    </w:p>
    <w:p>
      <w:pPr>
        <w:spacing w:after="0" w:line="192"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We recorded stock-based compensation expense of $5.8 million and $4.0 million in the three months ended September 30, 2025 and 2024, respectively, and $14.6 million and $12.1 million in the nine months ended September 30, 2025 and 2024, respectively. These amounts are included as components of both Cost of revenue and Operating expenses in our condensed consolidated statements of operations.</w:t>
      </w:r>
    </w:p>
    <w:p>
      <w:pPr>
        <w:spacing w:after="0" w:line="180"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See "Results of Operations" in this MD&amp;A for a discussion of the changes in our revenue and expenses for three and nine months ended September 30, 2025 compared to three and nine months ended September 30, 2024.</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and Cost Reduction Initiatives</w:t>
      </w:r>
    </w:p>
    <w:p>
      <w:pPr>
        <w:spacing w:after="0" w:line="22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our President and CEO approved a strategic restructuring program (as subsequently amended, the "2025 Restructuring Plan") that consists of workforce reductions in certain of our operating locations to correspond with current sales levels in those areas. The 2025 Restructuring Plan was amended in the third quarter of 2025 to reflect an increase in the scope of the proposed reductions. Any potential positions eliminated in countries outside the United States are subject to local law and consultation requirements. In connection with the 2025 Restructuring Plan, we recorded restructuring and related expense of $2.5 million and $5.1 million in three and nine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months ended September 30, 2025. We anticipate that we will record nominal additional expense in 2025 for workforce reductions in connection with the 2025 Restructuring Plan.</w:t>
      </w:r>
    </w:p>
    <w:p>
      <w:pPr>
        <w:spacing w:after="0" w:line="162" w:lineRule="exact"/>
        <w:rPr>
          <w:sz w:val="20"/>
          <w:szCs w:val="20"/>
          <w:color w:val="auto"/>
        </w:rPr>
      </w:pPr>
    </w:p>
    <w:p>
      <w:pPr>
        <w:ind w:left="60" w:right="119" w:firstLine="324"/>
        <w:spacing w:after="0" w:line="273" w:lineRule="auto"/>
        <w:rPr>
          <w:sz w:val="20"/>
          <w:szCs w:val="20"/>
          <w:color w:val="auto"/>
        </w:rPr>
      </w:pPr>
      <w:r>
        <w:rPr>
          <w:rFonts w:ascii="Times New Roman" w:cs="Times New Roman" w:eastAsia="Times New Roman" w:hAnsi="Times New Roman"/>
          <w:sz w:val="17"/>
          <w:szCs w:val="17"/>
          <w:color w:val="auto"/>
        </w:rPr>
        <w:t>In February 2022, our Board of Directors approved a strategic restructuring program (the "2022 Restructuring Plan") to streamline our operations in order to support our investment in critical growth areas. The 2022 Restructuring Plan includes, among other things, charges related to a consolidation of facilities and a workforce reduction. Any positions eliminated in countries outside the United States are subject to local law and consultation requirements. In connection with the 2022 Restructuring Plan, we recorded restructuring and related expense of $0.9 million and $5.2 million in the three and nine months ended September 30, 2025, respectively, for variable and other facilities-related costs. We anticipate that we will record approximately $1 million of expense in the remainder of 2025 related to the 2022 Restructuring Plan.</w:t>
      </w:r>
    </w:p>
    <w:p>
      <w:pPr>
        <w:spacing w:after="0" w:line="171"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For facilities that are part of a restructuring plan, for which we have no intent or ability to enter into a sublease, we recognize accelerated rent amortization over the period from the date that we commence the plan to fully or partially vacate a facility through the final vacate date. We did not record accelerated rent amortization in the three and nine months ended September 30, 2025 or 2024. We continue to evaluate our properties included in our restructuring plans for accelerated amortization and/or right-of-use asset impairment. We may incur additional expense in the future if we are unable to sublease other locations included in these initiatives.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left="60" w:right="119" w:firstLine="324"/>
        <w:spacing w:after="0" w:line="269" w:lineRule="auto"/>
        <w:rPr>
          <w:sz w:val="20"/>
          <w:szCs w:val="20"/>
          <w:color w:val="auto"/>
        </w:rPr>
      </w:pPr>
      <w:r>
        <w:rPr>
          <w:rFonts w:ascii="Times New Roman" w:cs="Times New Roman" w:eastAsia="Times New Roman" w:hAnsi="Times New Roman"/>
          <w:sz w:val="17"/>
          <w:szCs w:val="17"/>
          <w:color w:val="auto"/>
        </w:rPr>
        <w:t>This MD&amp;A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certain accounting policies to be both those most important to the portrayal of our financial condition and those that require the most subjective judgment. The significant accounting policies that we believe are the most critical include revenue recognition, the valuation of inventory, warranty accruals, loss contingencies and reserves, stock-based compensation, the Preferred Stock and Warrants, business combinations, goodwill and intangible assets, accounting for leases, and accounting for income taxes. If actual results differ significantly from management’s estimates and projections, there could be a material effect on our condensed consolidated financial statements. There were no significant changes to our critical accounting policies from January 1, 2025 through September 30, 2025. For a further discussion of our critical accounting policies and estimates, please refer to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2025 and 2024</w:t>
      </w:r>
    </w:p>
    <w:p>
      <w:pPr>
        <w:spacing w:after="0" w:line="225" w:lineRule="exact"/>
        <w:rPr>
          <w:sz w:val="20"/>
          <w:szCs w:val="20"/>
          <w:color w:val="auto"/>
        </w:rPr>
      </w:pPr>
    </w:p>
    <w:p>
      <w:pPr>
        <w:ind w:left="60" w:right="55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three and nine months ended September 30, 2025 and 2024 was as follows (in thousands,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percentages):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gridSpan w:val="8"/>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7"/>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(2,172)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800" w:type="dxa"/>
            <w:vAlign w:val="bottom"/>
            <w:gridSpan w:val="5"/>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7"/>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582,522</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$ 34,711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Segment revenue for the three and nine months ended September 30, 2025 and 2024 was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Pr>
          <w:p>
            <w:pPr>
              <w:spacing w:after="0"/>
              <w:rPr>
                <w:sz w:val="15"/>
                <w:szCs w:val="15"/>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9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9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16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Edge</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980" w:type="dxa"/>
            <w:vAlign w:val="bottom"/>
            <w:gridSpan w:val="2"/>
            <w:vMerge w:val="continue"/>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Edge</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$ 109,979</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53,455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112,151</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27,051</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98,087</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90,933</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$ 215,371</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$ 128,078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tcPr>
          <w:p>
            <w:pPr>
              <w:spacing w:after="0"/>
              <w:rPr>
                <w:sz w:val="24"/>
                <w:szCs w:val="24"/>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9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9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16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Edge</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980" w:type="dxa"/>
            <w:vAlign w:val="bottom"/>
            <w:gridSpan w:val="2"/>
            <w:vMerge w:val="continue"/>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Edge</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$ 307,027</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$ 124,554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298,894</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75,199</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369,077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248,156</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$ 617,233</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$ 340,302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582,522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69" w:lineRule="auto"/>
        <w:rPr>
          <w:sz w:val="20"/>
          <w:szCs w:val="20"/>
          <w:color w:val="auto"/>
        </w:rPr>
      </w:pPr>
      <w:r>
        <w:rPr>
          <w:rFonts w:ascii="Times New Roman" w:cs="Times New Roman" w:eastAsia="Times New Roman" w:hAnsi="Times New Roman"/>
          <w:sz w:val="17"/>
          <w:szCs w:val="17"/>
          <w:color w:val="auto"/>
        </w:rPr>
        <w:t>The decrease in our product revenue in the three months ended September 30, 2025 compared to the three months ended September 30, 2024 was the result of $7 million of lower sales of our Cloud and Edge products, partially offset by $5 million of higher sales of IP Optical Networks products. The increase in our product revenue in the nine months ended September 30, 2025 compared to the nine months ended September 30, 2024 was the result of $9 million of higher sales of our Cloud and Edge products, partially offset by a $1 million decrease in sales of IP Optical Networks products. For the three months ended September 30, 2025 compared to the prior year, the decrease in sales of Cloud and Edge products was primarily attributable to lower sales to enterprise customers, including Federal agencies. The increase in sales of IP Optical Networks products for the three months ended September 30, 2025 compared to the prior year was primarily due to higher sales in India and the region of Europe, the Middle East and Africa (“EMEA”), partially offset by lower sales in the United States. For the nine months ended September 30, 2025 compared to the prior year, the increase in revenue from the sale of Cloud and Edge products was primarily attributable to U.S. service providers and enterprise customers. The increase in sales of IP Optical Networks products for the nine months ended September 30, 2025 compared to the prior year was primarily due to higher sales in India and EMEA, partially offset by lower sales in the United States and Eastern Europe.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Revenue from sales to enterprise customers was 34% and 36% of our product revenue in the three months ended September 30, 2025 and 2024, respectively. These sales were made through both our direct sales team and indirect sales channel partners. Revenue from sales to enterprise customers was 32% and 39% of our product revenue in the nine months ended September 30, 2025 and 2024, respectively. The decrease in enterprise sales primarily reflects lower sales of our products to Federal agencies and other enterprise customers.</w:t>
      </w:r>
    </w:p>
    <w:p>
      <w:pPr>
        <w:spacing w:after="0" w:line="18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Revenue from indirect sales through our channel partner program was 26% and 34% of our product revenue in the three months ended September 30, 2025 and 2024 and 29% and 38% of our product revenue in the nine months ended September 30, 2025 and 2024, respectively. The decrease in channel sales in the nine months ended September 30, 2025 primarily reflects lower sales of products to Federal agencies and other enterprise customers.</w:t>
      </w:r>
    </w:p>
    <w:p>
      <w:pPr>
        <w:spacing w:after="0" w:line="180"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timing of the completion of customer projects and revenue recognition criteria satisfaction may cause our product revenue to fluctuate from one period to the next.</w:t>
      </w:r>
    </w:p>
    <w:p>
      <w:pPr>
        <w:spacing w:after="0" w:line="16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Service revenue is primarily comprised of software and hardware maintenance and support (“maintenance revenue”) and network design, installation and other professional services (“professional services revenue”).</w:t>
      </w:r>
    </w:p>
    <w:p>
      <w:pPr>
        <w:spacing w:after="0" w:line="162"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Service revenue for the three and nine months ended September 30, 2025 and 2024 was comprised of the following (in thousands, except percentages):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138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58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496</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432"/>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8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425"/>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98,087</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$ 7,305</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680" w:type="dxa"/>
            <w:vAlign w:val="bottom"/>
            <w:tcBorders>
              <w:top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204,920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(686)</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78,708</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27,264</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$ 26,578</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Segment service revenue for the three and nine months ended September 30, 2025 and 2024 was comprised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Borders>
              <w:bottom w:val="single" w:sz="8" w:color="auto"/>
            </w:tcBorders>
            <w:gridSpan w:val="1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Edge</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Networks</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Edge</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69,019</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Edge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Edge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$ 154,899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204,234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$ 159,454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204,920</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105,972</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78,708</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$ 235,007</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310,206</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$ 215,748</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67,880</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Total service revenue was higher in the three and nine months ended September 30, 2025 compared to the same periods in 2024 primarily due to increased professional services revenue in both of our segments. Total service revenue for the three months ended September 30, 2025 compared to 2024 increased by $4 million and $3 million in our Cloud and Edge and IP Optical Networks segments, respectively. Total service revenue for the nine months ended September 30, 2025 compared to 2024 increased by $19 million and $7 million in our Cloud and Edge and IP Optical Networks segments, respectively.</w:t>
      </w:r>
    </w:p>
    <w:p>
      <w:pPr>
        <w:spacing w:after="0" w:line="18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Maintenance revenue was relatively flat in the three and nine months ended September 30, 2025 compared to the same periods in 2024 due to lower revenue in our Cloud and Edge segment, partially offset by higher revenue in our IP Optical Networks segment. The decrease in Cloud and Edge maintenance revenue is due to modestly lower renewal rates from decommissioning some older legacy equipment with several customers. The higher maintenance revenue in our IP Optical Networks segment is due to the effect of cumulative growth in product revenues over the years leading to a larger Installed Base that requires our ongoing support primarily in North America and Europe.</w:t>
      </w:r>
    </w:p>
    <w:p>
      <w:pPr>
        <w:spacing w:after="0" w:line="187" w:lineRule="exact"/>
        <w:rPr>
          <w:sz w:val="20"/>
          <w:szCs w:val="20"/>
          <w:color w:val="auto"/>
        </w:rPr>
      </w:pPr>
    </w:p>
    <w:p>
      <w:pPr>
        <w:jc w:val="both"/>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revenue was higher in the three and nine months ended September 30, 2025 compared to the same periods in 2024 due to growth in both of our segments. Our Cloud and Edge segment’s growth was due to sales of professional services to U.S. service providers, primarily for voice modernization projects with Verizon. Our IP Optical Networks segment experienced growth of sales of services primarily in EMEA, India, and North America.</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customers contributed 10% or more of our revenue in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4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180" w:type="dxa"/>
            <w:vAlign w:val="bottom"/>
            <w:tcBorders>
              <w:top w:val="single" w:sz="8" w:color="auto"/>
            </w:tcBorders>
            <w:gridSpan w:val="2"/>
          </w:tcPr>
          <w:p>
            <w:pPr>
              <w:jc w:val="right"/>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21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9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9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Bharti Telecom Limited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Less than 10% of total revenue.</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Revenue earned from customers domiciled outside the United States was 55% and 48% in the three months ended September 30, 2025 and 2024, respectively, and 52% and 55% of revenue in the nine months ended September 30, 2025 and 2024, respectively. Our U.S. revenue is increasing due to higher sales into the U.S. market from our Cloud &amp; Edge segment. Due to the timing of project completions, we expect that the domestic and international components as a percentage of our revenue may fluctuate from quarter to quarter and year to year.</w:t>
      </w:r>
    </w:p>
    <w:p>
      <w:pPr>
        <w:spacing w:after="0" w:line="183" w:lineRule="exact"/>
        <w:rPr>
          <w:sz w:val="20"/>
          <w:szCs w:val="20"/>
          <w:color w:val="auto"/>
        </w:rPr>
      </w:pPr>
    </w:p>
    <w:p>
      <w:pPr>
        <w:ind w:left="60" w:right="619" w:firstLine="324"/>
        <w:spacing w:after="0" w:line="258" w:lineRule="auto"/>
        <w:rPr>
          <w:sz w:val="20"/>
          <w:szCs w:val="20"/>
          <w:color w:val="auto"/>
        </w:rPr>
      </w:pPr>
      <w:r>
        <w:rPr>
          <w:rFonts w:ascii="Times New Roman" w:cs="Times New Roman" w:eastAsia="Times New Roman" w:hAnsi="Times New Roman"/>
          <w:sz w:val="18"/>
          <w:szCs w:val="18"/>
          <w:color w:val="auto"/>
        </w:rPr>
        <w:t>Our deferred product revenue was $8 million and $14 million at September 30, 2025 and December 31, 2024, respectively. Our deferred service revenue was $128 million and $126 million at September 30, 2025 and December 31, 2024, respectively. Our deferred revenue balance may fluctuate as a result of the timing of revenue recognition, customer payments, maintenance contract renewals, contractual billing rights and maintenance revenue deferrals included in multiple element arrangements.</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We expect that our total revenue in 2025 will increase compared to our revenue in 2024 due to growth in Cloud &amp; Edge segment sales, particularly with the increased purchases from Verizon as part of a voice modernization project, as well as growth in IP Optical segment sales. From a regional perspective, we anticipate continued IP Optical revenue growth in 2025 from EMEA and India. In the Cloud &amp; Edge segment, we expect continued revenue growth from enterprise customers, as well as from higher U.S. service provider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Revenue/Gross Margin. </w:t>
      </w:r>
      <w:r>
        <w:rPr>
          <w:rFonts w:ascii="Times New Roman" w:cs="Times New Roman" w:eastAsia="Times New Roman" w:hAnsi="Times New Roman"/>
          <w:sz w:val="18"/>
          <w:szCs w:val="18"/>
          <w:color w:val="auto"/>
        </w:rPr>
        <w:t>Our cost of revenue consists primarily of amounts paid to third-party manufacturers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purchased materials and services, royalties, amortization of acquired technology, inventory valuation adjustments, warranty costs, and manufacturing and services personnel and related costs. Our cost of revenue, gross profit and gross margin for the three and nine months ended September 30, 2025 and 2024 were as follows (in thousands, except percentages):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vMerge w:val="continue"/>
          </w:tcPr>
          <w:p>
            <w:pPr>
              <w:spacing w:after="0"/>
              <w:rPr>
                <w:sz w:val="15"/>
                <w:szCs w:val="15"/>
                <w:color w:val="auto"/>
              </w:rPr>
            </w:pP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(1,651)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50.1 %</w:t>
            </w: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52.1 %</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5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317,590</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283,083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34,507</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299,643</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299,439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Our segment cost of revenue, gross profit and gross margin for the three and nine months ended September 30, 2025 and 2024 were as follows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0"/>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11"/>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00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0" w:type="dxa"/>
            <w:vAlign w:val="bottom"/>
          </w:tcPr>
          <w:p>
            <w:pPr>
              <w:spacing w:after="0"/>
              <w:rPr>
                <w:sz w:val="10"/>
                <w:szCs w:val="10"/>
                <w:color w:val="auto"/>
              </w:rPr>
            </w:pPr>
          </w:p>
        </w:tc>
        <w:tc>
          <w:tcPr>
            <w:tcW w:w="102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0"/>
                <w:szCs w:val="10"/>
                <w:color w:val="auto"/>
              </w:rPr>
            </w:pPr>
          </w:p>
        </w:tc>
        <w:tc>
          <w:tcPr>
            <w:tcW w:w="1000" w:type="dxa"/>
            <w:vAlign w:val="bottom"/>
            <w:gridSpan w:val="4"/>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0" w:type="dxa"/>
            <w:vAlign w:val="bottom"/>
          </w:tcPr>
          <w:p>
            <w:pPr>
              <w:spacing w:after="0"/>
              <w:rPr>
                <w:sz w:val="10"/>
                <w:szCs w:val="10"/>
                <w:color w:val="auto"/>
              </w:rPr>
            </w:pPr>
          </w:p>
        </w:tc>
        <w:tc>
          <w:tcPr>
            <w:tcW w:w="1020" w:type="dxa"/>
            <w:vAlign w:val="bottom"/>
            <w:gridSpan w:val="4"/>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Edge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Edge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acquired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2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47,929</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59,476</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107,405</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43,729</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56,892</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31,457</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107,966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61.5 %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65.9 %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378"/>
        </w:trPr>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00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0" w:type="dxa"/>
            <w:vAlign w:val="bottom"/>
          </w:tcPr>
          <w:p>
            <w:pPr>
              <w:spacing w:after="0"/>
              <w:rPr>
                <w:sz w:val="10"/>
                <w:szCs w:val="10"/>
                <w:color w:val="auto"/>
              </w:rPr>
            </w:pPr>
          </w:p>
        </w:tc>
        <w:tc>
          <w:tcPr>
            <w:tcW w:w="102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0"/>
                <w:szCs w:val="10"/>
                <w:color w:val="auto"/>
              </w:rPr>
            </w:pPr>
          </w:p>
        </w:tc>
        <w:tc>
          <w:tcPr>
            <w:tcW w:w="1000" w:type="dxa"/>
            <w:vAlign w:val="bottom"/>
            <w:gridSpan w:val="4"/>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0" w:type="dxa"/>
            <w:vAlign w:val="bottom"/>
          </w:tcPr>
          <w:p>
            <w:pPr>
              <w:spacing w:after="0"/>
              <w:rPr>
                <w:sz w:val="10"/>
                <w:szCs w:val="10"/>
                <w:color w:val="auto"/>
              </w:rPr>
            </w:pPr>
          </w:p>
        </w:tc>
        <w:tc>
          <w:tcPr>
            <w:tcW w:w="102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Edge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Edge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59,628</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186,676</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45,854</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114,190</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acquired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$ 142,735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174,855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317,590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$ 121,082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162,001</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283,083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$ 226,342</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73,301</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$ 299,643</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$ 219,220</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80,219</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$ 299,439</w:t>
            </w:r>
          </w:p>
        </w:tc>
      </w:tr>
      <w:tr>
        <w:trPr>
          <w:trHeight w:val="21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Our overall gross margin in 2025 was lower as compared to 2024, with a 200 basis point decline in the three months ended September 30, 2025 and a 290 basis point decline in the nine months ended September 30, 2025.</w:t>
      </w:r>
    </w:p>
    <w:p>
      <w:pPr>
        <w:spacing w:after="0" w:line="162" w:lineRule="exact"/>
        <w:rPr>
          <w:sz w:val="20"/>
          <w:szCs w:val="20"/>
          <w:color w:val="auto"/>
        </w:rPr>
      </w:pPr>
    </w:p>
    <w:p>
      <w:pPr>
        <w:ind w:left="60" w:right="79" w:firstLine="324"/>
        <w:spacing w:after="0" w:line="273" w:lineRule="auto"/>
        <w:rPr>
          <w:sz w:val="20"/>
          <w:szCs w:val="20"/>
          <w:color w:val="auto"/>
        </w:rPr>
      </w:pPr>
      <w:r>
        <w:rPr>
          <w:rFonts w:ascii="Times New Roman" w:cs="Times New Roman" w:eastAsia="Times New Roman" w:hAnsi="Times New Roman"/>
          <w:sz w:val="17"/>
          <w:szCs w:val="17"/>
          <w:color w:val="auto"/>
        </w:rPr>
        <w:t>Gross margin for our IP Optical segment was higher in the three months ended September 30, 2025 as compared to the prior year by 380 basis points due to favorable regional mix. Gross margin for our IP Optical segment in the nine months ended September 30, 2025 compared to 2024 was lower by 360 basis points also due to regional mix primarily related to lower sales in the United States and Eastern Europe and higher sales in India. The lower gross margin in our Cloud and Edge segment for the three and nine months ended September 30, 2025 of 440 and 310 basis points, respectively, was attributable to product mix on sales to service providers and enterprise customers, as well as the effect of higher sales of hardware products and professional services, both of which contribute lower gross margins than our software products.</w:t>
      </w:r>
    </w:p>
    <w:p>
      <w:pPr>
        <w:spacing w:after="0" w:line="17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expect our overall consolidated gross margin to decrease slightly for the full year 2025 compared to 2024 due to higher expected sales in our IP Optical segment, which has lower margins due to the higher hardware content in its products, as well as the higher mix of professional services revenue in our Cloud and Edge segment, which generates lower gross margins than product sales.</w:t>
      </w:r>
    </w:p>
    <w:p>
      <w:pPr>
        <w:spacing w:after="0" w:line="176" w:lineRule="exact"/>
        <w:rPr>
          <w:sz w:val="20"/>
          <w:szCs w:val="20"/>
          <w:color w:val="auto"/>
        </w:rPr>
      </w:pPr>
    </w:p>
    <w:p>
      <w:pPr>
        <w:jc w:val="both"/>
        <w:ind w:left="60" w:right="7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expenses consist primarily of salaries and related personnel expenses and prototype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for the design, development, testing, and enhancement of our products. R&amp;D expenses for the three and nine months ended September 30, 2025 and 2024 were as follows (in thousands, except percentages):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82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134,897</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Our R&amp;D expenses in the three and nine months ended September 30, 2025 were relatively flat compared to the same periods in 2024 with slight increases in our Cloud and Edge segment and slight decreases in our IP Optical segment.</w:t>
      </w:r>
    </w:p>
    <w:p>
      <w:pPr>
        <w:spacing w:after="0" w:line="162"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IP Optical Networks R&amp;D investment is focused on expanding our portfolio of IP Routing solutions, adding additional features and capabilities to our Optical Transport portfolio, and supporting features in our next generation SDN management and orchestration platform.</w:t>
      </w:r>
    </w:p>
    <w:p>
      <w:pPr>
        <w:spacing w:after="0" w:line="17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Some aspects of our R&amp;D efforts require significant short-term expenditures, the timing of which may cause variability in our expenses. We believe that rapid technological innovation is critical to our long-term success, and we are tailoring our investments to meet the requirements of our customers and market. We believe that our R&amp;D expenses will increase modestly in 2025 primarily due to higher employee and consulting costs related to modifying certain legacy products and certain of our cloud native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1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salaries and related personnel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commissions, travel and entertainment expenses, promotions, customer trial and evaluations inventory and other marketing and sales support expenses. Sales and marketing expenses for the three and nine months ended September 30, 2025 and 2024 were as follows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820" w:type="dxa"/>
            <w:vAlign w:val="bottom"/>
            <w:gridSpan w:val="5"/>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100,760</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(3,373)</w:t>
            </w: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decrease in sales and marketing expenses in the nine months ended September 30, 2025 as compared to 2024 was primarily due to lower commissions, partially offset by higher travel expenses.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our sales and marketing expenses will be relatively flat in 2025 as compared to 2024.</w:t>
      </w:r>
    </w:p>
    <w:p>
      <w:pPr>
        <w:spacing w:after="0" w:line="221" w:lineRule="exact"/>
        <w:rPr>
          <w:sz w:val="20"/>
          <w:szCs w:val="20"/>
          <w:color w:val="auto"/>
        </w:rPr>
      </w:pPr>
    </w:p>
    <w:p>
      <w:pPr>
        <w:ind w:left="60" w:right="17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salaries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personnel costs for executive and administrative personnel, and audit, legal and other professional fees. General and administrative expenses for the three and nine months ended September 30, 2025 and 2024 were as follows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51,680</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(3,554)</w:t>
            </w: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in the three and nine months ended September 30, 2025 compared to the three and nine months ended September 30, 2024 was primarily attributable to lower litigation expenses, partially offset by higher employee related costs.</w:t>
      </w:r>
    </w:p>
    <w:p>
      <w:pPr>
        <w:spacing w:after="0" w:line="176"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We believe that our general and administrative expenses in 2025 will decrease slightly compared to our 2024 levels, primarily due to lower litigation expenses, partially offset by higher employee costs related to annual merit increases.</w:t>
      </w:r>
    </w:p>
    <w:p>
      <w:pPr>
        <w:spacing w:after="0" w:line="136"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Acquired Intangible Assets included in Operating expenses. </w:t>
      </w:r>
      <w:r>
        <w:rPr>
          <w:rFonts w:ascii="Times New Roman" w:cs="Times New Roman" w:eastAsia="Times New Roman" w:hAnsi="Times New Roman"/>
          <w:sz w:val="18"/>
          <w:szCs w:val="18"/>
          <w:color w:val="auto"/>
        </w:rPr>
        <w:t>Amortization of acquired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included in Operating expenses ("Opex Amortization") for the three and nine months ended September 30, 2025 and 2024 was as follows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0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Opex Amortization was lower for the three and nine months ended September 30, 2025 compared to the three and nine months ended September 30, 2024. We record our amortization in relation to expected future cash flows rather than on a straight-line basis. Accordingly, such expense may vary from one period to the next.</w:t>
      </w:r>
    </w:p>
    <w:p>
      <w:pPr>
        <w:spacing w:after="0" w:line="172" w:lineRule="exact"/>
        <w:rPr>
          <w:sz w:val="20"/>
          <w:szCs w:val="20"/>
          <w:color w:val="auto"/>
        </w:rPr>
      </w:pPr>
    </w:p>
    <w:p>
      <w:pPr>
        <w:ind w:left="60" w:right="1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Disposal- and Integration-Related. </w:t>
      </w:r>
      <w:r>
        <w:rPr>
          <w:rFonts w:ascii="Times New Roman" w:cs="Times New Roman" w:eastAsia="Times New Roman" w:hAnsi="Times New Roman"/>
          <w:sz w:val="18"/>
          <w:szCs w:val="18"/>
          <w:color w:val="auto"/>
        </w:rPr>
        <w:t>Acquisition-, disposal- and integration-related expenses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expenses related to acquisitions and disposals that we would otherwise not have incurred. Acquisition- and disposal-related expenses include professional and services fees, such as legal, audit, consulting, paying agent and other fees. Integration-related expenses represent incremental costs related to combining our systems and processes with those of acquired businesses, such as third-party consulting and other third-party services.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recorded $0.4 million and $4.3 million of acquisition-, disposal- and integration-related expenses in the three and nine months ended September 30, 2025, respectively, consisting of legal and professional fees associated with contemplated corporate development activities. We recorded no such expenses in 2024.</w:t>
      </w:r>
    </w:p>
    <w:p>
      <w:pPr>
        <w:spacing w:after="0" w:line="172" w:lineRule="exact"/>
        <w:rPr>
          <w:sz w:val="20"/>
          <w:szCs w:val="20"/>
          <w:color w:val="auto"/>
        </w:rPr>
      </w:pPr>
    </w:p>
    <w:p>
      <w:pPr>
        <w:jc w:val="both"/>
        <w:ind w:left="60" w:right="219"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Restructuring and Related. </w:t>
      </w:r>
      <w:r>
        <w:rPr>
          <w:rFonts w:ascii="Times New Roman" w:cs="Times New Roman" w:eastAsia="Times New Roman" w:hAnsi="Times New Roman"/>
          <w:sz w:val="17"/>
          <w:szCs w:val="17"/>
          <w:color w:val="auto"/>
        </w:rPr>
        <w:t>We have been committed to streamlining our operations and reducing operating costs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closing and consolidating certain facilities and reducing our worldwide workforce. Please see the additional discussion of our restructuring initiatives in the "Restructuring and Cost Reduction Initiatives" section of the Overview of this MD&amp;A.</w:t>
      </w:r>
    </w:p>
    <w:p>
      <w:pPr>
        <w:spacing w:after="0" w:line="157" w:lineRule="exact"/>
        <w:rPr>
          <w:sz w:val="20"/>
          <w:szCs w:val="20"/>
          <w:color w:val="auto"/>
        </w:rPr>
      </w:pPr>
    </w:p>
    <w:p>
      <w:pPr>
        <w:ind w:left="60" w:right="1059" w:firstLine="324"/>
        <w:spacing w:after="0" w:line="276" w:lineRule="auto"/>
        <w:rPr>
          <w:sz w:val="20"/>
          <w:szCs w:val="20"/>
          <w:color w:val="auto"/>
        </w:rPr>
      </w:pPr>
      <w:r>
        <w:rPr>
          <w:rFonts w:ascii="Times New Roman" w:cs="Times New Roman" w:eastAsia="Times New Roman" w:hAnsi="Times New Roman"/>
          <w:sz w:val="17"/>
          <w:szCs w:val="17"/>
          <w:color w:val="auto"/>
        </w:rPr>
        <w:t>We recorded restructuring and related expense of $3.5 million and $3.8 million in the three months ended September 30, 2025 and 2024, respectively and $10.2 million and $8.8 million in the nine months ended</w:t>
      </w:r>
    </w:p>
    <w:p>
      <w:pPr>
        <w:spacing w:after="0" w:line="1"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September 30, 2025 and 2024, respectively. Although we have eliminated positions as part of our restructuring initiatives, we continue to hire in certain areas that we believe are important to our future growth.</w:t>
      </w:r>
    </w:p>
    <w:p>
      <w:pPr>
        <w:spacing w:after="0" w:line="177" w:lineRule="exact"/>
        <w:rPr>
          <w:sz w:val="20"/>
          <w:szCs w:val="20"/>
          <w:color w:val="auto"/>
        </w:rPr>
      </w:pPr>
    </w:p>
    <w:p>
      <w:pPr>
        <w:ind w:left="60" w:right="21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and interest income for the three and nine months ended September 30,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2024 were as follows (in thousands, except percentages):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8"/>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2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5"/>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34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2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(22,039)</w:t>
            </w: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$ 11,814</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$ 11,265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Interest income increased slightly in 2025 as compared to 2024 due to interest earned on a cash investment account established in late 2024. Our interest expense in the three and nine months ended September 30, 2025 primarily represents interest, and amortization of debt issuance costs and original issue discount. Our interest expense in the three and nine months ended September 30, 2024 primarily represents interest, amortization of debt issuance costs, and the amortization of gains in accumulated other comprehensive (loss) income (“AOCI”) from the sales of our interest rate swap. Interest expense in the nine months ended September 30, 2025 was higher than same period in 2024 primarily due to higher margins under our 2024 Term Loan as compared to our 2020 Term Loan, both as defined below, as well as the lack of amortization of gains in AOCI in 2025 from sales of our interest rate swap. These gains in AOCI were fully written off upon the refinancing of the 2020 Term Loan on June 21, 2024.</w:t>
      </w:r>
    </w:p>
    <w:p>
      <w:pPr>
        <w:spacing w:after="0" w:line="184"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Other (Expense) Income, Net</w:t>
      </w:r>
      <w:r>
        <w:rPr>
          <w:rFonts w:ascii="Times New Roman" w:cs="Times New Roman" w:eastAsia="Times New Roman" w:hAnsi="Times New Roman"/>
          <w:sz w:val="18"/>
          <w:szCs w:val="18"/>
          <w:color w:val="auto"/>
        </w:rPr>
        <w:t>. We recorded other expense, net of $0.1 million and other income, net of $1.1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September 30, 2025 and 2024, respectively. We recorded other income, net of $0.8 million, and other expense, net of $16.0 million in the nine months ended September 30, 2025 and 2024, respectively. Other expense, net in the three months ended September 30, 2025 was primarily comprised of $1.2 million of fair value adjustments of our Warrants, partially offset by foreign currency exchange losses of $1.1 million. Other income, net in the nine months ended September 30, 2025 was primarily comprised of $2.8 million of fair value adjustments of our Warrants, partially offset by foreign currency exchange losses of $1.7 million. Other income, net in the three months ended September 30, 2024 was primarily comprised of fair value adjustments of our Warrants and foreign currency exchange gains. Other expense, net in the nine months ended September 30, 2024 was primarily comprised of $6.6 million of fair value adjustments, $2.7 million of accrued dividends, and the $1.8 million call premium on our Preferred Stock that we redeemed on June 25, 2024, and foreign currency exchange losses of $1.4 million.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3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income tax provisions of $3.1 million and $1.6 million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2025 and 2024, respectively, and $4.6 million and $6.5 million in the nine months ended</w:t>
      </w:r>
    </w:p>
    <w:p>
      <w:pPr>
        <w:spacing w:after="0" w:line="1" w:lineRule="exact"/>
        <w:rPr>
          <w:sz w:val="20"/>
          <w:szCs w:val="20"/>
          <w:color w:val="auto"/>
        </w:rPr>
      </w:pPr>
    </w:p>
    <w:p>
      <w:pPr>
        <w:ind w:left="60" w:right="199"/>
        <w:spacing w:after="0" w:line="251" w:lineRule="auto"/>
        <w:rPr>
          <w:sz w:val="20"/>
          <w:szCs w:val="20"/>
          <w:color w:val="auto"/>
        </w:rPr>
      </w:pPr>
      <w:r>
        <w:rPr>
          <w:rFonts w:ascii="Times New Roman" w:cs="Times New Roman" w:eastAsia="Times New Roman" w:hAnsi="Times New Roman"/>
          <w:sz w:val="18"/>
          <w:szCs w:val="18"/>
          <w:color w:val="auto"/>
        </w:rPr>
        <w:t>September 30, 2025 and 2024, respectively. For the nine months ended September 30, 2025, the tax expense included a release of an uncertain tax position of $3.7 million (inclusive of accrued penalties and interest) that was effectively settled upon closure of an audit.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year. The estimated effective tax rate includes the impact of valuation allowances in various jurisdictions. We intend to continue to maintain a valuation allowance on our deferred tax assets until there is sufficient evidence to support the reversal of all or some portion of the respective allowances.</w:t>
      </w:r>
    </w:p>
    <w:p>
      <w:pPr>
        <w:spacing w:after="0" w:line="19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In October 2021, the Organization for Economic Co-operation and Development (the "OECD") announced the OECD/G20 Inclusive Framework on Base Erosion and Profit Shifting, which agreed to a two-pillar solution to address tax challenges arising from digitalization of the economy. In December 2021, the OECD released Pillar Two Model Rules defining the global minimum tax rules, which contemplate a minimum tax rate of 15% (“Pillar Two”). In addition, the OECD issued administrative guidance providing transition and safe harbor rules that could delay the impact of the minimum tax directive. Certain countries in which we operate have enacted legislation consistent with the OECD model rules effective beginning in 2024. We considered the applicable tax laws in relevant jurisdictions and concluded there was no material effect on our tax provision for the nine months ended September 30, 2025. We will continue to evaluate the potential effect of Pillar Two rules on our future reporting periods, but we do not expect Pillar Two to have a significant impact on our results of operations, financial position, or cash flows.</w:t>
      </w:r>
    </w:p>
    <w:p>
      <w:pPr>
        <w:spacing w:after="0" w:line="194"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One Big Beautiful Bill Act (the "Act") was signed into law on July 4, 2025. The Act reinstates bonus depreciation, allows for full expensing of R&amp;D expenses, and increases the limitation of interest deductibility for 2025, amongst many other provisions. Since the Act became law during the third quarter of 2025, we accounted for the effects of the Act on our tax provision in the three months ended September 30, 2025. The most significant impact of the Act for us is the ability to deduct the unamortized balance of capitalized R&amp;D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condensed consolidated statements of cash flows are summarized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cash flows provided by (used in)</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(23,368)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(14,890)</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(8,478)</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(13,490)</w:t>
            </w:r>
          </w:p>
        </w:tc>
        <w:tc>
          <w:tcPr>
            <w:tcW w:w="16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40,177</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(53,667)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had cash, cash equivalents, and restricted cash aggregating $77 million and $90 million at September 30, 2025 and December 31, 2024, respectively. We had cash held by our non-U.S. subsidiaries aggregating $36 million and $18 million at September 30, 2025 and December 31, 2024, respectively. If we elect to repatriate all of the funds held by our non-U.S. subsidiaries as of September 30, 2025, we do not believe that the amounts of potential withholding taxes that would arise from the repatriation would have a material effect on our liquidity.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On June 21, 2024, we entered into a Senior Secured Credit Facilities Credit Agreement (the “2024 Credit Facility” or “2024 Credit Agreement”) as guarantor, with our wholly-owned subsidiary, Ribbon Communications Operating Company, Inc., as the borrower (“Borrower”), HPS Investment Partners, LLC ("HPS"), as administrative agent, and HPS and WhiteHorse Capital Management, LLC ("WhiteHorse" and, together with HPS, the "Lenders"), pursuant to which the Lenders provided us with a $385 million Credit Agreement comprised of (i) a $350 million term loan (the “2024 Term Loan”) and (ii) a $35 million revolving credit facility (the “2024 Revolver”), including a $20 million sublimit for letters of credit. The proceeds received from the 2024 Term Loan were used to (a) repay 100% of the amounts outstanding under the 2020 Credit Facility, (b) redeem in full the Preferred Stock and (c) pay fees and expenses related to the 2024 Credit Facility. Excess proceeds are being used by us for working capital and other general corporate purposes.</w:t>
      </w:r>
    </w:p>
    <w:p>
      <w:pPr>
        <w:spacing w:after="0" w:line="18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2024 Term Loan and the 2024 Revolver bear interest, at the Borrower’s option, at either the Alternate Base Rate (“ABR”) or Term Secured Overnight Financing Rate ("SOFR") with an Applicable Margin for each (all as defined in the 2024 Credit Facility). Margins for the first six months were 5.25% per annum for ABR Loans and 6.25% per annum for SOFR Loans. Thereafter, margins vary based on our Consolidated Net Leverage Ratio, ranging from 4.75% to 5.25% per annum for ABR Loans and 5.75% to 6.25% per annum for SOFR Loans. The 2024 Term Loan and the 2024 Revolver will both mature on June 21, 2029. The 2024 Term Loan is being repaid in equal quarterly installments: approximately</w:t>
      </w:r>
    </w:p>
    <w:p>
      <w:pPr>
        <w:spacing w:after="0" w:line="5"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$0.9 million beginning with the third quarter of 2024 through the second quarter of 2025; approximately $2.2 million beginning with the third quarter of 2025 and ending with the second quarter of 2027; and approximately $4.4 million quarterly thereafter, with the remaining principal balance of approximately $298.4 million due on the maturity date of June 21, 2029. In connection with the establishment of the 2024 Credit Facility, $7.7 million of original issue discount was withheld by the Lenders, and we incurred $6.3 million of debt issuance costs for a total of $14.0 million that is being amortized to Interest expense, net over the term of the agreement.</w:t>
      </w:r>
    </w:p>
    <w:p>
      <w:pPr>
        <w:spacing w:after="0" w:line="190"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Our previous credit facility was the Senior Secured Credit Facilities Credit Agreement (as amended, the "2020 Credit Facility"), which we entered into on March 3, 2020, by and among us, as a guarantor, Ribbon Communications Operating Company, Inc., as the borrower (the "Borrower"), Citizens Bank, N.A., Santander Bank, N.A., and others as lenders, ("2020 Credit Facility Lenders"). For additional details regarding the terms of the 2024 Credit Facility and 2020 Credit Facility, see Note 9 to our condensed consolidated financial statements.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entered into the Sixth Amendment to the 2020 Credit Facility (the “Sixth Amendment”) effective March 30, 2023. Among other things, the Sixth Amendment reduced the maximum borrowings allowed under the 2020 Revolving Credit Facility from $100 million to $75 million and the sublimit available for letters of credit was reduced from $30 million to $20 million. Also, the Sixth Amendment replaced LIBOR with the SOFR as the alternative rate available to us for calculating interest owed under the 2020 Credit Facility with the margin fixed at 4.5%. In conjunction with the Sixth Amendment, we made a $75 million prepayment to our 2020 Credit Facility funded almost entirely from the net proceeds from the Private Placement and the sales of our interest rate swap. Debt issuance costs associated with the Sixth Amendment totaled $1.7 million and were being amortized on a straight-line basis over the remaining life of the 2020 Credit Facility to Interest expense, net and were written off in conjunction with the early extinguishment of the 2020 Credit Facility on June 21, 2024.</w:t>
      </w:r>
    </w:p>
    <w:p>
      <w:pPr>
        <w:spacing w:after="0" w:line="194"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Quarterly principal payments were required on the 2020 Term Loan aggregating approximately $5.0 million per quarter through March 31, 2024, and if the refinancing had not occurred, $10.0 million would have been required in each of the three quarters thereafter, with the remaining and final payment due on the maturity date in March 2025.</w:t>
      </w:r>
    </w:p>
    <w:p>
      <w:pPr>
        <w:spacing w:after="0" w:line="176" w:lineRule="exact"/>
        <w:rPr>
          <w:sz w:val="20"/>
          <w:szCs w:val="20"/>
          <w:color w:val="auto"/>
        </w:rPr>
      </w:pPr>
    </w:p>
    <w:p>
      <w:pPr>
        <w:jc w:val="both"/>
        <w:ind w:left="60" w:right="419" w:firstLine="324"/>
        <w:spacing w:after="0" w:line="289" w:lineRule="auto"/>
        <w:rPr>
          <w:sz w:val="20"/>
          <w:szCs w:val="20"/>
          <w:color w:val="auto"/>
        </w:rPr>
      </w:pPr>
      <w:r>
        <w:rPr>
          <w:rFonts w:ascii="Times New Roman" w:cs="Times New Roman" w:eastAsia="Times New Roman" w:hAnsi="Times New Roman"/>
          <w:sz w:val="17"/>
          <w:szCs w:val="17"/>
          <w:color w:val="auto"/>
        </w:rPr>
        <w:t>At September 30, 2025, we had an outstanding balance under the 2024 Term Loan of $344.3 million at an average interest rate of 10.6%, with no revolver balance and no letters of credit outstanding under our 2024 Credit Facility. We were in compliance with all covenants of the 2024 Credit Facility at both September 30, 2025 and December 31, 2024.</w:t>
      </w:r>
    </w:p>
    <w:p>
      <w:pPr>
        <w:spacing w:after="0" w:line="15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course of our business, we use letters of credit, bank guarantees, and surety bonds (collectively, "Guarantees"). We had $11.1 million and $10.9 million of Guarantees under various uncommitted facilities as of September 30, 2025 and December 31, 2024, respectively. We had no letters of credit outstanding under the 2024 Credit Facility as of September 30, 2025 or December 31, 2024. At September 30, 2025 and December 31, 2024, we had cash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collateral of $2.0 million and $2.7 million supporting the Guarantees, respectively, which are reported as Restricted cash in our condensed consolidated balance sheets.</w:t>
      </w:r>
    </w:p>
    <w:p>
      <w:pPr>
        <w:spacing w:after="0" w:line="16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financial market risk related to foreign currency fluctuations and changes in interest rates. These exposures are actively monitored by management. To manage the volatility related to the exposure to changes in interest rates, we may enter into a derivative financial instrument. Management’s objective has been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187"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As a result of exposure to interest rate movements, we entered into an interest rate swap arrangement in March 2020 which effectively converted our $400 million term loan with its variable interest rate based upon one-month LIBOR to an aggregate fixed rate of 0.904%, plus a leverage-based margin as defined in the 2020 Credit Facility.</w:t>
      </w:r>
    </w:p>
    <w:p>
      <w:pPr>
        <w:spacing w:after="0" w:line="1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two separate transactions during 2022, we sold a total of $60 million of the notional amount of our interest rate swap back to our counterparty for $3.1 million, reducing the notional amount of this swap to $340 million. The gain in Accumulated other comprehensive (loss) income related to these sales totaled $3.1 million and was being released into earnings on a straight-line basis over the remaining term of the 2020 Credit Facility as a decrease to interest expense, the amortization of which totaled $0.4 million in the nine months ended September 30, 2024. The remaining unamortized gain in Accumulated other comprehensive (loss) income of approximately $0.5 million was written off to interest expense in conjunction with the refinancing of the 2020 Credit Facility on June 21, 2024.</w:t>
      </w:r>
    </w:p>
    <w:p>
      <w:pPr>
        <w:spacing w:after="0" w:line="189"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In two separate transactions in 2023, we received a total of $19.2 million, consisting of $0.8 million of interest and $18.4 million for the sale of the remaining $340 million notional amount of our swap. The portion of the gain in Accumulated other comprehensive (loss) income related to the term loan debt prepaid on the date of the final sale of our swap totaled $7.3 million and was released into earnings immediately as Other expense, net. The portion of the gain in Accumulated other comprehensive (loss) income related to our remaining term loan debt balance totaled $12.0 million and was being released into earnings on a straight-line basis over the remaining term of the 2020 Credit Facility as a decrease to interest expense beginning in the second quarter of 2023, the amortization of which was $3.0 million for the nine months ended September 30, 2024. The remaining unamortized gain in Accumulated other comprehensive (loss) income of $4.4 million was written off to interest expense in conjunction with the refinancing of the 2020 Credit Facility on June 21, 2024.</w:t>
      </w:r>
    </w:p>
    <w:p>
      <w:pPr>
        <w:spacing w:after="0" w:line="17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objectives in using interest rate derivatives have been to add stability to interest expense and to manage our exposure to interest rate movements. To accomplish these objectives, we have used an interest rate swap as part of our interest rate risk management strategy. Interest rate swaps designated as cash flow hedges involve the receipt of variable amounts from a counterparty in exchange for making fixed-rate payments over the life of an agreement without exchange of the underlying notional amount.</w:t>
      </w:r>
    </w:p>
    <w:p>
      <w:pPr>
        <w:spacing w:after="0" w:line="183"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 Any ineffective portion of the change in the fair value of the derivative would be recognized directly in earnings. However, we recorded no hedge ineffectiveness over the life of our swap. We had no derivative assets or liabilities at September 30, 2025 or December 31, 2024.</w:t>
      </w:r>
    </w:p>
    <w:p>
      <w:pPr>
        <w:spacing w:after="0" w:line="16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the second quarter of 2025, our Board approved a share repurchase program (the "2025 Repurchase Program" or the “Repurchase Program”) pursuant to which we are authorized to repurchase up to $50 million of our common stock prior to December 31, 2027. We repurchased 1.5 million shares in the nine months ended September 30, 2025, using $5.7 million, with $44.3 million remaining for future repurchases as of September 30,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 of cash from operating activities has been from cash collections from our customers. We expect cash flows from operating activities to be affected by increases and decreases in sales volumes and timing of collections, and by purchases and shipments of inventory. Our primary uses of cash for operating activities have been for personnel costs and investment in our research and development and in our sales and marketing, and general and administrative departments.</w:t>
      </w:r>
    </w:p>
    <w:p>
      <w:pPr>
        <w:spacing w:after="0" w:line="18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operating activities provided $22.2 million of cash in the nine months ended September 30, 2025 driven by lower accounts receivable, partially offset by lower accrued expenses and other long-term liabilities, accounts payable and deferred revenue. Our net loss was offset by adjustments for non-cash expenses such as amortization of intangible assets, and stock-based compensation.</w:t>
      </w:r>
    </w:p>
    <w:p>
      <w:pPr>
        <w:spacing w:after="0" w:line="18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operating activities used cash of $11.5 million in the nine months ended September 30, 2024, primarily as a result of lower deferred revenue, accounts payable, and our net loss adjusted for non-cash expenses. These amounts were partially offset by lower accounts receivable and other operating assets, and higher accrued expenses and other long-term liabilities. Our net loss was adjusted for non-cash expenses such as amortization of intangible assets, stock-based compensation, and the increase in the fair value of our Preferred Stock liability, partially offset by a $6.7 million one-time payment of accumulated dividends as a result of our redemption of our Preferred Stock liability on June 25, 2024, an $8.2 million adjustment for amortization of an accumulated other comprehensive gain related to our interest rate swap, and $14.6 million for deferred income tax expense.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investing activities used $23.4 million and $14.9 million of cash to purchase property and equipment in the nine months ended September 30, 2025 and 2024, respectively. The increase is primarily due to our build out of a new facility in Israel.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60" w:right="119" w:firstLine="324"/>
        <w:spacing w:after="0" w:line="289" w:lineRule="auto"/>
        <w:rPr>
          <w:sz w:val="20"/>
          <w:szCs w:val="20"/>
          <w:color w:val="auto"/>
        </w:rPr>
      </w:pPr>
      <w:r>
        <w:rPr>
          <w:rFonts w:ascii="Times New Roman" w:cs="Times New Roman" w:eastAsia="Times New Roman" w:hAnsi="Times New Roman"/>
          <w:sz w:val="17"/>
          <w:szCs w:val="17"/>
          <w:color w:val="auto"/>
        </w:rPr>
        <w:t>Our financing activities used $13.5 million of cash in the nine months ended September 30, 2025. We paid $3.9 million in principal payments on our 2024 Term Debt, $3.8 million of tax obligations related to the vesting of stock awards and units and $5.7 million for the repurchase and retirement of our common stock under the 2025 Repurchase Program.</w:t>
      </w:r>
    </w:p>
    <w:p>
      <w:pPr>
        <w:spacing w:after="0" w:line="158"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financing activities provided $40.2 million of cash in the nine months ended September 30, 2024. We received $342.3 million in proceeds, net of $7.7 million of original issue discount, from the issuance of term debt under the 2024 Credit Facility that was established on June 21, 2024 to refinance the 2020 Credit Facility. Also, we had $44.1 million of both borrowings and principal payments under the 2020 Revolving Credit Facility. In conjunction with the establishment of the 2024 Credit Facility, we repaid the 2020 Term Debt amounting to $235.4 million, redeemed all of the outstanding Preferred Stock totaling $56.9 million, and paid $6.0 million in debt issuance costs. Also, we paid $0.9 million in principal payments on our 2024 Term Debt. In addition, we paid $3.0 million of tax obligations related to the vesting of stock awards and units.</w:t>
      </w:r>
    </w:p>
    <w:p>
      <w:pPr>
        <w:spacing w:after="0" w:line="192"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The rate at which we consume cash is dependent upon the cash needs of our future operations, including our contractual obligations at September 30, 2025, primarily comprised of our debt principal and interest obligations as described above, and our operating lease and purchase obligations. Our operating lease obligations totaled $102.8 million at September 30, 2025, with payments to be made aggregating $4.6 million in the remainder of 2025, $17.8 million in 2026, $16.5 million in 2027 and $63.9 million thereafter. Estimated payments for purchase obligations for the full year 2025 total approximately $96.2 million. We anticipate devoting substantial capital resources to continue our R&amp;D efforts, to maintain our sales, support and marketing, and for other general corporate activities. We believe that our financial resources, along with managing discretionary expenses, will allow us to manage the ongoing impact of inflation on our business operations. Looking ahead, we have developed contingency plans to reduce costs further if the situation deteriorates.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Based on our current expectations, we believe that our current cash balances and available borrowings under the 2024 Credit Facility will be sufficient to meet our anticipated cash needs for working capital and capital expenditures for at least twelve months from the date of issuance of these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(the "FASB") issued ASU 2025-06, </w:t>
      </w:r>
      <w:r>
        <w:rPr>
          <w:rFonts w:ascii="Times New Roman" w:cs="Times New Roman" w:eastAsia="Times New Roman" w:hAnsi="Times New Roman"/>
          <w:sz w:val="18"/>
          <w:szCs w:val="18"/>
          <w:i w:val="1"/>
          <w:iCs w:val="1"/>
          <w:color w:val="auto"/>
        </w:rPr>
        <w:t xml:space="preserve">Intangibles-Goodwill and Other- Internal-Use Software (Subtopic 350-40): Targeted Improvements to the Accounting for Internal-Use Software </w:t>
      </w:r>
      <w:r>
        <w:rPr>
          <w:rFonts w:ascii="Times New Roman" w:cs="Times New Roman" w:eastAsia="Times New Roman" w:hAnsi="Times New Roman"/>
          <w:sz w:val="18"/>
          <w:szCs w:val="18"/>
          <w:color w:val="auto"/>
        </w:rPr>
        <w:t>(“ASU 2025-06”). To clarify how the accounting guidance applies to both linear and nonlinear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this standard removes all references to “developments stages” from ASC 350-40. ASU 2025-06 will be effective for us beginning with our 2028 interim and annual financial statements, with early adoption permitted as of the beginning of an annual reporting period. We are currently evaluating the impact of this accounting standard on our consolidated financial statements and related disclosures.</w:t>
      </w:r>
    </w:p>
    <w:p>
      <w:pPr>
        <w:spacing w:after="0" w:line="183"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for Accounts Receivable and Contract Assets </w:t>
      </w:r>
      <w:r>
        <w:rPr>
          <w:rFonts w:ascii="Times New Roman" w:cs="Times New Roman" w:eastAsia="Times New Roman" w:hAnsi="Times New Roman"/>
          <w:sz w:val="18"/>
          <w:szCs w:val="18"/>
          <w:color w:val="auto"/>
        </w:rPr>
        <w:t>(“ASU 2025-05”), which provides a practical expedient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estimation of expected credit losses for current accounts receivable and current contract assets that arise from transactions accounted for under ASC 606. In developing reasonable and supportable forecasts as part of estimating expected credit losses, all entities may elect a practical expedient that assumes that current conditions as of the balance sheet date do not change for the remaining life of the asset. ASU 2025-06 will be effective for us beginning with our 2026 interim and annual financial statements, with early adoption permitted. We believe this ASU will have no material impact on our consolidated financial statements.</w:t>
      </w:r>
    </w:p>
    <w:p>
      <w:pPr>
        <w:spacing w:after="0" w:line="18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(“ASU 2024-03”), which requires disaggregation of certain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into specified categories in disclosures within the footnotes to the financial statements. The objective of this standard is to provide investors with information to better understand a public entity’s performance and prospects for future cash flows, and to compare its performance over time with that of other entities. ASU 2024-03 will be effective for us beginning with our 2027 annual financial statements and interim financial statements thereafter, with early adoption permitted. The adoption of ASU 2024-03 will require us to provide new footnote disclosure about the types of expenses that are included in certain captions on our Statements of Operations, such as Cost of revenue, Research and development, Sales and marketing, and General and administrative.</w:t>
      </w:r>
    </w:p>
    <w:p>
      <w:pPr>
        <w:spacing w:after="0" w:line="188"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Disclosures </w:t>
      </w:r>
      <w:r>
        <w:rPr>
          <w:rFonts w:ascii="Times New Roman" w:cs="Times New Roman" w:eastAsia="Times New Roman" w:hAnsi="Times New Roman"/>
          <w:sz w:val="17"/>
          <w:szCs w:val="17"/>
          <w:color w:val="auto"/>
        </w:rPr>
        <w:t>(“ASU 2023-09”), which increases the disclosure requirements around rate reconciliation information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types of income taxes companies are required to pay. ASU 2023-09 will be effective for us beginning with our 2025 annual financial statements. We expect the adoption of the standard will require certain additional income tax disclosure.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and foreign currency exchange rates. There have been no material changes in market risk from the information provided in Item 7A. Quantitative and Qualitative Disclosures About Market Risk of our Annual Report on Form 10-K, for the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principal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principal financial officer, evaluated the effectiveness of our disclosure controls and procedures (as defined in Rules 13a-15(e) and 15d-15(e) under the Securities Exchange Act of 1934, as amended (the "Exchange Act")) as of the end of the period covered by this Quarterly Report on Form 10-Q. Based on this evaluation, our principal</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executive officer and principal financial officer concluded that our disclosure controls and procedures were effective as of September 30, 2025.</w:t>
      </w:r>
    </w:p>
    <w:p>
      <w:pPr>
        <w:spacing w:after="0" w:line="160"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been no changes in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Rules 13a-15(f) and 15d-15(f) under the Exchange Act) during the fiscal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have not been fully resolved and that have arisen in the ordinary course of business. Our material legal proceedings are described in Part I, Item 1 of this Form 10-Q in the Notes to the Condensed Consolidated Financial Statements in Note 20, "Commitments and Contingencies," under the heading "Contingencies."</w:t>
      </w:r>
    </w:p>
    <w:p>
      <w:pPr>
        <w:spacing w:after="0" w:line="18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outcome of litigation is inherently uncertain. If one or more legal matters were resolved against the Company in a reporting period for amounts above management’s expectations, our financial condition and operating results for that reporting period could be materially adversely affected. We settled certain matters during the nine months ended September 30, 2025 that did not individually or in the aggregate have a material impact on our financial condition or operating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39" w:firstLine="324"/>
        <w:spacing w:after="0" w:line="261" w:lineRule="auto"/>
        <w:rPr>
          <w:sz w:val="20"/>
          <w:szCs w:val="20"/>
          <w:color w:val="auto"/>
        </w:rPr>
      </w:pPr>
      <w:r>
        <w:rPr>
          <w:rFonts w:ascii="Times New Roman" w:cs="Times New Roman" w:eastAsia="Times New Roman" w:hAnsi="Times New Roman"/>
          <w:sz w:val="18"/>
          <w:szCs w:val="18"/>
          <w:color w:val="auto"/>
        </w:rPr>
        <w:t>Our business faces significant risks and uncertainties, which may have a material adverse effect on our business prospects, financial condition and results of operations, and you should carefully consider them. There have been no material changes in the nine months ended September 30, 2025 to the risk factors described in Part I, Item 1A. of our Annual Report on Form 10-K for the year ended December 31,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  Issuer Purchases of Equity Securities</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0" w:type="dxa"/>
            <w:vAlign w:val="bottom"/>
          </w:tcPr>
          <w:p>
            <w:pPr>
              <w:spacing w:after="0"/>
              <w:rPr>
                <w:sz w:val="1"/>
                <w:szCs w:val="1"/>
                <w:color w:val="auto"/>
              </w:rPr>
            </w:pPr>
          </w:p>
        </w:tc>
      </w:tr>
      <w:tr>
        <w:trPr>
          <w:trHeight w:val="148"/>
        </w:trPr>
        <w:tc>
          <w:tcPr>
            <w:tcW w:w="4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the Plans</w:t>
            </w:r>
          </w:p>
        </w:tc>
        <w:tc>
          <w:tcPr>
            <w:tcW w:w="0" w:type="dxa"/>
            <w:vAlign w:val="bottom"/>
          </w:tcPr>
          <w:p>
            <w:pPr>
              <w:spacing w:after="0"/>
              <w:rPr>
                <w:sz w:val="1"/>
                <w:szCs w:val="1"/>
                <w:color w:val="auto"/>
              </w:rPr>
            </w:pPr>
          </w:p>
        </w:tc>
      </w:tr>
      <w:tr>
        <w:trPr>
          <w:trHeight w:val="173"/>
        </w:trPr>
        <w:tc>
          <w:tcPr>
            <w:tcW w:w="4180" w:type="dxa"/>
            <w:vAlign w:val="bottom"/>
            <w:gridSpan w:val="3"/>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or Programs (3)</w:t>
            </w: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to July 31, 2025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512,468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45,769,156</w:t>
            </w:r>
          </w:p>
        </w:tc>
        <w:tc>
          <w:tcPr>
            <w:tcW w:w="0" w:type="dxa"/>
            <w:vAlign w:val="bottom"/>
          </w:tcPr>
          <w:p>
            <w:pPr>
              <w:spacing w:after="0"/>
              <w:rPr>
                <w:sz w:val="1"/>
                <w:szCs w:val="1"/>
                <w:color w:val="auto"/>
              </w:rPr>
            </w:pPr>
          </w:p>
        </w:tc>
      </w:tr>
      <w:tr>
        <w:trPr>
          <w:trHeight w:val="21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2025 to August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398,624</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44,269,368</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to September 30,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44,269,368</w:t>
            </w:r>
          </w:p>
        </w:tc>
        <w:tc>
          <w:tcPr>
            <w:tcW w:w="0" w:type="dxa"/>
            <w:vAlign w:val="bottom"/>
          </w:tcPr>
          <w:p>
            <w:pPr>
              <w:spacing w:after="0"/>
              <w:rPr>
                <w:sz w:val="1"/>
                <w:szCs w:val="1"/>
                <w:color w:val="auto"/>
              </w:rPr>
            </w:pPr>
          </w:p>
        </w:tc>
      </w:tr>
      <w:tr>
        <w:trPr>
          <w:trHeight w:val="209"/>
        </w:trPr>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911,092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44,269,368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179" w:hanging="330"/>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vesting of restricted stock awards and performance-based stock units, certain of our employees surrender a portion of the newly vested shares of common stock to satisfy the tax withholding obligations that arise in connection with their vesting. During the third quarter of 2025, 112,569 awards and units were surrendered, consisting of 95,847 shares of restricted stock and 16,722 of performance-based stock units.</w:t>
      </w:r>
    </w:p>
    <w:p>
      <w:pPr>
        <w:spacing w:after="0" w:line="71" w:lineRule="exact"/>
        <w:rPr>
          <w:rFonts w:ascii="Times New Roman" w:cs="Times New Roman" w:eastAsia="Times New Roman" w:hAnsi="Times New Roman"/>
          <w:sz w:val="18"/>
          <w:szCs w:val="18"/>
          <w:color w:val="auto"/>
        </w:rPr>
      </w:pPr>
    </w:p>
    <w:p>
      <w:pPr>
        <w:ind w:left="380" w:right="159" w:hanging="330"/>
        <w:spacing w:after="0" w:line="254"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announced a stock repurchase program for the period beginning June 5, 2025 through December 31, 2027, under which our Board of Directors authorized the repurchase of up to $50 million of our common stock at management’s discretion in the open market, in privately negotiated transactions structured through investment banking institutions, or a combination of the foregoing, (the "2025 Repurchase Program" or the “Repurchase Program”). We used $3.5 million to repurchase 911,092 shares of our common stock under the Repurchase Program during the third quarter of 2025. At September 30, 2025, we had $44.3 million remaining under the Repurchase Program for future repurchases. The amount and timing of repurchases are subject to a variety of factors including liquidity, cash flow, stock price, compliance with our credit facility and general business and market conditions. We may also from time to time, enter into Rule 10b5-1 plans to facilitate repurchases of our shares under this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399"/>
        <w:spacing w:after="0" w:line="282" w:lineRule="auto"/>
        <w:rPr>
          <w:sz w:val="20"/>
          <w:szCs w:val="20"/>
          <w:color w:val="auto"/>
        </w:rPr>
      </w:pPr>
      <w:r>
        <w:rPr>
          <w:rFonts w:ascii="Times New Roman" w:cs="Times New Roman" w:eastAsia="Times New Roman" w:hAnsi="Times New Roman"/>
          <w:sz w:val="18"/>
          <w:szCs w:val="18"/>
          <w:color w:val="auto"/>
        </w:rPr>
        <w:t>authorization. The Repurchase Program may be modified, increased, suspended, or discontinued at any time. The Repurchase Program is being funded using cash on hand and cash from operations.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 Represents amounts available for repurchases under the Repurchase Program.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Cybersecurity Incident Disclosure</w:t>
      </w:r>
    </w:p>
    <w:p>
      <w:pPr>
        <w:spacing w:after="0" w:line="22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 early September 2025, the Company became aware that unauthorized persons, reportedly associated with a nation-state actor, had gained access to the Company’s IT network. The Company promptly initiated its incident response plan and began an investigation, containment and remediation effort using multiple third-party cybersecurity experts, including federal law enforcement. While the investigation is ongoing, the Company believes that it has been successful in terminating the unauthorized access by the threat actor.</w:t>
      </w:r>
    </w:p>
    <w:p>
      <w:pPr>
        <w:spacing w:after="0" w:line="183"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The Company has preliminarily determined that initial access by the threat actor may have occurred as early as December 2024, with final determinations dependent on completion of the ongoing investigation. As of the date of this quarterly report on Form 10-Q, we are not aware of evidence indicating that the threat actor accessed or exfiltrated any material information. Several customer files saved outside of the main network on two laptops do appear to have been accessed by the threat actor and those customers have been notified by the Company.</w:t>
      </w:r>
    </w:p>
    <w:p>
      <w:pPr>
        <w:spacing w:after="0" w:line="183"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As of the date of this quarterly report on Form 10-Q, the Company does not believe that the incident has had a material impact, including on its financial condition or results of operations. As noted above, the Company’s investigation into this incident is ongoing and the Company continues to take additional steps to further strengthen its network security. The Company expects to incur additional costs in the fourth quarter of 2025 associated with its continued investigation into this incident, and in network strengthening efforts, however, the Company does not currently expect such costs to be material.</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months ended September 30, 2025, none of the Company’s directors or officers (as defined in</w:t>
      </w:r>
    </w:p>
    <w:p>
      <w:pPr>
        <w:spacing w:after="0" w:line="27" w:lineRule="exact"/>
        <w:rPr>
          <w:sz w:val="20"/>
          <w:szCs w:val="20"/>
          <w:color w:val="auto"/>
        </w:rPr>
      </w:pPr>
    </w:p>
    <w:p>
      <w:pPr>
        <w:jc w:val="both"/>
        <w:ind w:left="60" w:right="139"/>
        <w:spacing w:after="0" w:line="255" w:lineRule="auto"/>
        <w:rPr>
          <w:sz w:val="20"/>
          <w:szCs w:val="20"/>
          <w:color w:val="auto"/>
        </w:rPr>
      </w:pPr>
      <w:r>
        <w:rPr>
          <w:rFonts w:ascii="Times New Roman" w:cs="Times New Roman" w:eastAsia="Times New Roman" w:hAnsi="Times New Roman"/>
          <w:sz w:val="18"/>
          <w:szCs w:val="18"/>
          <w:color w:val="auto"/>
        </w:rPr>
        <w:t>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5"/>
        </w:trPr>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gridSpan w:val="15"/>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00" w:type="dxa"/>
            <w:vAlign w:val="bottom"/>
            <w:tcBorders>
              <w:top w:val="single" w:sz="8" w:color="auto"/>
            </w:tcBorders>
          </w:tcPr>
          <w:p>
            <w:pPr>
              <w:jc w:val="center"/>
              <w:ind w:left="510"/>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240" w:type="dxa"/>
            <w:vAlign w:val="bottom"/>
          </w:tcPr>
          <w:p>
            <w:pPr>
              <w:spacing w:after="0"/>
              <w:rPr>
                <w:sz w:val="14"/>
                <w:szCs w:val="14"/>
                <w:color w:val="auto"/>
              </w:rPr>
            </w:pPr>
          </w:p>
        </w:tc>
        <w:tc>
          <w:tcPr>
            <w:tcW w:w="7360" w:type="dxa"/>
            <w:vAlign w:val="bottom"/>
            <w:tcBorders>
              <w:top w:val="single" w:sz="8" w:color="auto"/>
              <w:bottom w:val="single" w:sz="8" w:color="0000EE"/>
            </w:tcBorders>
            <w:gridSpan w:val="19"/>
          </w:tcPr>
          <w:p>
            <w:pPr>
              <w:spacing w:after="0" w:line="169"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Agreement and Plan of Merger, dated as of November 14, 2019, by and among the Registrant, Ribbon</w:t>
              </w:r>
            </w:hyperlink>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Communications Israel Ltd., Eclipse Communications Ltd., ECI Telecom Group Ltd. and ECI</w:t>
              </w:r>
            </w:hyperlink>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Holding (Hungary) Korlátolt Felelősségű Társág (incorporated by reference to Exhibit 2.1 to the</w:t>
              </w:r>
            </w:hyperlink>
          </w:p>
        </w:tc>
        <w:tc>
          <w:tcPr>
            <w:tcW w:w="420" w:type="dxa"/>
            <w:vAlign w:val="bottom"/>
            <w:gridSpan w:val="9"/>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Registrant’s Current Report on Form 8-K, filed November 14, 2019 with the SEC).</w:t>
              </w:r>
            </w:hyperlink>
          </w:p>
        </w:tc>
        <w:tc>
          <w:tcPr>
            <w:tcW w:w="1380" w:type="dxa"/>
            <w:vAlign w:val="bottom"/>
            <w:gridSpan w:val="13"/>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and Restated Purchase Agreement, dated December 1, 2020, among Ribbon</w:t>
              </w:r>
            </w:hyperlink>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Communications Inc., Ribbon Communications Operating Company, Inc., Ribbon Communications</w:t>
              </w:r>
            </w:hyperlink>
          </w:p>
        </w:tc>
        <w:tc>
          <w:tcPr>
            <w:tcW w:w="160" w:type="dxa"/>
            <w:vAlign w:val="bottom"/>
            <w:gridSpan w:val="5"/>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International Limited and American Virtual Cloud Technologies, Inc. (incorporated by reference to</w:t>
              </w:r>
            </w:hyperlink>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Exhibit 2.1 to the Registrant’s Current Report on Form 8-K, filed December 7, 2020 with the SEC).</w:t>
              </w:r>
            </w:hyperlink>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17"/>
                <w:szCs w:val="17"/>
                <w:color w:val="auto"/>
              </w:rPr>
            </w:pPr>
          </w:p>
        </w:tc>
        <w:tc>
          <w:tcPr>
            <w:tcW w:w="73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Restated Certificate of Incorporation of the Registrant (incorporated by reference to Exhibit 3.2 to the</w:t>
              </w:r>
            </w:hyperlink>
          </w:p>
        </w:tc>
        <w:tc>
          <w:tcPr>
            <w:tcW w:w="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Registrant’s Current Report on Form 8-K12B, filed October 30, 2017 with the SEC).</w:t>
              </w:r>
            </w:hyperlink>
          </w:p>
        </w:tc>
        <w:tc>
          <w:tcPr>
            <w:tcW w:w="1260" w:type="dxa"/>
            <w:vAlign w:val="bottom"/>
            <w:gridSpan w:val="12"/>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7"/>
                <w:szCs w:val="17"/>
                <w:color w:val="auto"/>
              </w:rPr>
            </w:pPr>
          </w:p>
        </w:tc>
        <w:tc>
          <w:tcPr>
            <w:tcW w:w="7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Certificate of Amendment of the Restated Certificate of Incorporation of the Registrant (incorporated</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by reference to Exhibit 3.1 to the Registrant’s Current Report on Form 8-K, filed November 28, 2017</w:t>
              </w:r>
            </w:hyperlink>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with the SEC).</w:t>
              </w:r>
            </w:hyperlink>
          </w:p>
        </w:tc>
        <w:tc>
          <w:tcPr>
            <w:tcW w:w="80" w:type="dxa"/>
            <w:vAlign w:val="bottom"/>
            <w:gridSpan w:val="3"/>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Designation of Series A Preferred Stock (incorporated by reference to Exhibit 3.1 to the</w:t>
              </w:r>
            </w:hyperlink>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Registrant’s Current Report on Form 8-K, filed March 30, 2023 with the SEC).</w:t>
              </w:r>
            </w:hyperlink>
          </w:p>
        </w:tc>
        <w:tc>
          <w:tcPr>
            <w:tcW w:w="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7"/>
                <w:szCs w:val="17"/>
                <w:color w:val="auto"/>
              </w:rPr>
            </w:pPr>
          </w:p>
        </w:tc>
        <w:tc>
          <w:tcPr>
            <w:tcW w:w="7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Certificate of Amendment of the Restated Certificate of Incorporation of the Registrant (incorporated</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by reference to Exhibit 3.1 to the Registrant’s Current Report on Form 8-K, filed August 4, 2023 with</w:t>
              </w:r>
            </w:hyperlink>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8">
              <w:r>
                <w:rPr>
                  <w:rFonts w:ascii="Times New Roman" w:cs="Times New Roman" w:eastAsia="Times New Roman" w:hAnsi="Times New Roman"/>
                  <w:sz w:val="18"/>
                  <w:szCs w:val="18"/>
                  <w:color w:val="0000EE"/>
                  <w:w w:val="97"/>
                </w:rPr>
                <w:t>the SEC).</w:t>
              </w:r>
            </w:hyperlink>
          </w:p>
        </w:tc>
        <w:tc>
          <w:tcPr>
            <w:tcW w:w="6620" w:type="dxa"/>
            <w:vAlign w:val="bottom"/>
            <w:tcBorders>
              <w:top w:val="single" w:sz="8" w:color="0000EE"/>
            </w:tcBorders>
            <w:gridSpan w:val="17"/>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240" w:type="dxa"/>
            <w:vAlign w:val="bottom"/>
          </w:tcPr>
          <w:p>
            <w:pPr>
              <w:spacing w:after="0"/>
              <w:rPr>
                <w:sz w:val="17"/>
                <w:szCs w:val="17"/>
                <w:color w:val="auto"/>
              </w:rPr>
            </w:pPr>
          </w:p>
        </w:tc>
        <w:tc>
          <w:tcPr>
            <w:tcW w:w="7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Certificate of Amendment of the Restated Certificate of Incorporation of the Registrant (incorporated</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by reference to Exhibit 3.1 to the Registrant’s Current Report on Form 8-K, filed May 30, 2025 with</w:t>
              </w:r>
            </w:hyperlink>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the SEC).</w:t>
              </w:r>
            </w:hyperlink>
          </w:p>
        </w:tc>
        <w:tc>
          <w:tcPr>
            <w:tcW w:w="6520" w:type="dxa"/>
            <w:vAlign w:val="bottom"/>
            <w:tcBorders>
              <w:top w:val="single" w:sz="8" w:color="0000EE"/>
            </w:tcBorders>
            <w:gridSpan w:val="14"/>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Amended and Restated By-Laws of the Registrant (incorporated by reference to Exhibit 3.3 to the</w:t>
              </w:r>
            </w:hyperlink>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Registrant’s Annual Report on Form 10-K, filed March 8, 2018 with the SEC).</w:t>
              </w:r>
            </w:hyperlink>
          </w:p>
        </w:tc>
        <w:tc>
          <w:tcPr>
            <w:tcW w:w="320" w:type="dxa"/>
            <w:vAlign w:val="bottom"/>
            <w:gridSpan w:val="8"/>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7"/>
                <w:szCs w:val="17"/>
                <w:color w:val="auto"/>
              </w:rPr>
            </w:pPr>
          </w:p>
        </w:tc>
        <w:tc>
          <w:tcPr>
            <w:tcW w:w="73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Ribbon Communications Inc. 2025 Incentive Award Plan (incorporated by reference to Appendix C to</w:t>
              </w:r>
            </w:hyperlink>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the Registrant’s Definitive Proxy Statement on Schedule 14A, filed April 14, 2025 with the SEC).</w:t>
              </w:r>
            </w:hyperlink>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Form of Warrant (incorporated by reference to Exhibit 4.1 to the Registrant’s Current Report on Form</w:t>
              </w:r>
            </w:hyperlink>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8-K, filed March 30, 2023 with the SEC).</w:t>
              </w:r>
            </w:hyperlink>
          </w:p>
        </w:tc>
        <w:tc>
          <w:tcPr>
            <w:tcW w:w="4320" w:type="dxa"/>
            <w:vAlign w:val="bottom"/>
            <w:tcBorders>
              <w:top w:val="single" w:sz="8" w:color="0000EE"/>
            </w:tcBorders>
            <w:gridSpan w:val="1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7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Certificate of Ribbon Communications Inc. Chief Executive Officer Pursuant to Section 302 of the</w:t>
            </w: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020" w:type="dxa"/>
            <w:vAlign w:val="bottom"/>
            <w:tcBorders>
              <w:top w:val="single" w:sz="8" w:color="0000EE"/>
            </w:tcBorders>
            <w:gridSpan w:val="10"/>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7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Certificate of Ribbon Communications Inc. Chief Financial Officer Pursuant to Section 302 of the</w:t>
            </w:r>
          </w:p>
        </w:tc>
        <w:tc>
          <w:tcPr>
            <w:tcW w:w="300" w:type="dxa"/>
            <w:vAlign w:val="bottom"/>
            <w:gridSpan w:val="7"/>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260" w:type="dxa"/>
            <w:vAlign w:val="bottom"/>
            <w:gridSpan w:val="16"/>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7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Certificate of Ribbon Communications Inc. Chief Executive Officer Pursuant to Section 906 of the</w:t>
            </w: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020" w:type="dxa"/>
            <w:vAlign w:val="bottom"/>
            <w:tcBorders>
              <w:top w:val="single" w:sz="8" w:color="0000EE"/>
            </w:tcBorders>
            <w:gridSpan w:val="10"/>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7"/>
                <w:szCs w:val="17"/>
                <w:color w:val="auto"/>
              </w:rPr>
            </w:pPr>
          </w:p>
        </w:tc>
        <w:tc>
          <w:tcPr>
            <w:tcW w:w="7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Certificate of Ribbon Communications Inc. Chief Financial Officer Pursuant to Section 906 of the</w:t>
            </w:r>
          </w:p>
        </w:tc>
        <w:tc>
          <w:tcPr>
            <w:tcW w:w="300" w:type="dxa"/>
            <w:vAlign w:val="bottom"/>
            <w:gridSpan w:val="7"/>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260" w:type="dxa"/>
            <w:vAlign w:val="bottom"/>
            <w:gridSpan w:val="16"/>
          </w:tcPr>
          <w:p>
            <w:pPr>
              <w:spacing w:after="0"/>
              <w:rPr>
                <w:sz w:val="17"/>
                <w:szCs w:val="17"/>
                <w:color w:val="auto"/>
              </w:rPr>
            </w:pPr>
          </w:p>
        </w:tc>
      </w:tr>
      <w:tr>
        <w:trPr>
          <w:trHeight w:val="218"/>
        </w:trPr>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101.INS*</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101.SCH*</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101.CAL*</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101.DEF*</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101.LAB*</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101.PRE*</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By:/s/ John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6657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John Townsend</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McClelland, certify that:</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Ribbon Communications Inc.;</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Bruce McClelland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Townsend, certify that:</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Ribbon Communications Inc.;</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John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John Townsend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Ribbon Communications Inc. (the "Company") for the period ended September 30, 2025 as filed with the Securities and Exchange Commission on the date hereof (the "Report"), the undersigned, Bruce McClelland,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Bruce McClelland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44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Ribbon Communications Inc. (the "Company") for the period ended September 30, 2025 as filed with the Securities and Exchange Commission on the date hereof (the "Report"), the undersigned, John Townsend, Executive Vice President and Chief Financial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John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John Townsend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3"/>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20"/>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73" Type="http://schemas.openxmlformats.org/officeDocument/2006/relationships/hyperlink" Target="https://www.sec.gov/Archives/edgar/data/1708055/000110465919064368/a19-22879_1ex2d1.htm" TargetMode="External"/><Relationship Id="rId74" Type="http://schemas.openxmlformats.org/officeDocument/2006/relationships/hyperlink" Target="https://www.sec.gov/Archives/edgar/data/1708055/000110465920132853/tm2037745d1_ex2-1.htm" TargetMode="External"/><Relationship Id="rId75" Type="http://schemas.openxmlformats.org/officeDocument/2006/relationships/hyperlink" Target="https://www.sec.gov/Archives/edgar/data/1708055/000110465917064455/a17-24632_1ex3d2.htm" TargetMode="External"/><Relationship Id="rId76" Type="http://schemas.openxmlformats.org/officeDocument/2006/relationships/hyperlink" Target="https://www.sec.gov/Archives/edgar/data/1708055/000110465917070729/a17-27586_1ex3d1.htm" TargetMode="External"/><Relationship Id="rId77" Type="http://schemas.openxmlformats.org/officeDocument/2006/relationships/hyperlink" Target="https://www.sec.gov/Archives/edgar/data/1708055/000110465923039214/tm2310899d1_ex3-1.htm" TargetMode="External"/><Relationship Id="rId78" Type="http://schemas.openxmlformats.org/officeDocument/2006/relationships/hyperlink" Target="https://www.sec.gov/Archives/edgar/data/1708055/000110465923087871/tm2322779d1_ex3-1.htm" TargetMode="External"/><Relationship Id="rId79" Type="http://schemas.openxmlformats.org/officeDocument/2006/relationships/hyperlink" Target="https://www.sec.gov/Archives/edgar/data/1708055/000110465925054927/tm2516554d1_ex3-1.htm" TargetMode="External"/><Relationship Id="rId80" Type="http://schemas.openxmlformats.org/officeDocument/2006/relationships/hyperlink" Target="https://www.sec.gov/Archives/edgar/data/1708055/000162828018002933/rbbn-ex3320171231.htm" TargetMode="External"/><Relationship Id="rId81" Type="http://schemas.openxmlformats.org/officeDocument/2006/relationships/hyperlink" Target="https://www.sec.gov/Archives/edgar/data/1708055/000110465925034540/tm252569-3_def14a.htm#tAPC" TargetMode="External"/><Relationship Id="rId82" Type="http://schemas.openxmlformats.org/officeDocument/2006/relationships/hyperlink" Target="https://www.sec.gov/Archives/edgar/data/1708055/000110465923039214/tm2310899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2025-10-23T10:10:42Z</dcterms:created>
  <dcterms:modified xsi:type="dcterms:W3CDTF">2025-10-23T10:10:42Z</dcterms:modified>
</cp:coreProperties>
</file>