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Tamone Tanya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RIBBON COMMUNICATIONS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6500 CHASE OAKS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Ribbon Communications Inc.</w:t>
              </w:r>
            </w:hyperlink>
            <w:r>
              <w:rPr/>
              <w:t xml:space="preserve"> [ </w:t>
            </w:r>
            <w:r>
              <w:rPr>
                <w:rFonts w:ascii="Times;serif" w:hAnsi="Times;serif"/>
                <w:color w:val="0000FF"/>
                <w:sz w:val="24"/>
                <w:shd w:fill="FFFFFF" w:val="clear"/>
              </w:rPr>
              <w:t>RBBN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223,300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63,197</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on June 15, 2027, subject to the Reporting Person's continued service with the Issuer through such date; provided, however, that if the Issuer's 2027 Annual Meeting of Stockholders (the "2027 Annual Meeting") occurs prior to June 15, 2027, and, at such 2027 Annual Meeting, the Reporting Person either chooses not to stand for re-election to the Issuer's Board of Directors or, after standing for re-election, is not re-elected, then these RSUs will vest as of the date of the 2027 Annual Meeting.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were awarded on June 16, 2025 and vested in full on June 16,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Patrick Macken, By POA from Tanya Tamone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5375" TargetMode="External"/><Relationship Id="rId5" Type="http://schemas.openxmlformats.org/officeDocument/2006/relationships/hyperlink" Target="http://www.sec.gov/cgi-bin/browse-edgar?action=getcompany&amp;CIK=00017080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3754</Characters>
  <CharactersWithSpaces>4384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