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100"/>
        <w:spacing w:after="0"/>
        <w:tabs>
          <w:tab w:leader="none" w:pos="24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4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0" w:lineRule="exact"/>
        <w:rPr>
          <w:sz w:val="24"/>
          <w:szCs w:val="24"/>
          <w:color w:val="auto"/>
        </w:rPr>
      </w:pPr>
    </w:p>
    <w:p>
      <w:pPr>
        <w:sectPr>
          <w:pgSz w:w="11900" w:h="16838" w:orient="portrait"/>
          <w:cols w:equalWidth="0" w:num="4">
            <w:col w:w="1840" w:space="340"/>
            <w:col w:w="2680" w:space="720"/>
            <w:col w:w="2960" w:space="720"/>
            <w:col w:w="2100"/>
          </w:cols>
          <w:pgMar w:left="240" w:top="685" w:right="299" w:bottom="1440" w:gutter="0" w:footer="0" w:header="0"/>
          <w:type w:val="continuous"/>
        </w:sectPr>
      </w:pPr>
    </w:p>
    <w:p>
      <w:pPr>
        <w:jc w:val="center"/>
        <w:ind w:left="1360"/>
        <w:spacing w:after="0"/>
        <w:rPr>
          <w:sz w:val="20"/>
          <w:szCs w:val="20"/>
          <w:color w:val="auto"/>
        </w:rPr>
      </w:pPr>
      <w:r>
        <w:rPr>
          <w:rFonts w:ascii="Arial" w:cs="Arial" w:eastAsia="Arial" w:hAnsi="Arial"/>
          <w:sz w:val="14"/>
          <w:szCs w:val="14"/>
          <w:color w:val="auto"/>
        </w:rPr>
        <w:t>(Do not check if a</w:t>
      </w:r>
    </w:p>
    <w:p>
      <w:pPr>
        <w:jc w:val="center"/>
        <w:ind w:left="13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21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740" w:space="180"/>
            <w:col w:w="2440"/>
          </w:cols>
          <w:pgMar w:left="240" w:top="685" w:right="299" w:bottom="1440" w:gutter="0" w:footer="0" w:header="0"/>
          <w:type w:val="continuous"/>
        </w:sectPr>
      </w:pPr>
    </w:p>
    <w:p>
      <w:pPr>
        <w:spacing w:after="0" w:line="6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July 20, 2011, there were 278,511,802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2011</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6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840" w:type="dxa"/>
            <w:vAlign w:val="bottom"/>
            <w:gridSpan w:val="7"/>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2960" w:type="dxa"/>
            <w:vAlign w:val="bottom"/>
            <w:tcBorders>
              <w:bottom w:val="single" w:sz="8" w:color="0000EE"/>
            </w:tcBorders>
            <w:gridSpan w:val="16"/>
            <w:vMerge w:val="continue"/>
          </w:tcPr>
          <w:p>
            <w:pPr>
              <w:spacing w:after="0"/>
              <w:rPr>
                <w:sz w:val="14"/>
                <w:szCs w:val="14"/>
                <w:color w:val="auto"/>
              </w:rPr>
            </w:pPr>
          </w:p>
        </w:tc>
        <w:tc>
          <w:tcPr>
            <w:tcW w:w="5840" w:type="dxa"/>
            <w:vAlign w:val="bottom"/>
            <w:gridSpan w:val="7"/>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Balance Sheets as of June 30, 2011 and December 31, 2010 (unaudited)</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and Six Months Ended June 30, 2011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2010 (unaudited)</w:t>
              </w:r>
            </w:hyperlink>
          </w:p>
        </w:tc>
        <w:tc>
          <w:tcPr>
            <w:tcW w:w="6100" w:type="dxa"/>
            <w:vAlign w:val="bottom"/>
            <w:tcBorders>
              <w:top w:val="single" w:sz="8" w:color="0000EE"/>
            </w:tcBorders>
            <w:gridSpan w:val="10"/>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Cash Flows for the Six Months Ended June 30, 2011 and 2010</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gridSpan w:val="4"/>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(unaudited)</w:t>
              </w:r>
            </w:hyperlink>
          </w:p>
        </w:tc>
        <w:tc>
          <w:tcPr>
            <w:tcW w:w="6200" w:type="dxa"/>
            <w:vAlign w:val="bottom"/>
            <w:tcBorders>
              <w:top w:val="single" w:sz="8" w:color="0000EE"/>
            </w:tcBorders>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60" w:type="dxa"/>
            <w:vAlign w:val="bottom"/>
            <w:gridSpan w:val="1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16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68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3"/>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360" w:type="dxa"/>
            <w:vAlign w:val="bottom"/>
            <w:tcBorders>
              <w:top w:val="single" w:sz="8" w:color="0000EE"/>
            </w:tcBorders>
            <w:gridSpan w:val="2"/>
          </w:tcPr>
          <w:p>
            <w:pPr>
              <w:spacing w:after="0"/>
              <w:rPr>
                <w:sz w:val="17"/>
                <w:szCs w:val="17"/>
                <w:color w:val="auto"/>
              </w:rPr>
            </w:pPr>
          </w:p>
        </w:tc>
        <w:tc>
          <w:tcPr>
            <w:tcW w:w="17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14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1A.</w:t>
              </w:r>
            </w:hyperlink>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9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9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1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244,988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Accounts receivable, net of allowance for doubtful accounts of $0 at June 30, 2011 and $313 at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 2010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22,923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502,961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555,954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21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0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Preferred stock, $0.01 par value; 5,000,000 shares authorized, none issued and outstanding</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w w:val="91"/>
              </w:rPr>
              <w:t>Common stock, $0.001 par value; 600,000,000 shares authorized; 278,481,486 shares issued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w w:val="99"/>
              </w:rPr>
              <w:t>and outstanding at June 30, 2011 and 277,170,262 shares issued and outstanding at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December 31, 2010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1,306,136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1,301,285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(907,843)</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3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405,677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29,446</w:t>
            </w:r>
          </w:p>
        </w:tc>
        <w:tc>
          <w:tcPr>
            <w:tcW w:w="100" w:type="dxa"/>
            <w:vAlign w:val="bottom"/>
          </w:tcPr>
          <w:p>
            <w:pPr>
              <w:spacing w:after="0"/>
              <w:rPr>
                <w:sz w:val="18"/>
                <w:szCs w:val="18"/>
                <w:color w:val="auto"/>
              </w:rPr>
            </w:pPr>
          </w:p>
        </w:tc>
        <w:tc>
          <w:tcPr>
            <w:tcW w:w="2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36,796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65,399</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119,071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123,589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3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(6,746)</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(18,222)</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(17,455)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(18,342)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5300" w:type="dxa"/>
            <w:vAlign w:val="bottom"/>
            <w:gridSpan w:val="2"/>
          </w:tcPr>
          <w:p>
            <w:pPr>
              <w:spacing w:after="0"/>
              <w:rPr>
                <w:sz w:val="20"/>
                <w:szCs w:val="20"/>
                <w:color w:val="auto"/>
              </w:rPr>
            </w:pPr>
            <w:r>
              <w:rPr>
                <w:rFonts w:ascii="Arial" w:cs="Arial" w:eastAsia="Arial" w:hAnsi="Arial"/>
                <w:sz w:val="18"/>
                <w:szCs w:val="18"/>
                <w:color w:val="auto"/>
              </w:rPr>
              <w:t>Shares used to compute earnings (loss) per share: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278,400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275,051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278,080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274,877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278,400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276,314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278,080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276,038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(loss) to cash flows provided by operating activities: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assets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(25,336)</w:t>
            </w: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Purchase of intangible assets</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(101,584)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(168,953)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Sale/maturities of marketable securities</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130,194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139,620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(35,609)</w:t>
            </w: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 of common stock in connection with employee stock purchase plan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Payment of tax withholding obligations related to net share settlements of restricted stock awards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Principal payments of capital lease obligations</w:t>
            </w: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6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125,323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103,788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refunds received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 incurred, but not yet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and data infrastructure solutions, including softswitch and session border control products for service providers and enterprises. The Company's infrastructure solutions allow efficient and reliable delivery of voice and multimedia sessions over Internet Protocol ("IP") networks. Sonus' products include carrier-class infrastructure equipment and software that enables voice services to be delivered over IP packet-based networks while allowing the Company's customers to manage the flows of such sessions in their networks using business policies.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target customers comprise both traditional and emerging communications service providers, including long distance carriers, local exchange carriers, Internet service providers, wireless operators, cable operators, international telephone companies and carriers that provide services to other carriers, as well as enterprise customers. The Company also collaborates with its customers to identify and develop new, advanced services and applications that they may offer to their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("U.S. GAAP") and the rules and regulations of the U.S. Securities and Exchange Commission ("SEC").</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Interim results are not necessarily indicative of results for a full year. The information included in this Quarterly Report on Form 10-Q should be read in conjunction with the Company's Annual Report on Form 10-K for the year ended December 31, 2010 ("Annual Report") filed on March 10, 2011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inventory valuations, expected future cash flows used to evaluate the recoverability of long-lived assets, assumptions used to determine the fair value of stock-based compensation, contingent liabilities and recoverability of Sonus' net deferred tax assets and the related valuation allowances.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On June 16, 2011, the Financial Accounting Standards Board ("FASB") issued Accounting Standards Update ("ASU") No.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 which revises the manner in which entities present comprehensive income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new guidance requires companies to report components of comprehensive income in either: (1) a continuous statement of comprehensive income; or (2) two separate consecutive statements. ASU 2011-05 does not change the items that must be reported in other comprehensive income. ASU 2011-05 will be effective for the Company in its reporting of the quarter ended March 31, 2012, with early adoption permitted. The Company is currently assessing the impact on its consolidated financial statements.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May 12,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IFRSs </w:t>
      </w:r>
      <w:r>
        <w:rPr>
          <w:rFonts w:ascii="Arial" w:cs="Arial" w:eastAsia="Arial" w:hAnsi="Arial"/>
          <w:sz w:val="16"/>
          <w:szCs w:val="16"/>
          <w:color w:val="auto"/>
        </w:rPr>
        <w:t>("ASU 2011-04"), which provides guidance on how (not when) to measure fair value and on what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about fair value measurements. ASU 2011-04 expands previously existing disclosure requirements for fair value measurements, including disclosures regarding transfers between Level 1 and Level 2 in the fair value hierarchy currently disclosed. ASU 2011-04 will be effective for the Company in the first quarter of fiscal 2012. Some of the Company's disclosures on fair value measurements may change upon adoption of ASU 2011-04. The Company is currently assessing the impact, if any, on its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Company recognizes revenue from product sales when persuasive evidence of an arrangement exists, delivery has occurred, the sale price is fixed or determinable, and collectibility of the related receivable is probable. When the Company has future obligations, including a requirement to deliver additional elements that are essential to the functionality of the delivered elements or when customer acceptance is required, Sonus defers revenue recognition and related costs until those obligations are satisfied. Likewise, when fees for products or services are not fixed and determinable, Sonus defers the recording of receivables, deferred revenue and revenue until such time as the fees become due or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collected. The ordering patterns and sales lead times associated with customer orders may vary significantly from period to period. The Company limits the amount of revenue recognition for delivered elements to the amount that is not contingent on the future delivery of products or services, future performance obligations, or subject to customer-specific return or refund privileges.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Revenue from maintenance and support services is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Deferred revenue includes customer deposits and amounts associated with maintenance contracts. Deferred revenue expected to be recognized as revenue more than one year subsequent to the balance sheet date is reported with long-term liabilities in the condensed consolidated balance sheets.</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Company excludes any taxes assessed by a governmental authority that are directly imposed on a revenue-producing transaction (i.e., sales, use, value added) from its revenue and costs. Reimbursement received for out-of-pocket expenses and shipping costs is recorded as revenue.</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currently sells the majority of its products directly to its end customers. For products sold to resellers and distributors that the Company determines to be sufficiently capitalized tier one partners or for those customers with whom the Company has sufficient history regarding the potential for product returns or refunds or any form of concession, the Company recognizes revenue on a sell-in basis. For all other resellers and distributors, the Company recognizes revenue on a sell-through basis.</w:t>
      </w:r>
    </w:p>
    <w:p>
      <w:pPr>
        <w:spacing w:after="0" w:line="19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 xml:space="preserve">In October 2009, the FASB amended the ASC as summarized in ASU No. 2009-14, </w:t>
      </w:r>
      <w:r>
        <w:rPr>
          <w:rFonts w:ascii="Arial" w:cs="Arial" w:eastAsia="Arial" w:hAnsi="Arial"/>
          <w:sz w:val="16"/>
          <w:szCs w:val="16"/>
          <w:i w:val="1"/>
          <w:iCs w:val="1"/>
          <w:color w:val="auto"/>
        </w:rPr>
        <w:t>Software (Topic 985): Certain Revenue Arrangements That Include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Elements </w:t>
      </w:r>
      <w:r>
        <w:rPr>
          <w:rFonts w:ascii="Arial" w:cs="Arial" w:eastAsia="Arial" w:hAnsi="Arial"/>
          <w:sz w:val="16"/>
          <w:szCs w:val="16"/>
          <w:color w:val="auto"/>
        </w:rPr>
        <w:t>("ASU 2009-14") and ASU No. 2009-13,</w:t>
      </w:r>
      <w:r>
        <w:rPr>
          <w:rFonts w:ascii="Arial" w:cs="Arial" w:eastAsia="Arial" w:hAnsi="Arial"/>
          <w:sz w:val="16"/>
          <w:szCs w:val="16"/>
          <w:i w:val="1"/>
          <w:iCs w:val="1"/>
          <w:color w:val="auto"/>
        </w:rPr>
        <w:t xml:space="preserve"> Revenue Recognition (Topic 605): Multiple-Deliverable Revenue Arrangements </w:t>
      </w:r>
      <w:r>
        <w:rPr>
          <w:rFonts w:ascii="Arial" w:cs="Arial" w:eastAsia="Arial" w:hAnsi="Arial"/>
          <w:sz w:val="16"/>
          <w:szCs w:val="16"/>
          <w:color w:val="auto"/>
        </w:rPr>
        <w:t>("ASU 2009-13").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ASU 2009-14 amends industry-specific revenue accounting guidance for software and software-related transactions to exclude from its scope tangible products containing software components and non-software components that function together to deliver the product's essential functionality. All stand-alone software components will continue to be accounted for under the guidance of ASC 985-605, </w:t>
      </w:r>
      <w:r>
        <w:rPr>
          <w:rFonts w:ascii="Arial" w:cs="Arial" w:eastAsia="Arial" w:hAnsi="Arial"/>
          <w:sz w:val="16"/>
          <w:szCs w:val="16"/>
          <w:i w:val="1"/>
          <w:iCs w:val="1"/>
          <w:color w:val="auto"/>
        </w:rPr>
        <w:t>Software—Revenue Recognition</w:t>
      </w:r>
      <w:r>
        <w:rPr>
          <w:rFonts w:ascii="Arial" w:cs="Arial" w:eastAsia="Arial" w:hAnsi="Arial"/>
          <w:sz w:val="16"/>
          <w:szCs w:val="16"/>
          <w:color w:val="auto"/>
        </w:rPr>
        <w:t xml:space="preserve"> ("ASC 985-605"). ASU 2009-13 amended the accounting standards for multiple-deliverable revenue arrangements to:</w:t>
      </w:r>
    </w:p>
    <w:p>
      <w:pPr>
        <w:spacing w:after="0" w:line="18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updated guidance on how the deliverables in an arrangement should be separated, and how consideration should be allocated;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an entity to allocate revenue in an arrangement using estimated selling prices ("ESP") of deliverables if a vendor does not have vendor-specific objective evidence of selling price ("VSOE") or third-party evidence of selling price ("TPE");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45"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eliminate the use of the residual method and require an entity to allocate revenue using the relative selling price of the deliverables method.</w:t>
      </w:r>
    </w:p>
    <w:p>
      <w:pPr>
        <w:spacing w:after="0" w:line="248"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Effective January 1, 2011, the Company prospectively adopted the provisions of ASU 2009-13 and ASU 2009-14 for new and materially modified arrangements originating on or after January 1, 2011.</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products typically have both software and non-software components that function together to deliver the products' essential functionality. The Company's products are primarily marketed based on the software elements contained therein. In addition, hardware sold generally cannot be used apart from the software. Therefore, Sonus considers its principal products to be both software- and hardware-related. Many of the Company's sales involve multiple element arrangements that include product, maintenance and various professional services. The adoption of the guidance discussed above affects the Company's multiple-element arrangements when they contain tangible products (hardware) with software elements, which comprise the majority of the Company's revenue transactions. The Company may enter into sales transactions that do not contain tangible hardware components, such as software-only add-on sales, which continue to be subject to the software revenue recognition guidance in ASC 985-605.</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multiple element revenue guidance requires that the Company evaluate each deliverable in an arrangement to determine whether such deliverable would represent a separate unit of accounting. The delivered item constitutes a separate unit of accounting when it has stand-alone value and there are no customer-negotiated refunds or return rights for the delivered elements. If the arrangement includes a customer-negotiated refund or return right relative to the delivered item and the delivery and performance of the undelivered item are considered probable and substantially in the Company's control, the delivered element constitutes a separate unit of accounting. Most of the Company's products and services qualify as separate units of accounting and revenue is recognized when the applicable revenue recognition criteria are met.</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transactions entered into prior to January 1, 2011, the Company recognizes revenue in accordance with ASC 985-605. Revenue for any undelivered elements that are considered not essential to the functionality of the product and for which VSOE has been established are deferred based on the VSOE value, and any remaining arrangement fee is then allocated to and recognized as revenue utilizing the residual method. If the Company can not establish VSOE for each undelivered element, including specified upgrades, it defers all revenue on the entire arrangement until VSOE exists for the remaining undelivered elements or all elements are delivered, provided that all other revenue recognition criteria have been met.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has historically maintained VSOE for its maintenance and support services and certain professional services. If VSOE exists it will be used to determine the selling price of a deliverable. VSOE is determined based upon the price charged when the same element is sold separately or established by management having the relevant pricing authority. In certain instances, the Company is not able to establish VSOE for deliverables in an arrangement with multiple elements. The Company has historically not been able to establish VSOE of any of its products and for certain services because the Company has not sold its products or services on a stand-alone basis, not priced its products or services within a narrow range, or had limited sales history.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When VSOE cannot be established, the Company attempts to establish the selling price of each element based on TPE. Generally, the Company's solution typically differs from that of its peers as there are no similar or interchangeable competitor products or services. The Company's various product and service offerings contain a significant level of customization and differentiation and therefore comparable pricing of competitors' products and services with similar functionality cannot be obtained. The Company is therefore typically not able to determine TPE for its products or services.</w:t>
      </w:r>
    </w:p>
    <w:p>
      <w:pPr>
        <w:spacing w:after="0" w:line="16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When the Company is unable to establish selling price using VSOE or TPE, the Company uses ESP in its allocation of arrangement consideration for the relevant deliverables. The objective of ESP is to determine the price at which the Company would transact a sale if a product or service was sold on a stand-alone basis. The Company determines ESP for its products and certain services by considering multiple factors including, but not limited to, overall market conditions, including geographic or regional-specific market factors, profit objectives and pricing practices for such deliverables. The determination of ESP is a formal process within the Company that includes review and approval by the Company's management.</w:t>
      </w:r>
    </w:p>
    <w:p>
      <w:pPr>
        <w:spacing w:after="0" w:line="170"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adoption of ASU 2009-13 and ASU 2009-14 had a material impact on the Company's financial results, increasing product revenue by $6.3 million for the three months ended June 30, 2011 and $8.8 million for the six months ended June 30, 2011, compared to what would have been recognized had the Company continued to apply the guidance set forth in ASC 985-605 to all arrangements in the current year. The adoption of ASU 2009-13 and ASU 2009-14 did not have a material effect on the amount or timing of service revenue recognized during the three or six month periods ended June 30, 2011.</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increase in product revenue was partially the result of the expedited timing of revenue recognition for the Company's AT&amp;T revenue arrangements (further described below under AT&amp;T Inc. Revenue Recognition) and a number of other customer arrangements in the current year that would not have been recognized in the period under ASC 985-605. The delivered elements were determined to constitute separate units of accounting in arrangements that included undelivered products or services which under ASC 985-605 would have resulted in deferral of the entire arrangement due to lack of VSOE of fair value for such undelivered elements. Customer acceptance in many arrangements generally does not occur until either both shipment of product and delivery of professional services or the expiration date of the contractual acceptance period occurs; therefore, the instances in which revenue recognition occurs at a different period under the new accounting guidance is a limited number of transactions.</w:t>
      </w:r>
    </w:p>
    <w:p>
      <w:pPr>
        <w:spacing w:after="0" w:line="172"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expects the adoption of ASU 2009-13 and ASU 2009-14 may have a material effect on the timing of revenue recognition in future periods; however, the Company cannot reasonably estimate the effect of adopting these standards on future financial periods as the impact will vary depending on the nature and volume of new or materially modified arrangements in any given period.</w:t>
      </w:r>
    </w:p>
    <w:p>
      <w:pPr>
        <w:spacing w:after="0" w:line="194"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b w:val="1"/>
          <w:bCs w:val="1"/>
          <w:i w:val="1"/>
          <w:iCs w:val="1"/>
          <w:color w:val="auto"/>
        </w:rPr>
        <w:t xml:space="preserve">AT&amp;T Inc. ("AT&amp;T") Revenue Recognition. </w:t>
      </w:r>
      <w:r>
        <w:rPr>
          <w:rFonts w:ascii="Arial" w:cs="Arial" w:eastAsia="Arial" w:hAnsi="Arial"/>
          <w:sz w:val="18"/>
          <w:szCs w:val="18"/>
          <w:color w:val="auto"/>
        </w:rPr>
        <w:t>The Company sells various hardware components and professional services to this customer, and also has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to provide maintenance services on the hardware components. The relationship with the customer is governed by a master service agreement, and also by individual purchase orders that are received for all hardware sales. Because of the integrated and inter-related nature of the contractual arrangements, the Company believes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hardware purchases and the maintenance arrangement with the customer are inter-related and should be combined for accounting purposes.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Beginning in the fourth quarter of fiscal 2008, the Company concluded that it no longer had sufficient evidence of VSOE on maintenance services for AT&amp;T. Therefore, all revenue related to multiple-element arrangements for this customer entered into beginning in the fourth quarter of fiscal 2008 was recognized ratably over the maintenance period, which ended December 31, 2010, provided all other revenue recognition criteria were met. Revenue recognition on multiple-element arrangements with this customer began when the only undelivered element of the arrangement was maintenance. Beginning in the fourth quarter of 2008, for orders from this customer that contained bundled product and maintenance, the Company allocated a fixed percentage (which represents the maintenance renewal rate for its largest customers for which the Company has VSOE) of the arrangement fee to service revenue with the residual amount classified as product revenue. The Company applied this methodology on a consistent basis.</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December 2010, the Company entered into a new maintenance arrangement with this customer which covers the period from January 1, 2011 through April 30, 2013. Because this arrangement was entered into during 2010, the maintenance arrangement is subject to the software revenue recognition guidance in ASC 985-605. The entire amount of the contracted maintenance revenue will be recognized ratably over the contractual maintenance period.</w:t>
      </w:r>
    </w:p>
    <w:p>
      <w:pPr>
        <w:spacing w:after="0" w:line="161"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As noted above, under previously applied software revenue recognition criteria, the entire amount of the Company's product sales to this customer were deferred and amortized over the remaining contractual customer maintenance term which ended December 31, 2010. The new multiple element guidance will be followed for any tangible product orders received after January 1, 2011 and allow for earlier revenue recognition as product revenue can be separated from the associated maintenance contract based upon its relative selling price using ESP. As a result, revenue will be recognized either upon shipment of the products or upon customer acceptance, provided all other revenue recognition criteria have been met. Ultimately, the impact of this change in accounting is dependent upon product sales with this customer.</w:t>
      </w:r>
    </w:p>
    <w:p>
      <w:pPr>
        <w:spacing w:after="0" w:line="19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the preparation of the Company's consolidated financial statements for the three month period ended March 31, 2011 and the accounting analysis for the new maintenance arrangement with AT&amp;T, the Company determined that the methodology that had been applied in fiscal 2009 and 2010 to the amortization of consideration related to maintenance provided to AT&amp;T was not appropriate and resulted in the inappropriate deferral of revenue related to maintenance billings from 2009 to 2010; total revenue recognized over the term of the arrangement was not impacted . This error resulted in the incorrect deferral and, therefore, understatement of $3.8 million of Service revenue in 2009 ($950,000 in each quarter of fiscal 2009) and related overstatement of 2010 Service revenue by $3.8 million ($950,000 in each quarter of fiscal 2010). There is no tax effect on this revenue and therefore the error in Service revenue impacted net loss in each year by the same amounts. There is no effect on retained earnings or any other account within the consolidated balance sheet as of December 31, 2010, and no effect on cash provided by operating activities for fiscal 2009 and fiscal 2010. The Company does not believe this error is material to its previously issued historical consolidated financial statements and, therefore, has not adjusted the historical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calculations of shares used to compute basic and diluted earnings (loss) per share for the three and six months ended June 30, 2011 and 2010 were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8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274,877</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276,038</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Options to purchase the Company's common stock, unvested shares of restricted stock and unvested performance-based stock awards aggregating approximately 21.3 million shares of common stock for the three and six months ended June 30, 2011 have not been included in the computation of diluted loss per share because their effect would have been antidilutive.</w:t>
      </w:r>
    </w:p>
    <w:p>
      <w:pPr>
        <w:spacing w:after="0" w:line="194"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Options to purchase the Company's common stock aggregating approximately 19.7 million shares of common stock have not been included in the computation of diluted earnings per share for the three months ended June 30, 2010 because the options' exercise prices were greater than the average market price or the common stock and their effect would have been antidilutive. Options to purchase the Company's common stock aggregating approximately 21.3 million shares of common stock have not been included in the computation of diluted earnings per share for the six months ended June 30, 2010 because the options' exercise prices were greater than the average market price or the common stock and their effect would have been antidilutive.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comprehensive income (loss) for the three and six months ended June 30, 2011 and 2010 was as follows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(18,342)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w w:val="91"/>
              </w:rPr>
              <w:t>Unrealized gain (loss) on available-for-sale marketable securities, net of tax</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(investment grade) credit instruments.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amortized cost, gross unrealized gains and losses and fair value of the Company's marketable debt and equity securities and investments at June 30, 2011 and December 31, 2010 were comprised of the following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June 30, 2011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125,883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125,959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244,788</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244,988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41,250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41,282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government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70,166</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2010</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84,950</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135,935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258,711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56,373</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87,106</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June 30, 2011 and December 31, 2010, the Company's available-for-sale debt securities classified as Investments had maturities ranging from one to two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Company's financial assets or liabilities are measured using inputs from the three-tier fair value hierarchy, which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61"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left="540" w:right="8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at June 30, 2011 and December 31, 2010. These financial assets are comprised of the Company's available-for-sale debt and equity securities and reported under the captions Cash and cash equivalents, Marketable securities and Investments in the condensed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6"/>
          </w:tcPr>
          <w:p>
            <w:pPr>
              <w:jc w:val="right"/>
              <w:spacing w:after="0"/>
              <w:rPr>
                <w:sz w:val="20"/>
                <w:szCs w:val="20"/>
                <w:color w:val="auto"/>
              </w:rPr>
            </w:pPr>
            <w:r>
              <w:rPr>
                <w:rFonts w:ascii="Arial" w:cs="Arial" w:eastAsia="Arial" w:hAnsi="Arial"/>
                <w:sz w:val="14"/>
                <w:szCs w:val="14"/>
                <w:b w:val="1"/>
                <w:bCs w:val="1"/>
                <w:color w:val="auto"/>
              </w:rPr>
              <w:t>Fair value measurements at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June 30, 2011 using: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1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30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30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98,814</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244,988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244,988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3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41,282</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41,282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70,226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70,226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December 31, 2010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56,376</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56,376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Company's marketable securities and investments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reviewed the level classifications of its investments at June 30, 2011 compared to December 31, 2010 and determined that there were no significant transfers between such levels in the six months ended June 30, 2011.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at June 30, 2011 and December 31, 2010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June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16,881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11,137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25,803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28,018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(26,747)</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(22,499)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jc w:val="right"/>
              <w:ind w:right="119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June 30, 2011 and December 31, 2010 consisted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4"/>
          </w:tcPr>
          <w:p>
            <w:pPr>
              <w:spacing w:after="0"/>
              <w:rPr>
                <w:sz w:val="20"/>
                <w:szCs w:val="20"/>
                <w:color w:val="auto"/>
              </w:rPr>
            </w:pPr>
            <w:r>
              <w:rPr>
                <w:rFonts w:ascii="Arial" w:cs="Arial" w:eastAsia="Arial" w:hAnsi="Arial"/>
                <w:sz w:val="14"/>
                <w:szCs w:val="14"/>
                <w:b w:val="1"/>
                <w:bCs w:val="1"/>
                <w:color w:val="auto"/>
              </w:rPr>
              <w:t>June 30, 2011</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4"/>
          </w:tcPr>
          <w:p>
            <w:pPr>
              <w:spacing w:after="0"/>
              <w:rPr>
                <w:sz w:val="20"/>
                <w:szCs w:val="20"/>
                <w:color w:val="auto"/>
              </w:rPr>
            </w:pPr>
            <w:r>
              <w:rPr>
                <w:rFonts w:ascii="Arial" w:cs="Arial" w:eastAsia="Arial" w:hAnsi="Arial"/>
                <w:sz w:val="14"/>
                <w:szCs w:val="14"/>
                <w:b w:val="1"/>
                <w:bCs w:val="1"/>
                <w:color w:val="auto"/>
              </w:rPr>
              <w:t>December 31, 2010</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Amortization expense related to intangible assets for the three and six months ended June 30, 2011 and 2010 was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307"/>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June 30, 2011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2012</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2014</w:t>
            </w: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720" w:type="dxa"/>
            <w:vAlign w:val="bottom"/>
            <w:vMerge w:val="restart"/>
          </w:tcPr>
          <w:p>
            <w:pPr>
              <w:jc w:val="right"/>
              <w:ind w:right="2472"/>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Goodwill is recorded when the consideration in a business combination exceeds the fair value of net tangible and identifiable intangible assets acquired. The changes in the carrying amounts of goodwill during the six months ended June 30, 2011 and 2010 were as follows (in thousands):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Six months ended</w:t>
            </w:r>
          </w:p>
        </w:tc>
      </w:tr>
      <w:tr>
        <w:trPr>
          <w:trHeight w:val="16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8,168</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8,159</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8,168</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8,159</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June 30, 2011 and December 31, 2010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1"/>
              </w:rPr>
              <w:t>Employee compensation and related costs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Royalties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Sales taxes payable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1,193</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2,962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3,130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17,364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720" w:type="dxa"/>
            <w:vAlign w:val="bottom"/>
            <w:vMerge w:val="restart"/>
          </w:tcPr>
          <w:p>
            <w:pPr>
              <w:jc w:val="right"/>
              <w:ind w:right="127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w:t>
      </w:r>
    </w:p>
    <w:p>
      <w:pPr>
        <w:spacing w:after="0" w:line="231"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The Company's 2007 Stock Incentive Plan, as amended (the "2007 Plan"), provides for the award of options to purchase the Company's common stock ("stock options"), stock appreciation rights, restricted common stock ("restricted stock"), performance-based share awards ("performance-based awards"), restricted stock units and other stock-based awards to employees, officers, directors (including those directors who are not employees or officers of the Company), consultants and advisors of the Company and its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six months ended June 30, 2011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contractual life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18,177,188</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2,018,000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(436,617)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(733,942)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(642,444)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Outstanding at June 30, 2011</w:t>
            </w: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6.15</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2,305</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18,382,185</w:t>
            </w: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June 30,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17,701,848</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420" w:type="dxa"/>
            <w:vAlign w:val="bottom"/>
            <w:gridSpan w:val="2"/>
          </w:tcPr>
          <w:p>
            <w:pPr>
              <w:spacing w:after="0"/>
              <w:rPr>
                <w:sz w:val="20"/>
                <w:szCs w:val="20"/>
                <w:color w:val="auto"/>
              </w:rPr>
            </w:pPr>
            <w:r>
              <w:rPr>
                <w:rFonts w:ascii="Arial" w:cs="Arial" w:eastAsia="Arial" w:hAnsi="Arial"/>
                <w:sz w:val="18"/>
                <w:szCs w:val="18"/>
                <w:color w:val="auto"/>
              </w:rPr>
              <w:t>Exercisable at June 30, 2011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11,693,903</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grant date fair values of stock options granted in the three and six months ended June 30, 2011 were estimated using the Black-Scholes valuation model with the following assumptions: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Six months</w:t>
            </w:r>
          </w:p>
        </w:tc>
      </w:tr>
      <w:tr>
        <w:trPr>
          <w:trHeight w:val="149"/>
        </w:trPr>
        <w:tc>
          <w:tcPr>
            <w:tcW w:w="4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4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2011</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w:t>
            </w:r>
          </w:p>
        </w:tc>
        <w:tc>
          <w:tcPr>
            <w:tcW w:w="14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1.86% - 2.12%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66.3%</w:t>
            </w:r>
          </w:p>
        </w:tc>
        <w:tc>
          <w:tcPr>
            <w:tcW w:w="14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66.0%</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Expected life (years)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4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4.5</w:t>
            </w:r>
          </w:p>
        </w:tc>
      </w:tr>
    </w:tbl>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weighted average grant date fair values of stock options granted were $1.60 per share for the three months ended June 30, 2011 and $1.66 per share for the six months ended June 30, 2011.</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total intrinsic values of stock options exercised were $0.1 million for the three months ended June 30, 2011 and $0.9 million for the six months ended June 30, 2011. The Company received $0.8 million of cash from the exercise of stock options in the six months ended June 30, 2011.</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six months ended June 30, 2011 was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4780" w:type="dxa"/>
            <w:vAlign w:val="bottom"/>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1,541,231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(166,752)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r>
      <w:tr>
        <w:trPr>
          <w:trHeight w:val="21"/>
        </w:trPr>
        <w:tc>
          <w:tcPr>
            <w:tcW w:w="4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June 30, 2011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1,241,634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r>
      <w:tr>
        <w:trPr>
          <w:trHeight w:val="27"/>
        </w:trPr>
        <w:tc>
          <w:tcPr>
            <w:tcW w:w="4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restricted stock award shares that vested during the six months ended June 30, 2011 was $1.1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six months ended June 30, 2011 was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grant-date</w:t>
            </w:r>
          </w:p>
        </w:tc>
      </w:tr>
      <w:tr>
        <w:trPr>
          <w:trHeight w:val="161"/>
        </w:trPr>
        <w:tc>
          <w:tcPr>
            <w:tcW w:w="4860" w:type="dxa"/>
            <w:vAlign w:val="bottom"/>
          </w:tcPr>
          <w:p>
            <w:pPr>
              <w:spacing w:after="0"/>
              <w:rPr>
                <w:sz w:val="14"/>
                <w:szCs w:val="14"/>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1,725,056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(85,833)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r>
      <w:tr>
        <w:trPr>
          <w:trHeight w:val="21"/>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June 30, 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1,725,056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7"/>
        </w:trPr>
        <w:tc>
          <w:tcPr>
            <w:tcW w:w="4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There are approximately 38,000 shares of the Company's common stock that are not included in the table above, as the Company has not finalized the performance conditions for these awards. The Company will begin to record stock-based compensation expense at the time that the performance conditions are defined and when it becomes probable that the respective performance conditions will be achieved, if at all.</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and six months ended June 30, 2011 and 2010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There was no income tax benefit for employee stock-based compensation expense for the six months ended June 30, 2011 and 2010 due to the income tax valuation allowance recorded.</w:t>
      </w:r>
    </w:p>
    <w:p>
      <w:pPr>
        <w:spacing w:after="0" w:line="186"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At June 30, 2011, there was $11.1 million, net of expected forfeitures, of unrecognized stock-based compensation expense related to unvested stock options, restricted stock awards and performance-based stock awards for which the Company believes it is probable that the performance conditions will be satisfied. This expense is expected to be recognized over a weighted average period of approximately three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 RIGHTS PLAN</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 June 10, 2011, the Company entered into an amendment to its stockholder rights agreement (the "Rights Plan") to extend the expiration date of the rights in such Rights Plan from June 26, 2011 to June 26, 2013. The amendment was not in response to any acquisition proposal and no other amendments were made to the Rights Plan. The Rights Plan was originally adopted on June 26, 2008 and would have expired on June 26, 2011.</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Under the Rights Plan, preferred stock purchase rights (the "Rights") were distributed as a dividend at the rate of one Right per share of common stock of the Company held by stockholders of record as of the close of business on July 7, 2008. Each Right entitles the stockholder to purchase from the Company a unit consisting of one one-thousandth of a share (a "Unit") of preferred stock at a purchase price of $25.00 per Unit, subject to adjustment.</w:t>
      </w:r>
    </w:p>
    <w:p>
      <w:pPr>
        <w:spacing w:after="0" w:line="16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Rights generally will be exercisable only if a person or group acquires beneficial ownership of 15% or more of the Company's common stock (which includes for this purpose shares of common stock referenced in derivative transactions or securities), or commences or publicly announces a tender or exchange offer upon consummation of which they would beneficially own 15% or more of the Company's common stock. Subject to certain conditions, a person or group who beneficially owned 15% or more of the outstanding shares of the Company's common stock prior to the adoption of the Rights Plan did not cause the Rights to become exercisable upon adoption of the Rights Plan. Should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 RIGHTS PLAN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Rights become exercisable, the effect would be to dilute the ownership of the beneficial owner(s) who triggered the Rights, as that beneficial owner or group of owners would not receive the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FOREIGN CURRENCY TRANSLATION</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Foreign currency gains and losses are included as a component of General and administrative expenses in the condensed consolidated statements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components of foreign currency gains (losses) for the three and six months ended June 30, 2011 and 2010 were as follows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Six months ended</w:t>
            </w: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Transaction gains (losses)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Remeasurement gains (losses)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(1,445)</w:t>
            </w: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operates internationally and, in the normal course of business, is exposed to fluctuations in foreign exchange rates. These fluctuations can increase the costs of financing, investing and operating the business. During fiscal 2011, the Company began entering into derivative instruments for risk management purposes and not for speculative purposes.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first quarter of fiscal 2011, the Company began to use forward currency exchange contracts ("forward contracts") to economically hedge its exposure to forecasted foreign currency denominated operating expenses and transactions in the Company's European and Japanese subsidiaries. These forward contracts have not been designated as cash flow, fair value or net investment hedges and are entered into for periods of six months or less, based upon budgeted expenses and specific transactions for the applicable subsidiaries. These forward contracts do not subject the Company's earnings or cash flows to material risk since gains and losses on these forward contracts generally offset losses and gains on the expenses and transactions being hedged. However, changes in currency exchange rates related to any unhedged transaction may impact the Company's earnings and cash flows.</w:t>
      </w:r>
    </w:p>
    <w:p>
      <w:pPr>
        <w:spacing w:after="0" w:line="17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recorded immaterial gains related to forward contracts for the three and six months ended June 30, 2011. The Company settles forward foreign contracts in cash. There were no forward contracts outstanding at June 30, 2011.</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MAJOR CUSTOMERS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customers each contributed 10% or more of the Company's revenue in at least one of the three or six month periods ended June 30, 2011 and 2010:</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w w:val="87"/>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Customer</w:t>
            </w:r>
          </w:p>
        </w:tc>
        <w:tc>
          <w:tcPr>
            <w:tcW w:w="56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5640" w:type="dxa"/>
            <w:vAlign w:val="bottom"/>
            <w:gridSpan w:val="4"/>
            <w:vMerge w:val="continue"/>
          </w:tcPr>
          <w:p>
            <w:pPr>
              <w:spacing w:after="0"/>
              <w:rPr>
                <w:sz w:val="12"/>
                <w:szCs w:val="12"/>
                <w:color w:val="auto"/>
              </w:rPr>
            </w:pPr>
          </w:p>
        </w:tc>
        <w:tc>
          <w:tcPr>
            <w:tcW w:w="5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9"/>
              </w:rPr>
              <w:t>2011</w:t>
            </w:r>
          </w:p>
        </w:tc>
        <w:tc>
          <w:tcPr>
            <w:tcW w:w="9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jc w:val="center"/>
              <w:ind w:left="40"/>
              <w:spacing w:after="0" w:line="142" w:lineRule="exact"/>
              <w:rPr>
                <w:sz w:val="20"/>
                <w:szCs w:val="20"/>
                <w:color w:val="auto"/>
              </w:rPr>
            </w:pPr>
            <w:r>
              <w:rPr>
                <w:rFonts w:ascii="Arial" w:cs="Arial" w:eastAsia="Arial" w:hAnsi="Arial"/>
                <w:sz w:val="14"/>
                <w:szCs w:val="14"/>
                <w:b w:val="1"/>
                <w:bCs w:val="1"/>
                <w:color w:val="auto"/>
                <w:w w:val="83"/>
              </w:rPr>
              <w:t>2011</w:t>
            </w:r>
          </w:p>
        </w:tc>
        <w:tc>
          <w:tcPr>
            <w:tcW w:w="1000" w:type="dxa"/>
            <w:vAlign w:val="bottom"/>
            <w:tcBorders>
              <w:top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Qwest Communications International, Inc.</w:t>
            </w: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AT&amp;T</w:t>
            </w:r>
          </w:p>
        </w:tc>
        <w:tc>
          <w:tcPr>
            <w:tcW w:w="5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w:t>
            </w:r>
          </w:p>
        </w:tc>
        <w:tc>
          <w:tcPr>
            <w:tcW w:w="5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w:t>
            </w:r>
          </w:p>
        </w:tc>
        <w:tc>
          <w:tcPr>
            <w:tcW w:w="460" w:type="dxa"/>
            <w:vAlign w:val="bottom"/>
          </w:tcPr>
          <w:p>
            <w:pPr>
              <w:jc w:val="center"/>
              <w:ind w:left="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Bahamas Telecommunications Company Ltd.</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left="20"/>
              <w:spacing w:after="0"/>
              <w:rPr>
                <w:sz w:val="20"/>
                <w:szCs w:val="20"/>
                <w:color w:val="auto"/>
              </w:rPr>
            </w:pPr>
            <w:r>
              <w:rPr>
                <w:rFonts w:ascii="Arial" w:cs="Arial" w:eastAsia="Arial" w:hAnsi="Arial"/>
                <w:sz w:val="18"/>
                <w:szCs w:val="18"/>
                <w:color w:val="auto"/>
                <w:w w:val="88"/>
              </w:rPr>
              <w:t>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June 30, 2011, two customers each accounted for 10% or more of the Company's accounts receivable balance, representing approximately 32% in the aggregate of total accounts receivable. At December 31, 2010, one customer accounted for 10% or more of the Company's accounts receivable balance, representing approximately 14% of the Company's accounts receivable balance. The Company performs ongoing credit evaluations of its customers and generally does not require collateral on accounts receivable. The Company maintains an allowance for doubtful accounts as required, and such losses have historically been within management's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Company's classification of revenue by geographic area is determined by the location to which the product is shipped or where the services are performed. The following table summarizes revenue by geographic area as a percentage of total revenue for the three and six months ended June 30, 2011 and 2010:</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Japan</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1680" w:hanging="531"/>
        <w:spacing w:after="0"/>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less than 1% of revenue.</w:t>
      </w:r>
    </w:p>
    <w:p>
      <w:pPr>
        <w:spacing w:after="0" w:line="225" w:lineRule="exact"/>
        <w:rPr>
          <w:sz w:val="20"/>
          <w:szCs w:val="20"/>
          <w:color w:val="auto"/>
        </w:rPr>
      </w:pPr>
    </w:p>
    <w:p>
      <w:pPr>
        <w:ind w:right="1140" w:firstLine="351"/>
        <w:spacing w:after="0" w:line="332" w:lineRule="auto"/>
        <w:rPr>
          <w:sz w:val="20"/>
          <w:szCs w:val="20"/>
          <w:color w:val="auto"/>
        </w:rPr>
      </w:pPr>
      <w:r>
        <w:rPr>
          <w:rFonts w:ascii="Arial" w:cs="Arial" w:eastAsia="Arial" w:hAnsi="Arial"/>
          <w:sz w:val="16"/>
          <w:szCs w:val="16"/>
          <w:color w:val="auto"/>
        </w:rPr>
        <w:t>Bahamas Telecommunications Company Ltd. accounted for 30% of the Company's revenue in the six months ended June 30, 2011. Bahamas Telecommunications Company Ltd. is located in the Caribbean and is included as a component of "Other" in the table above.</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current data may not be indicative of future periods.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Company's income tax provisions for the six months ended June 30, 2011 and 2010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 The estimated effective rates for the six months ended June 30, 2011 and 2010 do not include any benefit for the Company's domestic losses, as the Company has concluded that a valuation allowance on any domestic benefit is required.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The amended complaint, filed in April 2002,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October 2004, the District Court certified the class in a case against certain defendants. On August 31, 2005, the District Court approved the terms of the proposed settlement.</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December 5, 2006, the United States Court of Appeals for the Second Circuit (the "Second Circuit") reversed the District Court's October 2004 order certifying a class.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District Court issued an opinion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granting plaintiffs' motion for final approval of the settlement, approval of the plan of distribution of a new settlement fund and certification of the settlement classes. An Order and Final Judgment was entered on January 14, 2010.</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October 7, 2010, all but two parties who had filed a notice of appeal filed a stipulation with the Second Circuit withdrawing their appeals with prejudice, and one of the remaining objectors filed a brief in support of his appeal. On December 8, 2010, plaintiffs moved to dismiss with prejudice the appeal filed by one of the two appellants based on alleged violations of the Second Circuit's rules, including failure to serve, falsifying proofs of service, and failure to include citations to the record. On May 17, 2011, the Second Circuit dismissed one of the appeals and remanded the one remaining appeal to the District Court for further proceedings to determine whether the remaining objector has standing.</w:t>
      </w:r>
    </w:p>
    <w:p>
      <w:pPr>
        <w:spacing w:after="0" w:line="170" w:lineRule="exact"/>
        <w:rPr>
          <w:sz w:val="20"/>
          <w:szCs w:val="20"/>
          <w:color w:val="auto"/>
        </w:rPr>
      </w:pPr>
    </w:p>
    <w:p>
      <w:pPr>
        <w:ind w:right="260" w:firstLine="351"/>
        <w:spacing w:after="0" w:line="310" w:lineRule="auto"/>
        <w:rPr>
          <w:sz w:val="20"/>
          <w:szCs w:val="20"/>
          <w:color w:val="auto"/>
        </w:rPr>
      </w:pPr>
      <w:r>
        <w:rPr>
          <w:rFonts w:ascii="Arial" w:cs="Arial" w:eastAsia="Arial" w:hAnsi="Arial"/>
          <w:sz w:val="15"/>
          <w:szCs w:val="15"/>
          <w:color w:val="auto"/>
        </w:rPr>
        <w:t>On October 5, 2007, Vanessa Simmonds, a purported shareholder,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On March 12, 2009, the Western District Court entered its judgment in the case and granted the moving issuers' motion to dismiss, finding plaintiff's demand letters were insufficient to put the issuers on notice of the claims asserted against them. The Western District Court also granted the underwriters' motion to dismiss as to the claims arising from the non-moving issuers' IPOs, finding plaintiff's claims were time-barred under the applicable statute of limitations.</w:t>
      </w:r>
    </w:p>
    <w:p>
      <w:pPr>
        <w:spacing w:after="0" w:line="16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 applicable statute of limitations. In remanding, the Ninth Circuit advised the non-moving issuers and underwriters to file in the Western District Court the same challenges to plaintiff's demand letters that moving issuers had filed.</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18, 2011, the Ninth Circuit denied all petitions for rehearing and petitions for rehearing en banc. On January 25, 2011, the Ninth Circuit granted the underwriters' motion to stay the issuance of mandate and ordered that the mandate in the cases involving the non-moving issuers is stayed for ninety days pending the filing of a petition for writ of certiorari in the United States Supreme Court. On January 26, 2011, the Ninth Circuit granted the appellant's motion and ruled that the mandate in all cases (including the Company's and other moving issuers) is stayed for ninety days pending the appellant's filing of a petition for writ of certiorari in the United States Supreme Court. On April 5, 2011, the plaintiff filed a Petition for Writ of Certiorari with the United States Supreme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Court seeking reversal of the Ninth Circuit's December 2, 2010 decision. On April 15, 2011, underwriter defendants filed a Petition for Writ of Certiorari with the United States Supreme Court seeking reversal of the Ninth Circuit's December 2, 2010 decision relating to the statute of limitations issue. On June 27, 2011, the United States Supreme Court denied Simmonds' petition regarding the demand issue and granted the underwriters' position relating to the statute of limitations issue. The Company currently believes that the outcome of this litigation will not have a material adverse impact on its financial position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addition, we are often a party to disputes and legal proceedings that we consider routine and incidental to our business. Management does not expect the results of any of these actions to have a material adverse effect on our business, results of operations or financial condition.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"anticipates", "believes", "could", "estimates", "expects", "intends","may", "plans",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our Annual Report on Form 10-K for the year ended December 31, 2010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a leading provider of voice and data infrastructure solutions, including softswitch and session border control products for service providers and large enterprises. Our infrastructure solutions allow efficient and reliable delivery of voice and multimedia sessions over IP networks while allowing our customers to manage the flows of such sessions in their networks using business policies.</w:t>
      </w:r>
    </w:p>
    <w:p>
      <w:pPr>
        <w:spacing w:after="0" w:line="194"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Currently, we sell our products principally through a direct sales force in the United States, Europe, the Middle East, Japan and Asia Pacific. We continue to expand our presence into new geographies and markets through our relationships with regional channel partners.</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as well as enterprise customers. We also collaborate with our customers to identify and develop new, advanced services and applications that they may offer to their customers.</w:t>
      </w:r>
    </w:p>
    <w:p>
      <w:pPr>
        <w:spacing w:after="0" w:line="197" w:lineRule="exact"/>
        <w:rPr>
          <w:sz w:val="20"/>
          <w:szCs w:val="20"/>
          <w:color w:val="auto"/>
        </w:rPr>
      </w:pPr>
    </w:p>
    <w:p>
      <w:pPr>
        <w:ind w:right="300" w:firstLine="351"/>
        <w:spacing w:after="0" w:line="254" w:lineRule="auto"/>
        <w:rPr>
          <w:sz w:val="20"/>
          <w:szCs w:val="20"/>
          <w:color w:val="auto"/>
        </w:rPr>
      </w:pPr>
      <w:r>
        <w:rPr>
          <w:rFonts w:ascii="Arial" w:cs="Arial" w:eastAsia="Arial" w:hAnsi="Arial"/>
          <w:sz w:val="18"/>
          <w:szCs w:val="18"/>
          <w:color w:val="auto"/>
        </w:rPr>
        <w:t>On May 17, 2010, we announced the general availability of our NBS5200 Network Border Switch (the "NBS5200") as the first product on our next-generation ConnexIP platform. The NBS5200 complements our NBS9000 Network Border Switch as part of our Session Border Control ("SBC") solutions portfolio and provides SBC functionality, including media interworking, advanced routing and policy engine, and multi-access security gateway functionality. The ConnexIP platform is a platform for connecting, managing and securing IP session-based communications and is a key element in our strategy to bring industry-leading performance and carrier-grade reliability to the session management market, representing a new foundation for the next generation of our IP-based products.</w:t>
      </w:r>
    </w:p>
    <w:p>
      <w:pPr>
        <w:spacing w:after="0" w:line="19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5620" w:right="360" w:hanging="5072"/>
        <w:spacing w:after="0" w:line="519" w:lineRule="auto"/>
        <w:tabs>
          <w:tab w:leader="none" w:pos="1082" w:val="left"/>
        </w:tabs>
        <w:numPr>
          <w:ilvl w:val="0"/>
          <w:numId w:val="7"/>
        </w:numPr>
        <w:rPr>
          <w:rFonts w:ascii="Arial" w:cs="Arial" w:eastAsia="Arial" w:hAnsi="Arial"/>
          <w:sz w:val="18"/>
          <w:szCs w:val="18"/>
          <w:color w:val="auto"/>
        </w:rPr>
      </w:pPr>
      <w:r>
        <w:rPr>
          <w:rFonts w:ascii="Arial" w:cs="Arial" w:eastAsia="Arial" w:hAnsi="Arial"/>
          <w:sz w:val="18"/>
          <w:szCs w:val="18"/>
          <w:color w:val="auto"/>
        </w:rPr>
        <w:t>embracing the principles outlined by 3GPP and delivering the industry's most advanced IMS (IP Multimedia Subsystem)-ready product suite;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wireless operators;</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solutions to address emerging Internet Protocol-based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pursuing strategic transactions and alliances.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On May 2, 2011, Todd Abbott accepted an offer of employment as Senior Vice President of Worldwide Sales of the Company. Mr. Abbott joined the Company on May 3, 2011.</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February 11, 2011, Dr. Rajiv Laroia accepted an offer of employment as Senior Vice President and Chief Technology Officer of the Company. Dr. Laroia joined the Company on February 11, 2011.</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reported a loss from operations of $6.7 million in the three months ended June 30, 2011 and income from operations of $44,000 in the three months ended June 30, 2010. We reported losses from operations of $18.2 million in the six months ended June 30, 2011 and $0.5 million in the six months ended June 30, 2010. We reported a net loss of $5.9 million in the three months ended June 30, 2011 and net income of $0.3 million in the three months ended June 30, 2010. We reported a net loss of $18.3 million in the six months ended June 30, 2011 and net income of $0.2 million in the six months ended June 30, 2010.</w:t>
      </w:r>
    </w:p>
    <w:p>
      <w:pPr>
        <w:spacing w:after="0" w:line="167" w:lineRule="exact"/>
        <w:rPr>
          <w:sz w:val="20"/>
          <w:szCs w:val="20"/>
          <w:color w:val="auto"/>
        </w:rPr>
      </w:pPr>
    </w:p>
    <w:p>
      <w:pPr>
        <w:ind w:right="60" w:firstLine="351"/>
        <w:spacing w:after="0" w:line="305" w:lineRule="auto"/>
        <w:rPr>
          <w:sz w:val="20"/>
          <w:szCs w:val="20"/>
          <w:color w:val="auto"/>
        </w:rPr>
      </w:pPr>
      <w:r>
        <w:rPr>
          <w:rFonts w:ascii="Arial" w:cs="Arial" w:eastAsia="Arial" w:hAnsi="Arial"/>
          <w:sz w:val="15"/>
          <w:szCs w:val="15"/>
          <w:color w:val="auto"/>
        </w:rPr>
        <w:t>Our revenue decreased by $9.4 million in the three months ended June 30, 2011, compared to the three months ended June 30, 2010. Our revenue decreased by $4.5 million in the six months ended June 30, 2011, compared to the six months ended June 30, 2010. Our gross profit decreased by $8.6 million, to</w:t>
      </w:r>
    </w:p>
    <w:p>
      <w:pPr>
        <w:spacing w:after="0" w:line="253" w:lineRule="auto"/>
        <w:rPr>
          <w:sz w:val="20"/>
          <w:szCs w:val="20"/>
          <w:color w:val="auto"/>
        </w:rPr>
      </w:pPr>
      <w:r>
        <w:rPr>
          <w:rFonts w:ascii="Arial" w:cs="Arial" w:eastAsia="Arial" w:hAnsi="Arial"/>
          <w:sz w:val="18"/>
          <w:szCs w:val="18"/>
          <w:color w:val="auto"/>
        </w:rPr>
        <w:t>$29.9 million, in the three months ended June 30, 2011, compared to the three months ended June 30, 2010, primarily attributable to lower revenue in the current year period. Our gross profit decreased by $20.1 million, to $56.6 million, in the six months ended June 30, 2011, compared to the six months ended June 30, 2010, primarily attributable to higher third-party costs for a low-margin multi-year project we completed in the three months ended March 31, 2011, coupled with lower revenue in the current year. Although our gross margins in the three and six months ended June 30, 2011 were lower than our historical trends, we do not expect this lower-margin trend to continue in the future.</w:t>
      </w:r>
    </w:p>
    <w:p>
      <w:pPr>
        <w:spacing w:after="0" w:line="19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Operating expenses were $36.7 million in the three months ended June 30, 2011 and $38.5 million in the three months ended June 30, 2010. Operating expenses were $74.8 million in the six months ended June 30, 2011 and $77.1 million in the six months ended June 30, 2010. The decrease in the current year compared to the same prior year period is primarily attributable to lower general and administrative expenses, partially offset by higher sales and marketing and research and development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211"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For a complete discussion of our critical accounting policies and estimates, please refer to our Annual Report on Form 10-K for the fiscal year ended December 31, 2010, which was filed with the U.S. Securities and Exchange Commission on March 10, 2011. There were no significant changes to our critical accounting policies from December 31, 2010 through June 30, 2011 with the exception of the additions below resulting from our adoption, effective January 1, 2011, of Accounting Standards Codification ("ASC") 605-25, as amended by Accounting Standards Update ("ASU") No. 2009-14, </w:t>
      </w:r>
      <w:r>
        <w:rPr>
          <w:rFonts w:ascii="Arial" w:cs="Arial" w:eastAsia="Arial" w:hAnsi="Arial"/>
          <w:sz w:val="16"/>
          <w:szCs w:val="16"/>
          <w:i w:val="1"/>
          <w:iCs w:val="1"/>
          <w:color w:val="auto"/>
        </w:rPr>
        <w:t>Software (Topic 985):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Arrangements That Include Software Elements </w:t>
      </w:r>
      <w:r>
        <w:rPr>
          <w:rFonts w:ascii="Arial" w:cs="Arial" w:eastAsia="Arial" w:hAnsi="Arial"/>
          <w:sz w:val="16"/>
          <w:szCs w:val="16"/>
          <w:color w:val="auto"/>
        </w:rPr>
        <w:t>("ASU 2009-14") and ASU No. 2009-13,</w:t>
      </w:r>
      <w:r>
        <w:rPr>
          <w:rFonts w:ascii="Arial" w:cs="Arial" w:eastAsia="Arial" w:hAnsi="Arial"/>
          <w:sz w:val="16"/>
          <w:szCs w:val="16"/>
          <w:i w:val="1"/>
          <w:iCs w:val="1"/>
          <w:color w:val="auto"/>
        </w:rPr>
        <w:t xml:space="preserve"> Revenue Recognition (Topic 605): Multiple-Deliverable Revenue Arrangements </w:t>
      </w:r>
      <w:r>
        <w:rPr>
          <w:rFonts w:ascii="Arial" w:cs="Arial" w:eastAsia="Arial" w:hAnsi="Arial"/>
          <w:sz w:val="16"/>
          <w:szCs w:val="16"/>
          <w:color w:val="auto"/>
        </w:rPr>
        <w:t>("ASU 2009-13") for new and materially modified arrangements originating on or after January 1, 2011.</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recognize revenue from product sales when persuasive evidence of an arrangement exists, delivery has occurred, the sale price is fixed or determinable, and collectibility of the related receivable is probable. When we have future obligations, including a requirement to deliver additional elements that are essential to the functionality of the delivered elements or when customer acceptance is required, we defer revenue recognition and related costs until those obligations are satisfied. Likewise, when fees for products or services are not fixed and determinable, we defer the recording of receivables, deferred revenue and revenue until such time as the fees become due or are collected. The ordering patterns and sales lead times associated with customer orders may vary significantly from period to period. We limit the amount of revenue recognition for delivered elements to the amount that is not contingent on the future delivery of products or services, future performance obligations, or subject to customer-specific return or refund privileges.</w:t>
      </w:r>
    </w:p>
    <w:p>
      <w:pPr>
        <w:spacing w:after="0" w:line="172"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Revenue from maintenance and support services is generally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currently sell the majority of our products directly to our end customers. For products sold to resellers and distributors that we determine to be sufficiently capitalized tier one partners or for those customers with whom we have sufficient history regarding the potential for product returns or refunds or any form of concession, we recognize revenue on a sell-in basis. For all other resellers and distributors, we recognize revenue on a sell-through basis.</w:t>
      </w:r>
    </w:p>
    <w:p>
      <w:pPr>
        <w:spacing w:after="0" w:line="16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products typically have both software and non-software components that function together to deliver the products' essential functionality. Many of our sales involve multiple-element arrangements that include both software and hardware-related products, maintenance and various professional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services. Effective January 1, 2011, we prospectively adopted the provisions of ASU 2009-14 and ASU 2009-13 for new and materially modified arrangements originating on or after January 1, 2011. ASU 2009-14 amends industry-specific revenue accounting guidance for software and software-related transactions to exclude from its scope tangible products containing software components and non-software components that function together to deliver the product's essential functionality. All stand-alone software components will continue to be accounted for under the software revenue recognition guidance in ASC 985-605, </w:t>
      </w:r>
      <w:r>
        <w:rPr>
          <w:rFonts w:ascii="Arial" w:cs="Arial" w:eastAsia="Arial" w:hAnsi="Arial"/>
          <w:sz w:val="18"/>
          <w:szCs w:val="18"/>
          <w:i w:val="1"/>
          <w:iCs w:val="1"/>
          <w:color w:val="auto"/>
        </w:rPr>
        <w:t>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("ASC 985-605").</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multiple element revenue guidance requires that we evaluate each deliverable in an arrangement to determine whether such deliverable would represent a separate unit of accounting. The delivered item constitutes a separate unit of accounting when it has stand-alone value and there are no customer-negotiated refunds or return rights for the delivered elements. If the arrangement includes a customer-negotiated refund or return right relative to the delivered item and the delivery and performance of the undelivered item are considered probable and substantially in our control, the delivered element constitutes a separate unit of accounting. Most of our products and services qualify as separate units of accounting and revenue is recognized when the applicable revenue recognition criteria are met.</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For transactions entered into prior to January 1, 2011, we recognize revenue in accordance with ASC 985-605. Revenue for any undelivered elements that are considered not essential to the functionality of the product and for which vendor-specific objective evidence of fair value ("VSOE") has been established are deferred based on the VSOE value, and any remaining arrangement fee is then allocated to and recognized as revenue utilizing the revenue method.. If we can not establish VSOE for each undelivered element, including specified upgrades, we defer all revenue on the entire arrangement until VSOE exists for the remaining undelivered elements or all elements are delivered, provided that all other revenue recognition criteria have been met.</w:t>
      </w:r>
    </w:p>
    <w:p>
      <w:pPr>
        <w:spacing w:after="0" w:line="170"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For transactions entered into subsequent to the adoption of ASU 2009-13 that include multiple elements, arrangement consideration is allocated to each element based on the relative selling prices of all of the elements in the arrangement using the fair value hierarchy as required by ASU 2009-13, as discussed below.</w:t>
      </w:r>
    </w:p>
    <w:p>
      <w:pPr>
        <w:spacing w:after="0" w:line="19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have historically maintained VSOE for our maintenance and support services and certain professional services based upon stand-alone service engagements and through the renewal of maintenance contracts. If VSOE exists, it will be used to determine the selling price of a deliverable. We have historically not been able to establish VSOE of any of our products and for certain services because we do not sell them on a stand alone basis, the pricing of the products or services is not within a narrow range, or we have limited sales history.</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typically not able to determine third-party evidence ("TPE") to support fair value for our products or services. TPE is determined based on competitor prices for similar elements when sold separately. Generally, our solutions typically differ from those of our peers as there are no similar or interchangeable competitor products or services due to a significant level of customization and differentiation, and therefore, comparables cannot be obtained.</w:t>
      </w:r>
    </w:p>
    <w:p>
      <w:pPr>
        <w:spacing w:after="0" w:line="16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When we are unable to establish selling price using VSOE or TPE, we use estimated selling price ("ESP") in our allocation of arrangement consideration for the relevant deliverables. The objective of ESP is to determine the price at which we would transact a sale if a product or service was sold on a stand-alone basis. We determine ESP for our products and certain services by considering multiple factors including, but not limited to, overall market conditions, including geographic or regional-specific market factors, profit objectives and pricing practices for such deliverables. We will regularly review VSOE, TPE and ESP and maintain internal controls over the establishment and updates of these estimates.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2011 and 2010</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and six months ended June 30, 2011 and 2010 was as follows (in thousands, except percentages):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61"/>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Three months ended June 30,</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14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188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w:t>
            </w:r>
          </w:p>
        </w:tc>
        <w:tc>
          <w:tcPr>
            <w:tcW w:w="14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29,446</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36,796</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(7,350)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(2,059)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4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(9,409)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2"/>
              </w:rPr>
              <w:t>Increase (decrease)</w:t>
            </w:r>
          </w:p>
        </w:tc>
        <w:tc>
          <w:tcPr>
            <w:tcW w:w="0" w:type="dxa"/>
            <w:vAlign w:val="bottom"/>
          </w:tcPr>
          <w:p>
            <w:pPr>
              <w:spacing w:after="0"/>
              <w:rPr>
                <w:sz w:val="1"/>
                <w:szCs w:val="1"/>
                <w:color w:val="auto"/>
              </w:rPr>
            </w:pPr>
          </w:p>
        </w:tc>
      </w:tr>
      <w:tr>
        <w:trPr>
          <w:trHeight w:val="161"/>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8"/>
              </w:rPr>
              <w:t>from prior year</w:t>
            </w:r>
          </w:p>
        </w:tc>
        <w:tc>
          <w:tcPr>
            <w:tcW w:w="0" w:type="dxa"/>
            <w:vAlign w:val="bottom"/>
          </w:tcPr>
          <w:p>
            <w:pPr>
              <w:spacing w:after="0"/>
              <w:rPr>
                <w:sz w:val="1"/>
                <w:szCs w:val="1"/>
                <w:color w:val="auto"/>
              </w:rPr>
            </w:pPr>
          </w:p>
        </w:tc>
      </w:tr>
      <w:tr>
        <w:trPr>
          <w:trHeight w:val="142"/>
        </w:trPr>
        <w:tc>
          <w:tcPr>
            <w:tcW w:w="188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73,074</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3,157</w:t>
            </w:r>
          </w:p>
        </w:tc>
        <w:tc>
          <w:tcPr>
            <w:tcW w:w="2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4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119,071</w:t>
            </w:r>
          </w:p>
        </w:tc>
        <w:tc>
          <w:tcPr>
            <w:tcW w:w="340" w:type="dxa"/>
            <w:vAlign w:val="bottom"/>
            <w:tcBorders>
              <w:left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123,589</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Product revenue is comprised of sales of our voice infrastructure products. The products typically incorporated into our trunking and access solutions include our GSX9000 and GSX4000 Open Services Switches and our ASX Call Feature Server. The products typically incorporated into our session border control ("SBC") solutions include our NBS9000 and NBS5200 Network Border Switches. Certain of our products may be incorporated into either our trunking and access solutions or our SBC solutions; these products include, but are not limited to, our PSX Policy &amp; Routing Server, SGX Signaling Gateway, ASX Call Feature Server, IMX Service Delivery Platform, Sonus Insight Management System, ASX Access Gateway Control Function, and our network analytical suite of products.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revenue for the three and six months ended June 30, 2011 and 2010 was comprised of the following (in thousands, except percentages):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220"/>
              <w:spacing w:after="0"/>
              <w:rPr>
                <w:sz w:val="20"/>
                <w:szCs w:val="20"/>
                <w:color w:val="auto"/>
              </w:rPr>
            </w:pPr>
            <w:r>
              <w:rPr>
                <w:rFonts w:ascii="Arial" w:cs="Arial" w:eastAsia="Arial" w:hAnsi="Arial"/>
                <w:sz w:val="14"/>
                <w:szCs w:val="14"/>
                <w:b w:val="1"/>
                <w:bCs w:val="1"/>
                <w:color w:val="auto"/>
                <w:w w:val="83"/>
              </w:rPr>
              <w:t>(Decrease)</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w w:val="94"/>
              </w:rPr>
              <w:t>Three months ended June 30,</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80" w:type="dxa"/>
            <w:vAlign w:val="bottom"/>
            <w:gridSpan w:val="6"/>
          </w:tcPr>
          <w:p>
            <w:pPr>
              <w:ind w:left="8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Trunking and access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21,717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27,384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(5,667)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SBC</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(1,683)</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Total product revenue</w:t>
            </w:r>
          </w:p>
        </w:tc>
        <w:tc>
          <w:tcPr>
            <w:tcW w:w="1660" w:type="dxa"/>
            <w:vAlign w:val="bottom"/>
            <w:gridSpan w:val="2"/>
            <w:shd w:val="clear" w:color="auto" w:fill="CCEEFF"/>
          </w:tcPr>
          <w:p>
            <w:pPr>
              <w:jc w:val="center"/>
              <w:ind w:left="129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29,446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(7,350)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gridSpan w:val="2"/>
          </w:tcPr>
          <w:p>
            <w:pPr>
              <w:jc w:val="center"/>
              <w:ind w:left="1312"/>
              <w:spacing w:after="0"/>
              <w:rPr>
                <w:sz w:val="20"/>
                <w:szCs w:val="20"/>
                <w:color w:val="auto"/>
              </w:rPr>
            </w:pPr>
            <w:r>
              <w:rPr>
                <w:rFonts w:ascii="Arial" w:cs="Arial" w:eastAsia="Arial" w:hAnsi="Arial"/>
                <w:sz w:val="18"/>
                <w:szCs w:val="18"/>
                <w:color w:val="auto"/>
                <w:w w:val="89"/>
              </w:rPr>
              <w:t>30</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220"/>
              <w:spacing w:after="0"/>
              <w:rPr>
                <w:sz w:val="20"/>
                <w:szCs w:val="20"/>
                <w:color w:val="auto"/>
              </w:rPr>
            </w:pPr>
            <w:r>
              <w:rPr>
                <w:rFonts w:ascii="Arial" w:cs="Arial" w:eastAsia="Arial" w:hAnsi="Arial"/>
                <w:sz w:val="14"/>
                <w:szCs w:val="14"/>
                <w:b w:val="1"/>
                <w:bCs w:val="1"/>
                <w:color w:val="auto"/>
                <w:w w:val="80"/>
              </w:rPr>
              <w:t>(Decrease)</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Six months ended June 30,</w:t>
            </w: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17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9"/>
              </w:rPr>
              <w:t>Trunking and access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55,396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60,526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(5,130)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SBC</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10,003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12,548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(2,545)</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Total product revenue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65,399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73,074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(7,675)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recognized $24.4 million of product revenue from a multi-year project for Bahamas Telecommunications Company Ltd. ("Bahamas Telecom") that was completed and for which all revenue recognition criteria were met in the first quarter of fiscal 2011. Bahamas Telecom was our only new customer for both product and service revenue in the six months ended June 30, 2011. We recognized $0.5 million of product revenue in the aggregate from two new customers in the three months ended June 30, 2010 and $15.8 million of revenue in the aggregate from eight new customers in the six months ended June 30, 2010. New customers are those from whom we recognize revenue for the first time, although we may have had outstanding orders from such customers for several years, especially for multi-year projects. The timing of the completion of customer projects, revenue recognition criteria satisfaction and customer payments included in multiple element arrangements may cause our product revenue to fluctuate from one quarter to the next.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our product revenue in fiscal 2011 will increase from 2010 levels.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Service revenue is primarily comprised of hardware and software maintenance and support ("maintenance revenue") and network design, installation and other professional services ("professional services revenue").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Service revenue for the three and six months ended June 30, 2011 and 2010 was comprised of the following (in thousands, except percentages):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220"/>
              <w:spacing w:after="0"/>
              <w:rPr>
                <w:sz w:val="20"/>
                <w:szCs w:val="20"/>
                <w:color w:val="auto"/>
              </w:rPr>
            </w:pPr>
            <w:r>
              <w:rPr>
                <w:rFonts w:ascii="Arial" w:cs="Arial" w:eastAsia="Arial" w:hAnsi="Arial"/>
                <w:sz w:val="14"/>
                <w:szCs w:val="14"/>
                <w:b w:val="1"/>
                <w:bCs w:val="1"/>
                <w:color w:val="auto"/>
                <w:w w:val="83"/>
              </w:rPr>
              <w:t>(Decrease)</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Three months ended June 30,</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6"/>
              </w:rPr>
              <w:t>from prior year</w:t>
            </w:r>
          </w:p>
        </w:tc>
        <w:tc>
          <w:tcPr>
            <w:tcW w:w="0" w:type="dxa"/>
            <w:vAlign w:val="bottom"/>
          </w:tcPr>
          <w:p>
            <w:pPr>
              <w:spacing w:after="0"/>
              <w:rPr>
                <w:sz w:val="1"/>
                <w:szCs w:val="1"/>
                <w:color w:val="auto"/>
              </w:rPr>
            </w:pPr>
          </w:p>
        </w:tc>
      </w:tr>
      <w:tr>
        <w:trPr>
          <w:trHeight w:val="142"/>
        </w:trPr>
        <w:tc>
          <w:tcPr>
            <w:tcW w:w="188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0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2"/>
              </w:rPr>
              <w:t>18,789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6"/>
              </w:rPr>
              <w:t>19,171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w w:val="70"/>
              </w:rPr>
              <w:t>3,537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75"/>
              </w:rPr>
              <w:t>5,214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(1,677)</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service 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2"/>
              </w:rPr>
              <w:t>22,326</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6"/>
              </w:rPr>
              <w:t>24,385</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(2,059)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center"/>
              <w:ind w:left="83"/>
              <w:spacing w:after="0"/>
              <w:rPr>
                <w:sz w:val="20"/>
                <w:szCs w:val="20"/>
                <w:color w:val="auto"/>
              </w:rPr>
            </w:pPr>
            <w:r>
              <w:rPr>
                <w:rFonts w:ascii="Arial" w:cs="Arial" w:eastAsia="Arial" w:hAnsi="Arial"/>
                <w:sz w:val="14"/>
                <w:szCs w:val="14"/>
                <w:b w:val="1"/>
                <w:bCs w:val="1"/>
                <w:color w:val="auto"/>
                <w:w w:val="84"/>
              </w:rPr>
              <w:t>Increase</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left="63"/>
              <w:spacing w:after="0" w:line="149" w:lineRule="exact"/>
              <w:rPr>
                <w:sz w:val="20"/>
                <w:szCs w:val="20"/>
                <w:color w:val="auto"/>
              </w:rPr>
            </w:pPr>
            <w:r>
              <w:rPr>
                <w:rFonts w:ascii="Arial" w:cs="Arial" w:eastAsia="Arial" w:hAnsi="Arial"/>
                <w:sz w:val="14"/>
                <w:szCs w:val="14"/>
                <w:b w:val="1"/>
                <w:bCs w:val="1"/>
                <w:color w:val="auto"/>
                <w:w w:val="82"/>
              </w:rPr>
              <w:t>(decrease)</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0"/>
              </w:rPr>
              <w:t>from prior year</w:t>
            </w:r>
          </w:p>
        </w:tc>
        <w:tc>
          <w:tcPr>
            <w:tcW w:w="0" w:type="dxa"/>
            <w:vAlign w:val="bottom"/>
          </w:tcPr>
          <w:p>
            <w:pPr>
              <w:spacing w:after="0"/>
              <w:rPr>
                <w:sz w:val="1"/>
                <w:szCs w:val="1"/>
                <w:color w:val="auto"/>
              </w:rPr>
            </w:pPr>
          </w:p>
        </w:tc>
      </w:tr>
      <w:tr>
        <w:trPr>
          <w:trHeight w:val="142"/>
        </w:trPr>
        <w:tc>
          <w:tcPr>
            <w:tcW w:w="188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2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8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37,710</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38,609</w:t>
            </w:r>
          </w:p>
        </w:tc>
        <w:tc>
          <w:tcPr>
            <w:tcW w:w="340" w:type="dxa"/>
            <w:vAlign w:val="bottom"/>
            <w:tcBorders>
              <w:lef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79"/>
              </w:rPr>
              <w:t>15,962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79"/>
              </w:rPr>
              <w:t>11,906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service revenue</w:t>
            </w:r>
          </w:p>
        </w:tc>
        <w:tc>
          <w:tcPr>
            <w:tcW w:w="16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53,672</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50,515</w:t>
            </w:r>
          </w:p>
        </w:tc>
        <w:tc>
          <w:tcPr>
            <w:tcW w:w="340" w:type="dxa"/>
            <w:vAlign w:val="bottom"/>
            <w:tcBorders>
              <w:lef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decrease in service revenue in the three months ended June 30, 2011 compared to the three months ended June 30, 2010 is attributable to $0.4 million of lower maintenance revenue and $1.7 million of lower professional services revenue. The increase in service revenue in the six months ended June 30, 2011 compared to the six months ended June 30, 2010 is primarily attributable to $11.5 million of revenue from the completion of the Bahamas Telecom project described above, comprised of $1.2 million of maintenance revenue and $10.3 million of professional services revenue. This increase was partially offset by $2.1 million of lower maintenance revenue and $6.2 million of lower professional services revenue from other customers. The timing of the completion of projects for revenue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recognition, customer payments and maintenance contracts may cause our services revenue to fluctuate from one quarter to the next.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fiscal 2011 revenue will range between $265 million and $285 million.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adoption, effective January 1, 2011, of ASU 2009-13 and ASU 2009-14 was material to our financial results, increasing product revenue by $6.3 million for the three months ended June 30, 2011 and $8.8 million for the six months ended June 30, 2011, compared to what would have been recognized had we continued to apply the guidance set forth in ASC 985-605 to all arrangements in the current year. The adoption of ASU 2009-13 and ASU 2009-14 did not have a material effect on the amount of timing of service revenue recognized during the three or six month periods ended June 30, 2011.</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expect the adoption of ASU 2009-13 and ASU 2009-14 may be material to future periods; however, we cannot reasonably estimate the effect of adopting these standards on future financial periods as the impact will vary depending on the nature and volume of new or materially modified arrangements in any given period.</w:t>
      </w:r>
    </w:p>
    <w:p>
      <w:pPr>
        <w:spacing w:after="0" w:line="194"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Qwest Communications International, Inc. contributed approximately 13% and AT&amp;T, Inc. ("AT&amp;T") contributed approximately 12% of our revenue in the three months ended June 30, 2011. Bahamas Telecom contributed approximately 30% of our revenue in the six months ended June 30, 2011. AT&amp;T contributed approximately 14% of our revenue in both the three and six month periods ended June 30, 2010. There were no other customers that contributed 10% or more of our revenue in the three or six months ended June 30, 2011 or 2010.</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International revenue was approximately 22% of our revenue in the three months ended June 30, 2011 and approximately 32% of our revenue in the three months ended June 30, 2010. International revenue was approximately 45% of our revenue in the six months ended June 30, 2011 and approximately 37% of our revenue in the six months ended June 30, 2010. Due to the uneven ordering patterns of customers and the timing of project completions, we expect that the domestic and international components as a percentage of our revenue will fluctuate from quarter to quarter and year to year.</w:t>
      </w:r>
    </w:p>
    <w:p>
      <w:pPr>
        <w:spacing w:after="0" w:line="167"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Our deferred product revenue was $23.5 million at June 30, 2011 and $39.8 million at December 31, 2010. Our deferred service revenue was $36.5 million at June 30, 2011 and $45.8 million at December 31, 2010. Our deferred revenue balance may fluctuate as a result of the timing of revenue recognition, customer payments, maintenance contract renewals, contractual billing rights and maintenance revenue deferrals included in multiple element arrangements.</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Cost of Revenue/Gross Profit. </w:t>
      </w:r>
      <w:r>
        <w:rPr>
          <w:rFonts w:ascii="Arial" w:cs="Arial" w:eastAsia="Arial" w:hAnsi="Arial"/>
          <w:sz w:val="16"/>
          <w:szCs w:val="16"/>
          <w:color w:val="auto"/>
        </w:rPr>
        <w:t>Our cost of revenue consists primarily of amounts paid to third-party manufacturers for purchased materials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royalties, manufacturing and professional services personnel and related costs, and provision for inventory obsolescence. Our cost of revenue and gross profit as a percentage of revenue ("gross margin") for the three and six months ended June 30, 2011 and 2010 were as follows (in thousands,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left="124"/>
              <w:spacing w:after="0"/>
              <w:rPr>
                <w:sz w:val="20"/>
                <w:szCs w:val="20"/>
                <w:color w:val="auto"/>
              </w:rPr>
            </w:pPr>
            <w:r>
              <w:rPr>
                <w:rFonts w:ascii="Arial" w:cs="Arial" w:eastAsia="Arial" w:hAnsi="Arial"/>
                <w:sz w:val="14"/>
                <w:szCs w:val="14"/>
                <w:b w:val="1"/>
                <w:bCs w:val="1"/>
                <w:color w:val="auto"/>
                <w:w w:val="84"/>
              </w:rPr>
              <w:t>Increase</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left="144"/>
              <w:spacing w:after="0" w:line="149" w:lineRule="exact"/>
              <w:rPr>
                <w:sz w:val="20"/>
                <w:szCs w:val="20"/>
                <w:color w:val="auto"/>
              </w:rPr>
            </w:pPr>
            <w:r>
              <w:rPr>
                <w:rFonts w:ascii="Arial" w:cs="Arial" w:eastAsia="Arial" w:hAnsi="Arial"/>
                <w:sz w:val="14"/>
                <w:szCs w:val="14"/>
                <w:b w:val="1"/>
                <w:bCs w:val="1"/>
                <w:color w:val="auto"/>
                <w:w w:val="82"/>
              </w:rPr>
              <w:t>(decrease)</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8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w w:val="94"/>
              </w:rPr>
              <w:t>Three months ended June 30,</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80" w:type="dxa"/>
            <w:vAlign w:val="bottom"/>
            <w:gridSpan w:val="6"/>
          </w:tcPr>
          <w:p>
            <w:pPr>
              <w:jc w:val="center"/>
              <w:ind w:right="2820"/>
              <w:spacing w:after="0"/>
              <w:rPr>
                <w:sz w:val="20"/>
                <w:szCs w:val="20"/>
                <w:color w:val="auto"/>
              </w:rPr>
            </w:pPr>
            <w:r>
              <w:rPr>
                <w:rFonts w:ascii="Arial" w:cs="Arial" w:eastAsia="Arial" w:hAnsi="Arial"/>
                <w:sz w:val="14"/>
                <w:szCs w:val="14"/>
                <w:b w:val="1"/>
                <w:bCs w:val="1"/>
                <w:color w:val="auto"/>
                <w:w w:val="90"/>
              </w:rPr>
              <w:t>from prior year</w:t>
            </w: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Product</w:t>
            </w:r>
          </w:p>
        </w:tc>
        <w:tc>
          <w:tcPr>
            <w:tcW w:w="1660" w:type="dxa"/>
            <w:vAlign w:val="bottom"/>
            <w:gridSpan w:val="2"/>
          </w:tcPr>
          <w:p>
            <w:pPr>
              <w:jc w:val="center"/>
              <w:ind w:left="129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9,618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10,826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(1,208)</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80" w:type="dxa"/>
            <w:vAlign w:val="bottom"/>
            <w:vMerge w:val="restart"/>
          </w:tcPr>
          <w:p>
            <w:pPr>
              <w:ind w:left="260"/>
              <w:spacing w:after="0"/>
              <w:rPr>
                <w:sz w:val="20"/>
                <w:szCs w:val="20"/>
                <w:color w:val="auto"/>
              </w:rPr>
            </w:pPr>
            <w:r>
              <w:rPr>
                <w:rFonts w:ascii="Arial" w:cs="Arial" w:eastAsia="Arial" w:hAnsi="Arial"/>
                <w:sz w:val="18"/>
                <w:szCs w:val="18"/>
                <w:color w:val="auto"/>
                <w:w w:val="95"/>
              </w:rPr>
              <w:t>Total cost of revenue</w:t>
            </w:r>
          </w:p>
        </w:tc>
        <w:tc>
          <w:tcPr>
            <w:tcW w:w="16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(3.7)%</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21,836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22,668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tcPr>
          <w:p>
            <w:pPr>
              <w:spacing w:after="0"/>
              <w:rPr>
                <w:sz w:val="17"/>
                <w:szCs w:val="17"/>
                <w:color w:val="auto"/>
              </w:rPr>
            </w:pPr>
          </w:p>
        </w:tc>
        <w:tc>
          <w:tcPr>
            <w:tcW w:w="1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88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gridSpan w:val="2"/>
          </w:tcPr>
          <w:p>
            <w:pPr>
              <w:jc w:val="center"/>
              <w:ind w:left="1312"/>
              <w:spacing w:after="0"/>
              <w:rPr>
                <w:sz w:val="20"/>
                <w:szCs w:val="20"/>
                <w:color w:val="auto"/>
              </w:rPr>
            </w:pPr>
            <w:r>
              <w:rPr>
                <w:rFonts w:ascii="Arial" w:cs="Arial" w:eastAsia="Arial" w:hAnsi="Arial"/>
                <w:sz w:val="18"/>
                <w:szCs w:val="18"/>
                <w:color w:val="auto"/>
                <w:w w:val="89"/>
              </w:rPr>
              <w:t>32</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left="122"/>
              <w:spacing w:after="0"/>
              <w:rPr>
                <w:sz w:val="20"/>
                <w:szCs w:val="20"/>
                <w:color w:val="auto"/>
              </w:rPr>
            </w:pPr>
            <w:r>
              <w:rPr>
                <w:rFonts w:ascii="Arial" w:cs="Arial" w:eastAsia="Arial" w:hAnsi="Arial"/>
                <w:sz w:val="14"/>
                <w:szCs w:val="14"/>
                <w:b w:val="1"/>
                <w:bCs w:val="1"/>
                <w:color w:val="auto"/>
                <w:w w:val="84"/>
              </w:rPr>
              <w:t>Increase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from prior year</w:t>
            </w:r>
          </w:p>
        </w:tc>
        <w:tc>
          <w:tcPr>
            <w:tcW w:w="0" w:type="dxa"/>
            <w:vAlign w:val="bottom"/>
          </w:tcPr>
          <w:p>
            <w:pPr>
              <w:spacing w:after="0"/>
              <w:rPr>
                <w:sz w:val="1"/>
                <w:szCs w:val="1"/>
                <w:color w:val="auto"/>
              </w:rPr>
            </w:pPr>
          </w:p>
        </w:tc>
      </w:tr>
      <w:tr>
        <w:trPr>
          <w:trHeight w:val="142"/>
        </w:trPr>
        <w:tc>
          <w:tcPr>
            <w:tcW w:w="35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Product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32,779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23,127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0"/>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29,731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23,771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8"/>
                <w:szCs w:val="18"/>
                <w:color w:val="auto"/>
                <w:w w:val="90"/>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62,510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3"/>
              </w:rPr>
              <w:t>46,898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15,612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40"/>
        </w:trPr>
        <w:tc>
          <w:tcPr>
            <w:tcW w:w="3560" w:type="dxa"/>
            <w:vAlign w:val="bottom"/>
            <w:tcBorders>
              <w:bottom w:val="single" w:sz="8" w:color="CCEEFF"/>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r>
      <w:tr>
        <w:trPr>
          <w:trHeight w:val="197"/>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Product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2"/>
        </w:trPr>
        <w:tc>
          <w:tcPr>
            <w:tcW w:w="356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decrease in product gross margin in the three months ended June 30, 2011 compared to the three months ended June 30, 2010 was primarily due to product and customer mix, which reduced our gross margin by approximately four percentage points, partially offset by lower manufacturing-related costs, which increased our gross margin by approximately one half of one percentage point. The decrease in product gross margin in the six months ended June 30, 2011 compared to the six months ended June 30, 2011 was primarily due to the lower gross margin realized on the Bahamas Telecom project described above. The lower gross margin realized on the Bahamas Telecom project was primarily due to the high level of third-party products incorporated into this project. These higher third-party costs decreased our product gross margin by approximately 20 percentage points. This reduction was partially offset by lower manufacturing-related costs, which increased our gross margin by approximately one percentage point.</w:t>
      </w:r>
    </w:p>
    <w:p>
      <w:pPr>
        <w:spacing w:after="0" w:line="172"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decrease in service gross margin in the three months ended June 30, 2011 compared to the three months ended June 30, 2010 was primarily attributable to higher costs within the service organization, which reduced our service gross margin by approximately six percentage points. The decrease in service gross margin in the six months ended June 30, 2011 compared to the six months ended June 30, 2010 is primarily attributable to higher third-party costs, principally related to the Bahamas Telecom project, which decreased our service gross margin by approximately nine percentage points, partially offset by lower manufacturing-related costs, which increased our gross margin by approximately one-half of one percentage point. Our service cost of revenue is relatively fixed in advance of any particular quarter and therefore, changes in service revenue will typically have a significant impact on service gross margins.</w:t>
      </w:r>
    </w:p>
    <w:p>
      <w:pPr>
        <w:spacing w:after="0" w:line="174"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currently believe that our gross margin over time will remain within our long-term financial model of 58% to 62%. Although our gross margins in the three and six months ended June 30, 2011 were lower than our historical trends, we do not expect this lower-margin trend to continue in the future.</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three and six months ended June 30, 2011 and 2010 were as follows (in thousands, except percentages):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240"/>
              <w:spacing w:after="0"/>
              <w:rPr>
                <w:sz w:val="20"/>
                <w:szCs w:val="20"/>
                <w:color w:val="auto"/>
              </w:rPr>
            </w:pPr>
            <w:r>
              <w:rPr>
                <w:rFonts w:ascii="Arial" w:cs="Arial" w:eastAsia="Arial" w:hAnsi="Arial"/>
                <w:sz w:val="14"/>
                <w:szCs w:val="14"/>
                <w:b w:val="1"/>
                <w:bCs w:val="1"/>
                <w:color w:val="auto"/>
                <w:w w:val="87"/>
              </w:rPr>
              <w:t>Increase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15,187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15,106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Six months ended June 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30,795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30,046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increase in research and development expenses in the three months ended June 30, 2011 compared to the three months ended June 30, 2010 is primarily attributable to $0.8 million of higher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expense related to product development (third-party development, prototype and test equipment costs) for both our new and existing product offerings, partially offset by $0.7 million of lower employee-related expenses. The increase in research and development expenses in the six months ended June 30, 2011 compared to the six months ended June 30, 2010 is primarily attributable to $0.5 million of higher expense related to product development (third-party development, prototype and test equipment costs) and $0.4 million of higher facilities-related expenses, partially offset by $0.2 million of lower employee-related expenses. Our higher facilities costs in the six months ended June 30, 2011 compared to June 30, 2010 primarily relate to the activities associated with the consolidation of our facilities in India to a single location.</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2011 will increase from fiscal 2010 levels due to our planned investments in our research and development product portfolio.</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consist primarily of salaries and related personnel costs, commissions, travel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expenses, promotions, customer trial and evaluations inventory and other marketing and sales support expenses. Sales and marketing expenses for the three and six months ended June 30, 2011 and 2010 were as follows (in thousands, except percentages):</w:t>
      </w:r>
    </w:p>
    <w:p>
      <w:pPr>
        <w:spacing w:after="0" w:line="1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240"/>
              <w:spacing w:after="0"/>
              <w:rPr>
                <w:sz w:val="20"/>
                <w:szCs w:val="20"/>
                <w:color w:val="auto"/>
              </w:rPr>
            </w:pPr>
            <w:r>
              <w:rPr>
                <w:rFonts w:ascii="Arial" w:cs="Arial" w:eastAsia="Arial" w:hAnsi="Arial"/>
                <w:sz w:val="14"/>
                <w:szCs w:val="14"/>
                <w:b w:val="1"/>
                <w:bCs w:val="1"/>
                <w:color w:val="auto"/>
                <w:w w:val="91"/>
              </w:rPr>
              <w:t>Increase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13,298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12,392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Six months ended June 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27,595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25,986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increase in sales and marketing expense in the three months ended June 30, 2011 compared to the three months ended June 30, 2010 is attributable to $0.4 million of higher software and equipment costs related primarily to equipment for sales support, $0.2 million of higher marketing-related expenses, $0.1 million of higher expense related to increased product trial and evaluation equipment activity with customers and $0.2 million of net increases in other sales and marketing expenses.</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increase in sales and marketing expense in the six months ended June 30, 2011 compared to the six months ended June 30, 2010 is attributable to increases of $0.5 million in software and equipment costs related primarily to equipment for sales support, $0.4 million for product trial and evaluation equipment activity with customers, $0.3 million for marketing-related expenses and $0.4 million for other sales and marketing expenses.</w:t>
      </w:r>
    </w:p>
    <w:p>
      <w:pPr>
        <w:spacing w:after="0" w:line="16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believe that our sales and marketing expenses will increase in fiscal 2011 from fiscal 2010 levels, primarily attributable to higher personnel and related costs.</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and other employee-related costs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administrative personnel, recruiting expenses, allowance for doubtful accounts and professional fees. General and administrative expenses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2011 and 2010 were as follows (in thousands, except percentages):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220"/>
              <w:spacing w:after="0"/>
              <w:rPr>
                <w:sz w:val="20"/>
                <w:szCs w:val="20"/>
                <w:color w:val="auto"/>
              </w:rPr>
            </w:pPr>
            <w:r>
              <w:rPr>
                <w:rFonts w:ascii="Arial" w:cs="Arial" w:eastAsia="Arial" w:hAnsi="Arial"/>
                <w:sz w:val="14"/>
                <w:szCs w:val="14"/>
                <w:b w:val="1"/>
                <w:bCs w:val="1"/>
                <w:color w:val="auto"/>
                <w:w w:val="83"/>
              </w:rPr>
              <w:t>(Decrease)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ind w:left="8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10,971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(2,774)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(25.3)%</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Six months ended June 30,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16,393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21,115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(4,722)</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(22.4)%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decrease in general and administrative expenses in the three months ended June 30, 2011 compared to the three months ended June 30, 2010 is primarily attributable to $2.0 million of lower employee-related expenses and $0.6 million of lower professional fees (legal, audit and consulting fees). The decrease in employee-related expenses is primarily comprised of $1.0 million of lower salary and fringe benefit expenses and $0.8 million of lower stock-based compensation expense.</w:t>
      </w:r>
    </w:p>
    <w:p>
      <w:pPr>
        <w:spacing w:after="0" w:line="197"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decrease in general and administrative expenses in the six months ended June 30, 2011 compared to the six months ended June 30, 2010 is primarily attributable to $2.3 million of lower employee-related expenses, $1.6 million of lower professional fees (legal, audit and consulting fees) and $0.9 million of lower expense related to foreign currency translation. The decrease in employee-related expenses is primarily comprised of $1.0 million of lower salary and fringe benefit expenses and $0.8 million of lower stock-based compensation expense.</w:t>
      </w:r>
    </w:p>
    <w:p>
      <w:pPr>
        <w:spacing w:after="0" w:line="16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believe that our general and administrative expenses will decrease in fiscal 2011 from fiscal 2010 levels, primarily due to lower expected professional fees and personnel-related expenses.</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believe that our total operating expenses (research and development, sales and marketing, and general and administrative expenses) will be in the range of $151 million to $155 million in fiscal 2011.</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consists of interest earned on our cash equivalents, marketable securities and long-term investments. Interest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relates to interest on capital lease obligations. Our interest income, net, decreased $0.1 million in the three months ended June 30, 2011 compared to the three months ended June 30, 2010, primarily attributable to a lower average portfolio yield. Our interest income, net, decreased $0.2 million in the six months ended June 30, 2011 compared to the six months ended June 30, 2010, primarily attributable to a lower average portfolio yield.</w:t>
      </w:r>
    </w:p>
    <w:p>
      <w:pPr>
        <w:spacing w:after="0" w:line="16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provisions for income taxes of $0.9 million for the six months ended June 30, 2011 and $0.3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2010.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provisions for income taxes for the six months ended June 30, 2011 and 2010 represent forecasted tax expense on the earnings of our foreign operations. Our effective tax rate for the six months ended June 30, 2011 was less than the statutory federal and state rates due to the existence of a valuation allowance on our domestic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consolidated statements of cash flows are summarized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Six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(18,342)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(18,519)</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8"/>
                <w:szCs w:val="18"/>
                <w:color w:val="auto"/>
              </w:rPr>
              <w:t>Adjustments to reconcile net income (loss) to cash</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180"/>
              <w:spacing w:after="0"/>
              <w:rPr>
                <w:sz w:val="20"/>
                <w:szCs w:val="20"/>
                <w:color w:val="auto"/>
              </w:rPr>
            </w:pPr>
            <w:r>
              <w:rPr>
                <w:rFonts w:ascii="Arial" w:cs="Arial" w:eastAsia="Arial" w:hAnsi="Arial"/>
                <w:sz w:val="18"/>
                <w:szCs w:val="18"/>
                <w:color w:val="auto"/>
              </w:rPr>
              <w:t>flows provided by (used in) operating activities</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10,091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(25,113)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21,291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2"/>
              </w:rPr>
              <w:t>(35,609)</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56,900</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303</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cash equivalents, marketable securities and long-term investments totaled $388.6 million at June 30, 2011.</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operating activities used $11.3 million in the six months ended June 30, 2011, compared to $13.8 million of cash provided by operating activities in the six months ended June 30, 2010.</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Cash used in operating activities in the six months ended June 30, 2011 was primarily the result of lower deferred revenue, accrued expenses and accounts payable. These amounts were offset by lower accounts receivable, inventory and other operating assets. The reduction in deferred revenue is primarily attributable to a multi-year project for which revenue had been previously deferred. The reduction in accrued expenses primarily related to employee compensation and related costs, including payments made in connection with our Company-wide employee incentive bonus program and payments in 2011 related to the departures in 2010 of our former President and Chief Executive Officer and our former Executive Vice President and Chief Operating Officer. The decrease in accounts receivable primarily reflects payments in the current year. The lower inventory levels are primarily related to the recognition of deferred cost of goods sold in connection with the completion of the previously discussed multi-year project, partially offset by increased inventory levels in anticipation of our transition to a new contract manufacturer.</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Cash provided by operating activities in the six months ended June 30, 2010 was primarily the result of higher accounts payable and lower accounts receivable, partially offset by increases in inventory, both current and noncurrent, and decreases in deferred revenue and accrued expenses. Our accounts payable increase was primarily attributable to purchases of materials in the latter part of the second quarter of fiscal 2010, for which payments were due to the vendors in the third quarter of fiscal 2010. The decrease in accounts receivable was mainly driven by our continued focus on cash collections. The decrease in deferred revenue was primarily the result of the completion of projects for which the revenue had been deferred at December 31, 2009, partially offset by new orders in fiscal 2010 for which revenue recognition criteria had not been met as of June 30, 2010. The decrease in accrued expenses was primarily attributable to payments for previously accrued royalty payments and lower taxes payable.</w:t>
      </w:r>
    </w:p>
    <w:p>
      <w:pPr>
        <w:spacing w:after="0" w:line="172"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color w:val="auto"/>
        </w:rPr>
        <w:t>Our investing activities provided $21.3 million of cash in the six months ended June 30, 2011, comprised of $28.6 million of net maturities of marketable securities, partially offset by $7.3 million of investments in property and equipment. Our investing activities used $35.6 million of cash in the six months ended June 30, 2010, comprised of $29.3 million of net purchases of marketable securities, $4.3 million of investments in property and equipment and $2.0 million to purchase intangible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financing activities provided $0.6 million of cash in the six months ended June 30, 2011, comprised of $0.8 million of proceeds from the sale of our common stock in connection with our Amended and Restated 2000 Employee Stock Purchase Plan ("ESPP"), and $0.8 million of proceeds from the exercise of stock options. These amounts were partially offset by $0.9 million of cash used to pay withholding obligations related to the net share settlement of restricted stock awards upon vesting and $48,000 for payments on our capital leases for office equipment. Our financing activities provided $0.3 million of cash in the six months ended June 30, 2010, including $0.6 million of proceeds from the sale of common stock in connection with our ESPP and $0.1 million from the exercise of stock options. These amounts were partially offset by $0.3 million used to pay withholding obligations related to the net share settlement of restricted stock awards upon vesting and $0.1 million used for payments on our capital leases for office equipment.</w:t>
      </w:r>
    </w:p>
    <w:p>
      <w:pPr>
        <w:spacing w:after="0" w:line="172"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the first quarter of fiscal 2011, we began to use forward currency exchange contracts ("forward contracts") to economically hedge our exposure to forecasted foreign currency denominated operating expenses and transactions in our European and Japanese subsidiaries. These forward contracts were entered into for periods of six months or less, based upon budgeted expenses and specific transactions for the applicable subsidiaries. These forward contracts do not subject our earnings or cash flows to material risk since gains and losses on these forward contracts generally offset losses and gains on the expenses and transactions being hedged. However, changes in currency exchange rates related to any unhedged transaction may impact our earnings and cash flows. There were no forward contracts outstanding at June 30, 2011.</w:t>
      </w:r>
    </w:p>
    <w:p>
      <w:pPr>
        <w:spacing w:after="0" w:line="17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Based on our current expectations, we believe our cash, cash equivalents, marketable securities and long-term investments will be sufficient to meet our anticipated cash needs for working capital and capital expenditures for at least the next 12 months.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and for other general corporate activities, as well as to vigorously defend against existing and potential litigation. See Note 15 to our condensed consolidated financial statements for a description of our legal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 xml:space="preserve">On June 16, 2011, the Financial Accounting Standards Board ("FASB") issued ASU No. 2011-05, </w:t>
      </w:r>
      <w:r>
        <w:rPr>
          <w:rFonts w:ascii="Arial" w:cs="Arial" w:eastAsia="Arial" w:hAnsi="Arial"/>
          <w:sz w:val="15"/>
          <w:szCs w:val="15"/>
          <w:i w:val="1"/>
          <w:iCs w:val="1"/>
          <w:color w:val="auto"/>
        </w:rPr>
        <w:t>Comprehensive Income (Topic 220): Presentation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Comprehensive Income </w:t>
      </w:r>
      <w:r>
        <w:rPr>
          <w:rFonts w:ascii="Arial" w:cs="Arial" w:eastAsia="Arial" w:hAnsi="Arial"/>
          <w:sz w:val="15"/>
          <w:szCs w:val="15"/>
          <w:color w:val="auto"/>
        </w:rPr>
        <w:t>("ASU 2011-05"), which revises the manner in which entities present comprehensive income in their financial statements. The new</w:t>
      </w:r>
      <w:r>
        <w:rPr>
          <w:rFonts w:ascii="Arial" w:cs="Arial" w:eastAsia="Arial" w:hAnsi="Arial"/>
          <w:sz w:val="15"/>
          <w:szCs w:val="15"/>
          <w:i w:val="1"/>
          <w:iCs w:val="1"/>
          <w:color w:val="auto"/>
        </w:rPr>
        <w:t xml:space="preserve"> </w:t>
      </w:r>
      <w:r>
        <w:rPr>
          <w:rFonts w:ascii="Arial" w:cs="Arial" w:eastAsia="Arial" w:hAnsi="Arial"/>
          <w:sz w:val="15"/>
          <w:szCs w:val="15"/>
          <w:color w:val="auto"/>
        </w:rPr>
        <w:t>guidance requires companies to report components of comprehensive income in either: (1) a continuous statement of comprehensive income; or (2) two separate consecutive statements. ASU 2011-05 does not change the items that must be reported in other comprehensive income. ASU 2011-05 will be effective for us in our reporting of the quarter ended March 31, 2012, with early adoption permitted. We are currently assessing the impact on our consolidated financial statements.</w:t>
      </w:r>
    </w:p>
    <w:p>
      <w:pPr>
        <w:spacing w:after="0" w:line="1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On May 12,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IFRSs </w:t>
      </w:r>
      <w:r>
        <w:rPr>
          <w:rFonts w:ascii="Arial" w:cs="Arial" w:eastAsia="Arial" w:hAnsi="Arial"/>
          <w:sz w:val="16"/>
          <w:szCs w:val="16"/>
          <w:color w:val="auto"/>
        </w:rPr>
        <w:t>("ASU 2011-04"), which provides guidance on how (not when) to measure fair value and on what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about fair value measurements. ASU 2011-04 expands previously existing disclosure requirements for fair value measurements, including disclosures regarding transfers between Level 1 and Level 2 in the fair value hierarchy currently disclosed. ASU 2011-04 will be effective for us in the first quarter of fiscal 2012. Some of our disclosures on fair value measurements may change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upon adoption of ASU 2011-04. We are currently assessing the impact, if any, on our consolidated financial statements.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from what was disclosed in our Annual Report on Form 10-K for the fiscal year ended December 31, 2010.</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management, with the participation of 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June 30, 2011.</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(as defined in Rule 13a-15(f) under the Exchange Act) during the fiscal quarter ended June 30, 2011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2010 and Note 14 of this Quarterly Report on Form 10-Q. There were no material developments to these legal proceedings in the three or six months ended June 30, 2011.</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There were no material changes to the risk factors as previously disclosed in our Annual Report on Form 10-K for the year ended December 31, 2010. There were no modifications or supplements to these risk factors in the three or six months ended June 30, 2011.</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have not announced any currently effective authorization to repurchase shares of our common stock. However, upon vesting of restricted stock awards, employees are permitted to return to us a portion of the newly-vested shares to satisfy the tax withholding obligations that arise in connection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with such vesting. The following table summarizes repurchases of our common stock during the second quarter of fiscal 2011, which represent shares returned to satisfy tax withholding obligations: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2011 to April 30,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May 1, 2011 to May 31, 2011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2011 to June 30,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2740" w:type="dxa"/>
            <w:vAlign w:val="bottom"/>
            <w:gridSpan w:val="3"/>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8,334</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Exhibit Number</w:t>
            </w:r>
          </w:p>
        </w:tc>
        <w:tc>
          <w:tcPr>
            <w:tcW w:w="978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w:t>
            </w:r>
          </w:p>
        </w:tc>
        <w:tc>
          <w:tcPr>
            <w:tcW w:w="520" w:type="dxa"/>
            <w:vAlign w:val="bottom"/>
          </w:tcPr>
          <w:p>
            <w:pPr>
              <w:spacing w:after="0"/>
              <w:rPr>
                <w:sz w:val="17"/>
                <w:szCs w:val="17"/>
                <w:color w:val="auto"/>
              </w:rPr>
            </w:pPr>
          </w:p>
        </w:tc>
        <w:tc>
          <w:tcPr>
            <w:tcW w:w="9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Rights Agreement, dated as of June 26, 2008, between Sonus Networks, Inc. and American Stock Transfer &amp; Trust Company, LLC, which</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4"/>
              </w:rPr>
              <w:t>includes as Exhibit A thereto a form of Certificate of Designation for the Series A Junior Participating Preferred Stock, as Exhibit B</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89"/>
              </w:rPr>
              <w:t>thereto the Form of Rights Certificate and as Exhibit C thereto a Summary of Rights to Purchase Shares of Preferred Stock (incorporated</w:t>
            </w:r>
          </w:p>
        </w:tc>
      </w:tr>
      <w:tr>
        <w:trPr>
          <w:trHeight w:val="222"/>
        </w:trPr>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by reference to the Registrant's Current Report on Form 8-K, filed June 27, 2008 with the SEC).</w:t>
            </w:r>
          </w:p>
        </w:tc>
      </w:tr>
      <w:tr>
        <w:trPr>
          <w:trHeight w:val="453"/>
        </w:trPr>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87"/>
              </w:rPr>
              <w:t>Amendment No. 1 dated as of June 10, 2011 to Rights Agreement, dated as of June 26, 2008, between Sonus Networks, Inc. and American</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1"/>
              </w:rPr>
              <w:t>Stock Transfer &amp; Trust Company, LLC (incorporated by reference to the Registrant's Current Report on Form 8-K, filed June 13, 2011</w:t>
            </w:r>
          </w:p>
        </w:tc>
      </w:tr>
      <w:tr>
        <w:trPr>
          <w:trHeight w:val="222"/>
        </w:trPr>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with the SEC).</w:t>
            </w:r>
          </w:p>
        </w:tc>
      </w:tr>
      <w:tr>
        <w:trPr>
          <w:trHeight w:val="459"/>
        </w:trPr>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9780" w:type="dxa"/>
            <w:vAlign w:val="bottom"/>
          </w:tcPr>
          <w:p>
            <w:pPr>
              <w:spacing w:after="0"/>
              <w:rPr>
                <w:sz w:val="20"/>
                <w:szCs w:val="20"/>
                <w:color w:val="auto"/>
              </w:rPr>
            </w:pPr>
            <w:r>
              <w:rPr>
                <w:rFonts w:ascii="Arial" w:cs="Arial" w:eastAsia="Arial" w:hAnsi="Arial"/>
                <w:sz w:val="18"/>
                <w:szCs w:val="18"/>
                <w:color w:val="auto"/>
              </w:rPr>
              <w:t>Form of Nonstatutory Stock Option Award Agreement Granted Under the 2007 Stock Incentive Plan, as Amended</w:t>
            </w:r>
          </w:p>
        </w:tc>
      </w:tr>
      <w:tr>
        <w:trPr>
          <w:trHeight w:val="459"/>
        </w:trPr>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9780" w:type="dxa"/>
            <w:vAlign w:val="bottom"/>
          </w:tcPr>
          <w:p>
            <w:pPr>
              <w:spacing w:after="0"/>
              <w:rPr>
                <w:sz w:val="20"/>
                <w:szCs w:val="20"/>
                <w:color w:val="auto"/>
              </w:rPr>
            </w:pPr>
            <w:r>
              <w:rPr>
                <w:rFonts w:ascii="Arial" w:cs="Arial" w:eastAsia="Arial" w:hAnsi="Arial"/>
                <w:sz w:val="18"/>
                <w:szCs w:val="18"/>
                <w:color w:val="auto"/>
              </w:rPr>
              <w:t>Form of Restricted Stock Award Agreement Granted Under the 2007 Stock Incentive Plan, as Amended</w:t>
            </w:r>
          </w:p>
        </w:tc>
      </w:tr>
      <w:tr>
        <w:trPr>
          <w:trHeight w:val="459"/>
        </w:trPr>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52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7"/>
              </w:rPr>
              <w:t>Code of Conduct (incorporated by reference to the Registrant's Current Report on Form 8-K, filed June 7, 2011 with the SEC)</w:t>
            </w:r>
          </w:p>
        </w:tc>
      </w:tr>
      <w:tr>
        <w:trPr>
          <w:trHeight w:val="459"/>
        </w:trPr>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97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97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97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32.2*</w:t>
            </w:r>
          </w:p>
        </w:tc>
        <w:tc>
          <w:tcPr>
            <w:tcW w:w="97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101.INS** XBRL Instance Document</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101.SCH**XBRL Taxonomy Extension Schema</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101.CAL**XBRL Taxonomy Extension Calculation Linkbase</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101.DEF** XBRL Taxonomy Extension Definition Linkbase</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101.LAB**XBRL Taxonomy Extension Label Linkbase</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03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67"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9" w:lineRule="exact"/>
        <w:rPr>
          <w:sz w:val="20"/>
          <w:szCs w:val="20"/>
          <w:color w:val="auto"/>
        </w:rPr>
      </w:pPr>
    </w:p>
    <w:p>
      <w:pPr>
        <w:ind w:left="540" w:right="12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40"/>
          </w:cols>
          <w:pgMar w:left="240" w:top="131" w:right="31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Dated: August 2, 2011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85725</wp:posOffset>
            </wp:positionV>
            <wp:extent cx="33445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36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Senior Vice President and Chief Financial Officer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340"/>
          </w:cols>
          <w:pgMar w:left="240" w:top="131" w:right="31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Dated: August 2, 2011</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ELMER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85725</wp:posOffset>
            </wp:positionV>
            <wp:extent cx="33445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12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Elmer Lai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Vice President, Finance, Corporate Controller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78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Exhibit Number</w:t>
            </w:r>
          </w:p>
        </w:tc>
        <w:tc>
          <w:tcPr>
            <w:tcW w:w="978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w:t>
            </w:r>
          </w:p>
        </w:tc>
        <w:tc>
          <w:tcPr>
            <w:tcW w:w="520" w:type="dxa"/>
            <w:vAlign w:val="bottom"/>
          </w:tcPr>
          <w:p>
            <w:pPr>
              <w:spacing w:after="0"/>
              <w:rPr>
                <w:sz w:val="17"/>
                <w:szCs w:val="17"/>
                <w:color w:val="auto"/>
              </w:rPr>
            </w:pPr>
          </w:p>
        </w:tc>
        <w:tc>
          <w:tcPr>
            <w:tcW w:w="9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Rights Agreement, dated as of June 26, 2008, between Sonus Networks, Inc. and American Stock Transfer &amp; Trust Company, LLC, which</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4"/>
              </w:rPr>
              <w:t>includes as Exhibit A thereto a form of Certificate of Designation for the Series A Junior Participating Preferred Stock, as Exhibit B</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89"/>
              </w:rPr>
              <w:t>thereto the Form of Rights Certificate and as Exhibit C thereto a Summary of Rights to Purchase Shares of Preferred Stock (incorporated</w:t>
            </w:r>
          </w:p>
        </w:tc>
      </w:tr>
      <w:tr>
        <w:trPr>
          <w:trHeight w:val="222"/>
        </w:trPr>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by reference to the Registrant's Current Report on Form 8-K, filed June 27, 2008 with the SEC).</w:t>
            </w:r>
          </w:p>
        </w:tc>
      </w:tr>
      <w:tr>
        <w:trPr>
          <w:trHeight w:val="453"/>
        </w:trPr>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87"/>
              </w:rPr>
              <w:t>Amendment No. 1 dated as of June 10, 2011 to Rights Agreement, dated as of June 26, 2008, between Sonus Networks, Inc. and American</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1"/>
              </w:rPr>
              <w:t>Stock Transfer &amp; Trust Company, LLC (incorporated by reference to the Registrant's Current Report on Form 8-K, filed June 13, 2011</w:t>
            </w:r>
          </w:p>
        </w:tc>
      </w:tr>
      <w:tr>
        <w:trPr>
          <w:trHeight w:val="222"/>
        </w:trPr>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with the SEC).</w:t>
            </w:r>
          </w:p>
        </w:tc>
      </w:tr>
      <w:tr>
        <w:trPr>
          <w:trHeight w:val="459"/>
        </w:trPr>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9780" w:type="dxa"/>
            <w:vAlign w:val="bottom"/>
          </w:tcPr>
          <w:p>
            <w:pPr>
              <w:spacing w:after="0"/>
              <w:rPr>
                <w:sz w:val="20"/>
                <w:szCs w:val="20"/>
                <w:color w:val="auto"/>
              </w:rPr>
            </w:pPr>
            <w:r>
              <w:rPr>
                <w:rFonts w:ascii="Arial" w:cs="Arial" w:eastAsia="Arial" w:hAnsi="Arial"/>
                <w:sz w:val="18"/>
                <w:szCs w:val="18"/>
                <w:color w:val="auto"/>
              </w:rPr>
              <w:t>Form of Nonstatutory Stock Option Award Agreement Granted Under the 2007 Stock Incentive Plan, as Amended</w:t>
            </w:r>
          </w:p>
        </w:tc>
      </w:tr>
      <w:tr>
        <w:trPr>
          <w:trHeight w:val="459"/>
        </w:trPr>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9780" w:type="dxa"/>
            <w:vAlign w:val="bottom"/>
          </w:tcPr>
          <w:p>
            <w:pPr>
              <w:spacing w:after="0"/>
              <w:rPr>
                <w:sz w:val="20"/>
                <w:szCs w:val="20"/>
                <w:color w:val="auto"/>
              </w:rPr>
            </w:pPr>
            <w:r>
              <w:rPr>
                <w:rFonts w:ascii="Arial" w:cs="Arial" w:eastAsia="Arial" w:hAnsi="Arial"/>
                <w:sz w:val="18"/>
                <w:szCs w:val="18"/>
                <w:color w:val="auto"/>
              </w:rPr>
              <w:t>Form of Restricted Stock Award Agreement Granted Under the 2007 Stock Incentive Plan, as Amended</w:t>
            </w:r>
          </w:p>
        </w:tc>
      </w:tr>
      <w:tr>
        <w:trPr>
          <w:trHeight w:val="459"/>
        </w:trPr>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52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7"/>
              </w:rPr>
              <w:t>Code of Conduct (incorporated by reference to the Registrant's Current Report on Form 8-K, filed June 7, 2011 with the SEC)</w:t>
            </w:r>
          </w:p>
        </w:tc>
      </w:tr>
      <w:tr>
        <w:trPr>
          <w:trHeight w:val="459"/>
        </w:trPr>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97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97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97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32.2*</w:t>
            </w:r>
          </w:p>
        </w:tc>
        <w:tc>
          <w:tcPr>
            <w:tcW w:w="97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101.INS** XBRL Instance Document</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101.SCH**XBRL Taxonomy Extension Schema</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101.CAL**XBRL Taxonomy Extension Calculation Linkbase</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101.DEF** XBRL Taxonomy Extension Definition Linkbase</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101.LAB**XBRL Taxonomy Extension Label Linkbase</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03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67"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9" w:lineRule="exact"/>
        <w:rPr>
          <w:sz w:val="20"/>
          <w:szCs w:val="20"/>
          <w:color w:val="auto"/>
        </w:rPr>
      </w:pPr>
    </w:p>
    <w:p>
      <w:pPr>
        <w:ind w:left="540" w:right="12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Nonstatutory Stock Option Award Agreement</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This NONSTATUTORY STOCK OPTION AWARD AGREEMENT (the “Agreement”) is made effective as of the day of , 20 (the “Grant Date”), between Sonus Networks, Inc., a Delaware corporation (the “Company”), and (the “Participant” or “you”).</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Company has adopted the Sonus Networks, Inc. 2007 Stock Incentive Plan, as Amended (the “Plan”), which Plan is incorporated herein by reference and made a part of this Agreement (capitalized terms not otherwise defined herein shall have the same meanings as set forth in the Plan); and</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WHEREAS, the Board has determined that it is in the best interests of the Company and its stockholders to grant to the Participant the option described herein pursuant to the Plan and the terms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960" w:right="120" w:hanging="952"/>
        <w:spacing w:after="0" w:line="277" w:lineRule="auto"/>
        <w:tabs>
          <w:tab w:leader="none" w:pos="64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Grant of Option. </w:t>
      </w:r>
      <w:r>
        <w:rPr>
          <w:rFonts w:ascii="Arial" w:cs="Arial" w:eastAsia="Arial" w:hAnsi="Arial"/>
          <w:sz w:val="18"/>
          <w:szCs w:val="18"/>
          <w:color w:val="auto"/>
        </w:rPr>
        <w:t>The Company hereby grants to the Participant the right and option (the “Option”) to purchase, in whole or in part,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(the “Shares”). The Option is intended to be a Nonstatutory Stock Option.</w:t>
      </w:r>
    </w:p>
    <w:p>
      <w:pPr>
        <w:spacing w:after="0" w:line="170" w:lineRule="exact"/>
        <w:rPr>
          <w:sz w:val="20"/>
          <w:szCs w:val="20"/>
          <w:color w:val="auto"/>
        </w:rPr>
      </w:pPr>
    </w:p>
    <w:p>
      <w:pPr>
        <w:spacing w:after="0"/>
        <w:tabs>
          <w:tab w:leader="none" w:pos="620" w:val="left"/>
          <w:tab w:leader="none" w:pos="61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price per Share subject to the Option shall be $</w:t>
      </w:r>
      <w:r>
        <w:rPr>
          <w:sz w:val="20"/>
          <w:szCs w:val="20"/>
          <w:color w:val="auto"/>
        </w:rPr>
        <w:tab/>
      </w:r>
      <w:r>
        <w:rPr>
          <w:rFonts w:ascii="Arial" w:cs="Arial" w:eastAsia="Arial" w:hAnsi="Arial"/>
          <w:sz w:val="16"/>
          <w:szCs w:val="16"/>
          <w:color w:val="auto"/>
        </w:rPr>
        <w:t>per Share (the “Option Price”).</w:t>
      </w:r>
    </w:p>
    <w:p>
      <w:pPr>
        <w:spacing w:after="0" w:line="225" w:lineRule="exact"/>
        <w:rPr>
          <w:sz w:val="20"/>
          <w:szCs w:val="20"/>
          <w:color w:val="auto"/>
        </w:rPr>
      </w:pPr>
    </w:p>
    <w:p>
      <w:pPr>
        <w:ind w:right="140" w:firstLine="8"/>
        <w:spacing w:after="0" w:line="34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Option Term. </w:t>
      </w:r>
      <w:r>
        <w:rPr>
          <w:rFonts w:ascii="Arial" w:cs="Arial" w:eastAsia="Arial" w:hAnsi="Arial"/>
          <w:sz w:val="16"/>
          <w:szCs w:val="16"/>
          <w:color w:val="auto"/>
        </w:rPr>
        <w:t>The term of the Option shall be ten (10) years, commencing on the Grant Date. Unless earlier terminated as set forth herein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this Option shall automatically terminate at 5:00 p.m., Eastern Time, on the tenth anniversary of the Grant Date (the “Final Exercise Date”).</w:t>
      </w:r>
    </w:p>
    <w:p>
      <w:pPr>
        <w:spacing w:after="0" w:line="123" w:lineRule="exact"/>
        <w:rPr>
          <w:rFonts w:ascii="Arial" w:cs="Arial" w:eastAsia="Arial" w:hAnsi="Arial"/>
          <w:sz w:val="16"/>
          <w:szCs w:val="16"/>
          <w:color w:val="auto"/>
        </w:rPr>
      </w:pPr>
    </w:p>
    <w:p>
      <w:pPr>
        <w:ind w:right="540" w:firstLine="8"/>
        <w:spacing w:after="0" w:line="279" w:lineRule="auto"/>
        <w:tabs>
          <w:tab w:leader="none" w:pos="632"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Vesting Schedule. </w:t>
      </w:r>
      <w:r>
        <w:rPr>
          <w:rFonts w:ascii="Arial" w:cs="Arial" w:eastAsia="Arial" w:hAnsi="Arial"/>
          <w:sz w:val="17"/>
          <w:szCs w:val="17"/>
          <w:color w:val="auto"/>
        </w:rPr>
        <w:t>Subject to the Participant’s continued service to the Company through the applicable vesting date, the Option shall vest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 exercisable as follows: 25% of the Shares shall vest on the first anniversary of </w:t>
      </w:r>
      <w:r>
        <w:rPr>
          <w:rFonts w:ascii="Arial" w:cs="Arial" w:eastAsia="Arial" w:hAnsi="Arial"/>
          <w:sz w:val="17"/>
          <w:szCs w:val="17"/>
          <w:b w:val="1"/>
          <w:bCs w:val="1"/>
          <w:color w:val="auto"/>
        </w:rPr>
        <w:t>[</w:t>
      </w:r>
      <w:r>
        <w:rPr>
          <w:rFonts w:ascii="Arial" w:cs="Arial" w:eastAsia="Arial" w:hAnsi="Arial"/>
          <w:sz w:val="17"/>
          <w:szCs w:val="17"/>
          <w:color w:val="auto"/>
        </w:rPr>
        <w:t>the Grant Date / the date your employment with the Company commences (the “Commencement Date”)</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remaining 75% of the Options shall vest in equal monthly increments of 2.0833% of the Options thereafter through the fourth anniversary of the </w:t>
      </w:r>
      <w:r>
        <w:rPr>
          <w:rFonts w:ascii="Arial" w:cs="Arial" w:eastAsia="Arial" w:hAnsi="Arial"/>
          <w:sz w:val="17"/>
          <w:szCs w:val="17"/>
          <w:b w:val="1"/>
          <w:bCs w:val="1"/>
          <w:color w:val="auto"/>
        </w:rPr>
        <w:t>[</w:t>
      </w:r>
      <w:r>
        <w:rPr>
          <w:rFonts w:ascii="Arial" w:cs="Arial" w:eastAsia="Arial" w:hAnsi="Arial"/>
          <w:sz w:val="17"/>
          <w:szCs w:val="17"/>
          <w:color w:val="auto"/>
        </w:rPr>
        <w:t xml:space="preserve">Grant Date </w:t>
      </w:r>
      <w:r>
        <w:rPr>
          <w:rFonts w:ascii="Arial" w:cs="Arial" w:eastAsia="Arial" w:hAnsi="Arial"/>
          <w:sz w:val="17"/>
          <w:szCs w:val="17"/>
          <w:b w:val="1"/>
          <w:bCs w:val="1"/>
          <w:color w:val="auto"/>
        </w:rPr>
        <w:t>/</w:t>
      </w:r>
      <w:r>
        <w:rPr>
          <w:rFonts w:ascii="Arial" w:cs="Arial" w:eastAsia="Arial" w:hAnsi="Arial"/>
          <w:sz w:val="17"/>
          <w:szCs w:val="17"/>
          <w:color w:val="auto"/>
        </w:rPr>
        <w:t xml:space="preserve"> the Commencement Date</w:t>
      </w:r>
      <w:r>
        <w:rPr>
          <w:rFonts w:ascii="Arial" w:cs="Arial" w:eastAsia="Arial" w:hAnsi="Arial"/>
          <w:sz w:val="17"/>
          <w:szCs w:val="17"/>
          <w:b w:val="1"/>
          <w:bCs w:val="1"/>
          <w:color w:val="auto"/>
        </w:rPr>
        <w:t>]</w:t>
      </w:r>
      <w:r>
        <w:rPr>
          <w:rFonts w:ascii="Arial" w:cs="Arial" w:eastAsia="Arial" w:hAnsi="Arial"/>
          <w:sz w:val="17"/>
          <w:szCs w:val="17"/>
          <w:color w:val="auto"/>
        </w:rPr>
        <w:t xml:space="preserve"> (the “Final Vesting Date”).</w:t>
      </w:r>
    </w:p>
    <w:p>
      <w:pPr>
        <w:spacing w:after="0" w:line="171" w:lineRule="exact"/>
        <w:rPr>
          <w:rFonts w:ascii="Arial" w:cs="Arial" w:eastAsia="Arial" w:hAnsi="Arial"/>
          <w:sz w:val="17"/>
          <w:szCs w:val="17"/>
          <w:color w:val="auto"/>
        </w:rPr>
      </w:pPr>
    </w:p>
    <w:p>
      <w:pPr>
        <w:ind w:right="100" w:firstLine="8"/>
        <w:spacing w:after="0" w:line="264"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Acceleration of Vesting. </w:t>
      </w:r>
      <w:r>
        <w:rPr>
          <w:rFonts w:ascii="Arial" w:cs="Arial" w:eastAsia="Arial" w:hAnsi="Arial"/>
          <w:sz w:val="18"/>
          <w:szCs w:val="18"/>
          <w:color w:val="auto"/>
        </w:rPr>
        <w:t>Notwithstanding Section 4 hereof, the lesser of the number of Options that are unvested as of the date of an Acquisition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Plan) or 25% of the total number of Shares shall vest and become exercisable effective immediately prior to the date of such Acquisition. Thereafter, the balance of Options that are unvested shall continue to vest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monthly amount set forth in Section 2 above and the Final Vesting Date shall be accelerated by twelve (12) months.</w:t>
      </w:r>
    </w:p>
    <w:p>
      <w:pPr>
        <w:spacing w:after="0" w:line="225"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Exercise of Option.</w:t>
      </w:r>
    </w:p>
    <w:p>
      <w:pPr>
        <w:spacing w:after="0" w:line="225" w:lineRule="exact"/>
        <w:rPr>
          <w:rFonts w:ascii="Arial" w:cs="Arial" w:eastAsia="Arial" w:hAnsi="Arial"/>
          <w:sz w:val="18"/>
          <w:szCs w:val="18"/>
          <w:color w:val="auto"/>
        </w:rPr>
      </w:pPr>
    </w:p>
    <w:p>
      <w:pPr>
        <w:ind w:right="40" w:firstLine="656"/>
        <w:spacing w:after="0" w:line="302" w:lineRule="auto"/>
        <w:tabs>
          <w:tab w:leader="none" w:pos="126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Notice of Exercise. </w:t>
      </w:r>
      <w:r>
        <w:rPr>
          <w:rFonts w:ascii="Arial" w:cs="Arial" w:eastAsia="Arial" w:hAnsi="Arial"/>
          <w:sz w:val="16"/>
          <w:szCs w:val="16"/>
          <w:color w:val="auto"/>
        </w:rPr>
        <w:t>The Participant or the Participant’s representative may exercise the vested portion of the Option or any part thereof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Final Vesting Date by giving written notice to the Company in the form prescribed by the Company from time to time (the “Notice of Exercise”). The Notice of Exercise shall be signed by the person exercising such Option. In the event that such Option is being exercised by the Participant’s representative, the Notice of Exercise shall be accompanied by proof (satisfactory to the Company) of such representative’s right to exercise such Option.</w:t>
      </w:r>
    </w:p>
    <w:p>
      <w:pPr>
        <w:spacing w:after="0" w:line="154" w:lineRule="exact"/>
        <w:rPr>
          <w:rFonts w:ascii="Arial" w:cs="Arial" w:eastAsia="Arial" w:hAnsi="Arial"/>
          <w:sz w:val="16"/>
          <w:szCs w:val="16"/>
          <w:color w:val="auto"/>
        </w:rPr>
      </w:pPr>
    </w:p>
    <w:p>
      <w:pPr>
        <w:ind w:right="80" w:firstLine="656"/>
        <w:spacing w:after="0" w:line="259" w:lineRule="auto"/>
        <w:tabs>
          <w:tab w:leader="none" w:pos="1279"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Method of Exercise. </w:t>
      </w:r>
      <w:r>
        <w:rPr>
          <w:rFonts w:ascii="Arial" w:cs="Arial" w:eastAsia="Arial" w:hAnsi="Arial"/>
          <w:sz w:val="18"/>
          <w:szCs w:val="18"/>
          <w:color w:val="auto"/>
        </w:rPr>
        <w:t>The Participant or the Participant’s representative shall deliver to the Company, at the time the Notice of Exercise is</w:t>
      </w:r>
      <w:r>
        <w:rPr>
          <w:rFonts w:ascii="Arial" w:cs="Arial" w:eastAsia="Arial" w:hAnsi="Arial"/>
          <w:sz w:val="18"/>
          <w:szCs w:val="18"/>
          <w:i w:val="1"/>
          <w:iCs w:val="1"/>
          <w:color w:val="auto"/>
        </w:rPr>
        <w:t xml:space="preserve"> </w:t>
      </w:r>
      <w:r>
        <w:rPr>
          <w:rFonts w:ascii="Arial" w:cs="Arial" w:eastAsia="Arial" w:hAnsi="Arial"/>
          <w:sz w:val="18"/>
          <w:szCs w:val="18"/>
          <w:color w:val="auto"/>
        </w:rPr>
        <w:t>given, payment for the full amount of the aggregate Option Price for the exercised Option in the manner provided in Section 5(f) of the Plan. The Participant or the Participant’s representative may purchase less than the number of Shares covered hereby; provided that no partial exercise of this Option may be for any fractional share.</w:t>
      </w:r>
    </w:p>
    <w:p>
      <w:pPr>
        <w:spacing w:after="0" w:line="186" w:lineRule="exact"/>
        <w:rPr>
          <w:rFonts w:ascii="Arial" w:cs="Arial" w:eastAsia="Arial" w:hAnsi="Arial"/>
          <w:sz w:val="18"/>
          <w:szCs w:val="18"/>
          <w:color w:val="auto"/>
        </w:rPr>
      </w:pPr>
    </w:p>
    <w:p>
      <w:pPr>
        <w:ind w:right="200" w:firstLine="656"/>
        <w:spacing w:after="0" w:line="259" w:lineRule="auto"/>
        <w:tabs>
          <w:tab w:leader="none" w:pos="1268"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Issuance of Shares. </w:t>
      </w:r>
      <w:r>
        <w:rPr>
          <w:rFonts w:ascii="Arial" w:cs="Arial" w:eastAsia="Arial" w:hAnsi="Arial"/>
          <w:sz w:val="18"/>
          <w:szCs w:val="18"/>
          <w:color w:val="auto"/>
        </w:rPr>
        <w:t>Provided that the Company receives a properly completed and executed Notice of Exercise and payment for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aggregate Option Price, the Company shall promptly cause to be issued the Shares underlying the exercised Option, registered in the name of the person exercising the applicable Option. Physical certificates for the Shares underlying the exercised Option registered in the name of the person exercising the applicable Option will be issued upon written request to the Company.</w:t>
      </w:r>
    </w:p>
    <w:p>
      <w:pPr>
        <w:spacing w:after="0" w:line="186" w:lineRule="exact"/>
        <w:rPr>
          <w:rFonts w:ascii="Arial" w:cs="Arial" w:eastAsia="Arial" w:hAnsi="Arial"/>
          <w:sz w:val="18"/>
          <w:szCs w:val="18"/>
          <w:color w:val="auto"/>
        </w:rPr>
      </w:pPr>
    </w:p>
    <w:p>
      <w:pPr>
        <w:jc w:val="both"/>
        <w:ind w:right="380" w:firstLine="656"/>
        <w:spacing w:after="0" w:line="264" w:lineRule="auto"/>
        <w:tabs>
          <w:tab w:leader="none" w:pos="1263"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Continuous Relationship with the Company Required. </w:t>
      </w:r>
      <w:r>
        <w:rPr>
          <w:rFonts w:ascii="Arial" w:cs="Arial" w:eastAsia="Arial" w:hAnsi="Arial"/>
          <w:sz w:val="18"/>
          <w:szCs w:val="18"/>
          <w:color w:val="auto"/>
        </w:rPr>
        <w:t>Except as otherwise provided in this Section 6, this Option may not be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Participant, at the time he or she exercises this Option, is and has been at all times since the Grant Date, an employee, officer or director of, or consultant or advisor to, the Company or any of its affiliates.</w:t>
      </w:r>
    </w:p>
    <w:p>
      <w:pPr>
        <w:spacing w:after="0" w:line="181" w:lineRule="exact"/>
        <w:rPr>
          <w:rFonts w:ascii="Arial" w:cs="Arial" w:eastAsia="Arial" w:hAnsi="Arial"/>
          <w:sz w:val="18"/>
          <w:szCs w:val="18"/>
          <w:color w:val="auto"/>
        </w:rPr>
      </w:pPr>
    </w:p>
    <w:p>
      <w:pPr>
        <w:ind w:right="20" w:firstLine="656"/>
        <w:spacing w:after="0" w:line="255" w:lineRule="auto"/>
        <w:tabs>
          <w:tab w:leader="none" w:pos="1268"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Relationship with the Company. </w:t>
      </w:r>
      <w:r>
        <w:rPr>
          <w:rFonts w:ascii="Arial" w:cs="Arial" w:eastAsia="Arial" w:hAnsi="Arial"/>
          <w:sz w:val="18"/>
          <w:szCs w:val="18"/>
          <w:color w:val="auto"/>
        </w:rPr>
        <w:t>Upon a termination of the Participant’s services for any reason, other than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6(f) and (g) below, any unvested portion of the Option shall immediately terminate and be forfeited without consideration and the vested portion of the Option shall remain exercisable until the earlier of: ninety (90) days following such termination of service and (ii) the Final Exercise Date. Notwithstanding the foregoing, if the Participant, prior to the Final Exercise Date, breaches the terms of any agreement (including, without limitation, any confidentiality, non-competition or non-solicitation provision) between the Participant and the Company, the right to exercise this Option shall terminate upon such breach.</w:t>
      </w:r>
    </w:p>
    <w:p>
      <w:pPr>
        <w:spacing w:after="0" w:line="193" w:lineRule="exact"/>
        <w:rPr>
          <w:rFonts w:ascii="Arial" w:cs="Arial" w:eastAsia="Arial" w:hAnsi="Arial"/>
          <w:sz w:val="18"/>
          <w:szCs w:val="18"/>
          <w:color w:val="auto"/>
        </w:rPr>
      </w:pPr>
    </w:p>
    <w:p>
      <w:pPr>
        <w:ind w:firstLine="656"/>
        <w:spacing w:after="0" w:line="342" w:lineRule="auto"/>
        <w:tabs>
          <w:tab w:leader="none" w:pos="1287"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Exercise Period Upon Death or Disability. </w:t>
      </w:r>
      <w:r>
        <w:rPr>
          <w:rFonts w:ascii="Arial" w:cs="Arial" w:eastAsia="Arial" w:hAnsi="Arial"/>
          <w:sz w:val="16"/>
          <w:szCs w:val="16"/>
          <w:color w:val="auto"/>
        </w:rPr>
        <w:t>Upon a termination of the Participant’s service because the Participant dies or becomes disabled</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22(e)(3) of the Code), any unvested portion of the Option shall immediately terminate and be forfeited without consideration</w:t>
      </w:r>
    </w:p>
    <w:p>
      <w:pPr>
        <w:sectPr>
          <w:pgSz w:w="11900" w:h="16838" w:orient="portrait"/>
          <w:cols w:equalWidth="0" w:num="1">
            <w:col w:w="11420"/>
          </w:cols>
          <w:pgMar w:left="240" w:top="364" w:right="239" w:bottom="0" w:gutter="0" w:footer="0" w:header="0"/>
        </w:sectPr>
      </w:pPr>
    </w:p>
    <w:bookmarkStart w:id="44" w:name="page45"/>
    <w:bookmarkEnd w:id="44"/>
    <w:p>
      <w:pPr>
        <w:spacing w:after="0" w:line="1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the vested portion of the Option shall remain exercisable until the earlier of: (i) 180 days following such termination of service and (ii) the Final Exercise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8" w:lineRule="auto"/>
        <w:tabs>
          <w:tab w:leader="none" w:pos="1279"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Upon a termination of the Participant’s service by the Company for Cause (as defined below), the right to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this Option, including the vested portion of the Option, shall terminate immediately and be forfeited without consideration. If the Participant is party to an employment, consulting or severance agreement with the Company at the time of his or her termination of employment with the Company or any affiliate that contains a different definition of “cause” (or any derivation thereof), the definition in such agreement will control for purposes of this Agreement. Otherwise, “</w:t>
      </w:r>
      <w:r>
        <w:rPr>
          <w:rFonts w:ascii="Arial" w:cs="Arial" w:eastAsia="Arial" w:hAnsi="Arial"/>
          <w:sz w:val="16"/>
          <w:szCs w:val="16"/>
          <w:i w:val="1"/>
          <w:iCs w:val="1"/>
          <w:color w:val="auto"/>
        </w:rPr>
        <w:t>Cause</w:t>
      </w:r>
      <w:r>
        <w:rPr>
          <w:rFonts w:ascii="Arial" w:cs="Arial" w:eastAsia="Arial" w:hAnsi="Arial"/>
          <w:sz w:val="16"/>
          <w:szCs w:val="16"/>
          <w:color w:val="auto"/>
        </w:rPr>
        <w:t xml:space="preserve">” as used in this Agreement means the occurrence of any of the following: (1) gross negligence or willful misconduct by you in the performance of your duties that is likely to have a material adverse effect on the Company or its reputation; (2) your indictment for, formal admission to (including a plea of guilty or </w:t>
      </w:r>
      <w:r>
        <w:rPr>
          <w:rFonts w:ascii="Arial" w:cs="Arial" w:eastAsia="Arial" w:hAnsi="Arial"/>
          <w:sz w:val="16"/>
          <w:szCs w:val="16"/>
          <w:i w:val="1"/>
          <w:iCs w:val="1"/>
          <w:color w:val="auto"/>
        </w:rPr>
        <w:t>non contendere</w:t>
      </w:r>
      <w:r>
        <w:rPr>
          <w:rFonts w:ascii="Arial" w:cs="Arial" w:eastAsia="Arial" w:hAnsi="Arial"/>
          <w:sz w:val="16"/>
          <w:szCs w:val="16"/>
          <w:color w:val="auto"/>
        </w:rPr>
        <w:t xml:space="preserve"> to), or conviction of (A) a felony, (B) a crime of moral turpitude, dishonesty, breach of trust or unethical business conduct, or (C) any crime involving the Company; (3) your commission of an act of fraud or dishonesty in the performance of your duties; (4) repeated failure by you to perform your duties, which are reasonably and in good faith requested in writing by the CEO or the Board of Directors of the Company; or (5) material breach of any written agreement between you and the Company, that you fail to remedy within ten (10) days following written notice from the Company.</w:t>
      </w:r>
    </w:p>
    <w:p>
      <w:pPr>
        <w:spacing w:after="0" w:line="169" w:lineRule="exact"/>
        <w:rPr>
          <w:rFonts w:ascii="Arial" w:cs="Arial" w:eastAsia="Arial" w:hAnsi="Arial"/>
          <w:sz w:val="16"/>
          <w:szCs w:val="16"/>
          <w:color w:val="auto"/>
        </w:rPr>
      </w:pPr>
    </w:p>
    <w:p>
      <w:pPr>
        <w:ind w:right="40" w:firstLine="8"/>
        <w:spacing w:after="0" w:line="264"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The Participant may be required to pay the Company or any of its affiliates and the Company shall have the right, and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to withhold any applicable withholding taxes in respect of the Option, its exercise or transfer, and to take such other action as may be necessary in the opinion of the Board to satisfy all obligations for the payment of such withholding taxes.</w:t>
      </w:r>
    </w:p>
    <w:p>
      <w:pPr>
        <w:spacing w:after="0" w:line="181" w:lineRule="exact"/>
        <w:rPr>
          <w:rFonts w:ascii="Arial" w:cs="Arial" w:eastAsia="Arial" w:hAnsi="Arial"/>
          <w:sz w:val="18"/>
          <w:szCs w:val="18"/>
          <w:color w:val="auto"/>
        </w:rPr>
      </w:pPr>
    </w:p>
    <w:p>
      <w:pPr>
        <w:ind w:right="40" w:firstLine="8"/>
        <w:spacing w:after="0" w:line="291"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of Option. </w:t>
      </w:r>
      <w:r>
        <w:rPr>
          <w:rFonts w:ascii="Arial" w:cs="Arial" w:eastAsia="Arial" w:hAnsi="Arial"/>
          <w:sz w:val="16"/>
          <w:szCs w:val="16"/>
          <w:color w:val="auto"/>
        </w:rPr>
        <w:t>Unless otherwise provided by the Board, the Option may not be sold, assigned, alienated, attached, transferred, pledged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encumbered by the Participant, either voluntarily or by operation of law, except by will or the laws of descent and distribution, and any such purported assignment, alienation, pledge, attachment, sale, transfer or encumbrance shall be void and unenforceable against the Company or any of its affiliates; provided that, the designation of a beneficiary shall not constitute an assignment, alienation, pledge, attachment, sale, transfer or encumbrance. No such permitted transfer of the Option to heirs or legatees of the Participant shall be effective to bind the Company unless the Board shall have been furnished with written notice thereof and a copy of such evidence as the Board may deem necessary to establish the validity of the transfer and the acceptance by the transferee or transferees of the terms and conditions hereof. During the lifetime of the Participant, the Option shall be exercisable only by the Participant.</w:t>
      </w:r>
    </w:p>
    <w:p>
      <w:pPr>
        <w:spacing w:after="0" w:line="167" w:lineRule="exact"/>
        <w:rPr>
          <w:rFonts w:ascii="Arial" w:cs="Arial" w:eastAsia="Arial" w:hAnsi="Arial"/>
          <w:sz w:val="16"/>
          <w:szCs w:val="16"/>
          <w:color w:val="auto"/>
        </w:rPr>
      </w:pPr>
    </w:p>
    <w:p>
      <w:pPr>
        <w:jc w:val="both"/>
        <w:ind w:right="180" w:firstLine="8"/>
        <w:spacing w:after="0" w:line="259"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Provisions of the Plan. </w:t>
      </w:r>
      <w:r>
        <w:rPr>
          <w:rFonts w:ascii="Arial" w:cs="Arial" w:eastAsia="Arial" w:hAnsi="Arial"/>
          <w:sz w:val="18"/>
          <w:szCs w:val="18"/>
          <w:color w:val="auto"/>
        </w:rPr>
        <w:t>By entering into this Agreement, the Participant agrees and acknowledges that the Participant has received and read a copy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that the Option is subject to the provisions of the Plan; and that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86" w:lineRule="exact"/>
        <w:rPr>
          <w:rFonts w:ascii="Arial" w:cs="Arial" w:eastAsia="Arial" w:hAnsi="Arial"/>
          <w:sz w:val="18"/>
          <w:szCs w:val="18"/>
          <w:color w:val="auto"/>
        </w:rPr>
      </w:pPr>
    </w:p>
    <w:p>
      <w:pPr>
        <w:ind w:right="120" w:firstLine="8"/>
        <w:spacing w:after="0" w:line="259" w:lineRule="auto"/>
        <w:tabs>
          <w:tab w:leader="none" w:pos="64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Any notification required by the terms of this Agreement shall be given in writing and shall be deemed effective upon personal delivery or</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8"/>
        <w:spacing w:after="0" w:line="277" w:lineRule="auto"/>
        <w:tabs>
          <w:tab w:leader="none" w:pos="639"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Adjustments of Shares. </w:t>
      </w:r>
      <w:r>
        <w:rPr>
          <w:rFonts w:ascii="Arial" w:cs="Arial" w:eastAsia="Arial" w:hAnsi="Arial"/>
          <w:sz w:val="18"/>
          <w:szCs w:val="18"/>
          <w:color w:val="auto"/>
        </w:rPr>
        <w:t>In the event of a Reorganization Event (as defined in the Plan) or other transaction described in Section 9 of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the other terms of this Agreement shall be adjusted in the manner provided for in Section 10 of the Plan.</w:t>
      </w:r>
    </w:p>
    <w:p>
      <w:pPr>
        <w:spacing w:after="0" w:line="170" w:lineRule="exact"/>
        <w:rPr>
          <w:rFonts w:ascii="Arial" w:cs="Arial" w:eastAsia="Arial" w:hAnsi="Arial"/>
          <w:sz w:val="18"/>
          <w:szCs w:val="18"/>
          <w:color w:val="auto"/>
        </w:rPr>
      </w:pPr>
    </w:p>
    <w:p>
      <w:pPr>
        <w:jc w:val="both"/>
        <w:ind w:right="60" w:firstLine="8"/>
        <w:spacing w:after="0" w:line="264" w:lineRule="auto"/>
        <w:tabs>
          <w:tab w:leader="none" w:pos="64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No Right to Continued Service. </w:t>
      </w:r>
      <w:r>
        <w:rPr>
          <w:rFonts w:ascii="Arial" w:cs="Arial" w:eastAsia="Arial" w:hAnsi="Arial"/>
          <w:sz w:val="18"/>
          <w:szCs w:val="18"/>
          <w:color w:val="auto"/>
        </w:rPr>
        <w:t>The granting of the Option evidenced hereby and this Agreement shall impose no obligation on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affiliates to continue the service of the Participant and shall not lessen or affect any right that the Company or any of its affiliates may have to terminate the service of such Participant.</w:t>
      </w:r>
    </w:p>
    <w:p>
      <w:pPr>
        <w:spacing w:after="0" w:line="181" w:lineRule="exact"/>
        <w:rPr>
          <w:rFonts w:ascii="Arial" w:cs="Arial" w:eastAsia="Arial" w:hAnsi="Arial"/>
          <w:sz w:val="18"/>
          <w:szCs w:val="18"/>
          <w:color w:val="auto"/>
        </w:rPr>
      </w:pPr>
    </w:p>
    <w:p>
      <w:pPr>
        <w:ind w:right="120" w:firstLine="8"/>
        <w:spacing w:after="0" w:line="290" w:lineRule="auto"/>
        <w:tabs>
          <w:tab w:leader="none" w:pos="64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Securities Laws; Legends on Certificates. </w:t>
      </w:r>
      <w:r>
        <w:rPr>
          <w:rFonts w:ascii="Arial" w:cs="Arial" w:eastAsia="Arial" w:hAnsi="Arial"/>
          <w:sz w:val="16"/>
          <w:szCs w:val="16"/>
          <w:color w:val="auto"/>
        </w:rPr>
        <w:t>The issuance and delivery of the Shares shall comply with (or be exempt from)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reasonable request which satisfies such requirements.</w:t>
      </w:r>
    </w:p>
    <w:p>
      <w:pPr>
        <w:spacing w:after="0" w:line="166" w:lineRule="exact"/>
        <w:rPr>
          <w:rFonts w:ascii="Arial" w:cs="Arial" w:eastAsia="Arial" w:hAnsi="Arial"/>
          <w:sz w:val="16"/>
          <w:szCs w:val="16"/>
          <w:color w:val="auto"/>
        </w:rPr>
      </w:pPr>
    </w:p>
    <w:p>
      <w:pPr>
        <w:ind w:right="140" w:firstLine="8"/>
        <w:spacing w:after="0" w:line="277" w:lineRule="auto"/>
        <w:tabs>
          <w:tab w:leader="none" w:pos="64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Erroneously Awarded Compensation</w:t>
      </w:r>
      <w:r>
        <w:rPr>
          <w:rFonts w:ascii="Arial" w:cs="Arial" w:eastAsia="Arial" w:hAnsi="Arial"/>
          <w:sz w:val="18"/>
          <w:szCs w:val="18"/>
          <w:color w:val="auto"/>
        </w:rPr>
        <w:t>. All Awards, if and to the extent subject to the Dodd-Frank Wall Street Reform and Consumer Protection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subject to any incentive compensation policy established from time to time by the Company to comply with such Act.</w:t>
      </w:r>
    </w:p>
    <w:p>
      <w:pPr>
        <w:spacing w:after="0" w:line="170" w:lineRule="exact"/>
        <w:rPr>
          <w:rFonts w:ascii="Arial" w:cs="Arial" w:eastAsia="Arial" w:hAnsi="Arial"/>
          <w:sz w:val="18"/>
          <w:szCs w:val="18"/>
          <w:color w:val="auto"/>
        </w:rPr>
      </w:pPr>
    </w:p>
    <w:p>
      <w:pPr>
        <w:ind w:right="140" w:firstLine="8"/>
        <w:spacing w:after="0" w:line="264" w:lineRule="auto"/>
        <w:tabs>
          <w:tab w:leader="none" w:pos="64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and the Plan constitute the entire contract between the parties hereto with regard to the subject matter hereof.</w:t>
      </w:r>
      <w:r>
        <w:rPr>
          <w:rFonts w:ascii="Arial" w:cs="Arial" w:eastAsia="Arial" w:hAnsi="Arial"/>
          <w:sz w:val="18"/>
          <w:szCs w:val="18"/>
          <w:i w:val="1"/>
          <w:iCs w:val="1"/>
          <w:color w:val="auto"/>
        </w:rPr>
        <w:t xml:space="preserve"> </w:t>
      </w:r>
      <w:r>
        <w:rPr>
          <w:rFonts w:ascii="Arial" w:cs="Arial" w:eastAsia="Arial" w:hAnsi="Arial"/>
          <w:sz w:val="18"/>
          <w:szCs w:val="18"/>
          <w:color w:val="auto"/>
        </w:rPr>
        <w:t>They supersede any other agreements, representations or understandings (whether oral or written and whether express or implied) which relate to the subject matter hereof.</w:t>
      </w:r>
    </w:p>
    <w:p>
      <w:pPr>
        <w:spacing w:after="0" w:line="181" w:lineRule="exact"/>
        <w:rPr>
          <w:rFonts w:ascii="Arial" w:cs="Arial" w:eastAsia="Arial" w:hAnsi="Arial"/>
          <w:sz w:val="18"/>
          <w:szCs w:val="18"/>
          <w:color w:val="auto"/>
        </w:rPr>
      </w:pPr>
    </w:p>
    <w:p>
      <w:pPr>
        <w:ind w:right="440" w:firstLine="8"/>
        <w:spacing w:after="0" w:line="277" w:lineRule="auto"/>
        <w:tabs>
          <w:tab w:leader="none" w:pos="64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No waiver of any breach or condition of this Agreement shall be deemed to be a waiver of any other or subsequent breach or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of like or different nature.</w:t>
      </w:r>
    </w:p>
    <w:p>
      <w:pPr>
        <w:spacing w:after="0" w:line="170" w:lineRule="exact"/>
        <w:rPr>
          <w:rFonts w:ascii="Arial" w:cs="Arial" w:eastAsia="Arial" w:hAnsi="Arial"/>
          <w:sz w:val="18"/>
          <w:szCs w:val="18"/>
          <w:color w:val="auto"/>
        </w:rPr>
      </w:pPr>
    </w:p>
    <w:p>
      <w:pPr>
        <w:ind w:right="140" w:firstLine="8"/>
        <w:spacing w:after="0" w:line="312" w:lineRule="auto"/>
        <w:tabs>
          <w:tab w:leader="none" w:pos="64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Successors and Assigns. </w:t>
      </w:r>
      <w:r>
        <w:rPr>
          <w:rFonts w:ascii="Arial" w:cs="Arial" w:eastAsia="Arial" w:hAnsi="Arial"/>
          <w:sz w:val="16"/>
          <w:szCs w:val="16"/>
          <w:color w:val="auto"/>
        </w:rPr>
        <w:t>The provisions of this Agreement shall inure to the benefit of, and be binding upon, the Company and its successors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46" w:lineRule="exact"/>
        <w:rPr>
          <w:rFonts w:ascii="Arial" w:cs="Arial" w:eastAsia="Arial" w:hAnsi="Arial"/>
          <w:sz w:val="16"/>
          <w:szCs w:val="16"/>
          <w:color w:val="auto"/>
        </w:rPr>
      </w:pPr>
    </w:p>
    <w:p>
      <w:pPr>
        <w:jc w:val="both"/>
        <w:ind w:right="340" w:firstLine="8"/>
        <w:spacing w:after="0" w:line="342" w:lineRule="auto"/>
        <w:tabs>
          <w:tab w:leader="none" w:pos="64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Choice of Law. </w:t>
      </w:r>
      <w:r>
        <w:rPr>
          <w:rFonts w:ascii="Arial" w:cs="Arial" w:eastAsia="Arial" w:hAnsi="Arial"/>
          <w:sz w:val="16"/>
          <w:szCs w:val="16"/>
          <w:color w:val="auto"/>
        </w:rPr>
        <w:t>This Agreement shall be governed by the law of the State of Delaware (regardless of the laws that might otherwise govern under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Delaware principles of conflicts of law) as to all matters, including but not limited to matters of validity, construction, effect, performance and</w:t>
      </w:r>
    </w:p>
    <w:p>
      <w:pPr>
        <w:sectPr>
          <w:pgSz w:w="11900" w:h="16975" w:orient="portrait"/>
          <w:cols w:equalWidth="0" w:num="1">
            <w:col w:w="11420"/>
          </w:cols>
          <w:pgMar w:left="240" w:top="125" w:right="239" w:bottom="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remedies.</w:t>
      </w:r>
    </w:p>
    <w:p>
      <w:pPr>
        <w:spacing w:after="0" w:line="225" w:lineRule="exact"/>
        <w:rPr>
          <w:sz w:val="20"/>
          <w:szCs w:val="20"/>
          <w:color w:val="auto"/>
        </w:rPr>
      </w:pPr>
    </w:p>
    <w:p>
      <w:pPr>
        <w:jc w:val="both"/>
        <w:ind w:firstLine="8"/>
        <w:spacing w:after="0" w:line="264" w:lineRule="auto"/>
        <w:tabs>
          <w:tab w:leader="none" w:pos="64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No Guarantees Regarding Tax Treatment. </w:t>
      </w:r>
      <w:r>
        <w:rPr>
          <w:rFonts w:ascii="Arial" w:cs="Arial" w:eastAsia="Arial" w:hAnsi="Arial"/>
          <w:sz w:val="18"/>
          <w:szCs w:val="18"/>
          <w:color w:val="auto"/>
        </w:rPr>
        <w:t>The Participant (or his or her beneficiaries) shall be responsible for all taxes with respect to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and the Company make no guarantees regarding the tax treatment of the Option. Neither the Board nor the Company has any obligation to take any action to prevent the assessment of any tax under Section 409A of the</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Code or Section 457A of the Code or otherwise and none of the Company, any of its affiliates, or any of their employees or representatives shall have any liability to the Participant with respect thereto.</w:t>
      </w:r>
    </w:p>
    <w:p>
      <w:pPr>
        <w:spacing w:after="0" w:line="17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Board may amend or alter this Agreement and the Option granted hereunder at any time, subject to the terms of the Plan.</w:t>
      </w:r>
    </w:p>
    <w:p>
      <w:pPr>
        <w:spacing w:after="0" w:line="236" w:lineRule="exact"/>
        <w:rPr>
          <w:rFonts w:ascii="Arial" w:cs="Arial" w:eastAsia="Arial" w:hAnsi="Arial"/>
          <w:sz w:val="17"/>
          <w:szCs w:val="17"/>
          <w:color w:val="auto"/>
        </w:rPr>
      </w:pPr>
    </w:p>
    <w:p>
      <w:pPr>
        <w:ind w:right="240" w:firstLine="8"/>
        <w:spacing w:after="0" w:line="277" w:lineRule="auto"/>
        <w:tabs>
          <w:tab w:leader="none" w:pos="64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The provisions of this Agreement are severable and if any one or more of the provisions are determined to be illegal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ind w:right="460" w:firstLine="8"/>
        <w:spacing w:after="0" w:line="277" w:lineRule="auto"/>
        <w:tabs>
          <w:tab w:leader="none" w:pos="64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Signature in Counterparts. </w:t>
      </w:r>
      <w:r>
        <w:rPr>
          <w:rFonts w:ascii="Arial" w:cs="Arial" w:eastAsia="Arial" w:hAnsi="Arial"/>
          <w:sz w:val="18"/>
          <w:szCs w:val="18"/>
          <w:color w:val="auto"/>
        </w:rPr>
        <w:t>This Agreement may be signed in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SONUS NETWORKS,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95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46" w:name="page47"/>
    <w:bookmarkEnd w:id="46"/>
    <w:p>
      <w:pPr>
        <w:spacing w:after="0" w:line="96"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2007 Stock Incentive Plan, as Amended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ectPr>
          <w:pgSz w:w="11900" w:h="16935" w:orient="portrait"/>
          <w:cols w:equalWidth="0" w:num="1">
            <w:col w:w="11420"/>
          </w:cols>
          <w:pgMar w:left="240" w:top="364" w:right="239" w:bottom="0" w:gutter="0" w:footer="0" w:header="0"/>
        </w:sectPr>
      </w:pP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RESTRICTED STOCK AWARD AGREEMENT (the “Agreement”) is made effective as of the “Grant Date”), between Sonus Networks, Inc., a Delaware corporation (the “Company”), and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“Employee”).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463" w:lineRule="exact"/>
        <w:rPr>
          <w:sz w:val="20"/>
          <w:szCs w:val="20"/>
          <w:color w:val="auto"/>
        </w:rPr>
      </w:pPr>
    </w:p>
    <w:p>
      <w:pPr>
        <w:sectPr>
          <w:pgSz w:w="11900" w:h="16935" w:orient="portrait"/>
          <w:cols w:equalWidth="0" w:num="3">
            <w:col w:w="7900" w:space="460"/>
            <w:col w:w="1840" w:space="400"/>
            <w:col w:w="820"/>
          </w:cols>
          <w:pgMar w:left="240" w:top="364" w:right="239" w:bottom="0" w:gutter="0" w:footer="0" w:header="0"/>
          <w:type w:val="continuous"/>
        </w:sect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WHEREAS, the Company has adopted the Sonus Networks, Inc. 2007 Stock Incentive Plan, as Amended (the “Plan”), which Plan is incorporated herein by reference and made a part of this Agreement (capitalized terms not otherwise defined herein shall have the meanings as set forth in the Plan); and</w:t>
      </w:r>
    </w:p>
    <w:p>
      <w:pPr>
        <w:spacing w:after="0" w:line="12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Board has determined that it is in the best interests of the Company and its stockholders to grant to the Employee the restricted stock described herein pursuant to the Plan and the terms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Award of Restricted Stock</w:t>
      </w:r>
      <w:r>
        <w:rPr>
          <w:rFonts w:ascii="Arial" w:cs="Arial" w:eastAsia="Arial" w:hAnsi="Arial"/>
          <w:sz w:val="16"/>
          <w:szCs w:val="16"/>
          <w:color w:val="auto"/>
        </w:rPr>
        <w:t>.  Subject to the terms and condition of the Plan and this Agreement and in consideration of employment services rendered</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and to be rendered by the Employee to the Company, the Company hereby grants to the Employee shares of Common Stock (the “Shares”). The Company shall issue the Shares to the Employee either by electronic record or by stock certificate issued in the name of the Employee. The Employee agrees that unvested Shares shall be subject to forfeiture as set forth in Section 2(c) of this Agreement and the restrictions on transfer set forth in Section 4 of this Agreement. The Shares shall be deposited in escrow in accordance with Section 5 of this Agreement.</w:t>
      </w:r>
    </w:p>
    <w:p>
      <w:pPr>
        <w:spacing w:after="0" w:line="190"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72" w:lineRule="auto"/>
        <w:tabs>
          <w:tab w:leader="none" w:pos="1268"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xml:space="preserve">. Subject to the Employee’s continued service through the vesting date, the Shares shall vest as follows: (i) 25% of the Shares shall vest on </w:t>
      </w:r>
      <w:r>
        <w:rPr>
          <w:rFonts w:ascii="Arial" w:cs="Arial" w:eastAsia="Arial" w:hAnsi="Arial"/>
          <w:sz w:val="17"/>
          <w:szCs w:val="17"/>
          <w:b w:val="1"/>
          <w:bCs w:val="1"/>
          <w:color w:val="auto"/>
        </w:rPr>
        <w:t>[</w:t>
      </w:r>
      <w:r>
        <w:rPr>
          <w:rFonts w:ascii="Arial" w:cs="Arial" w:eastAsia="Arial" w:hAnsi="Arial"/>
          <w:sz w:val="17"/>
          <w:szCs w:val="17"/>
          <w:color w:val="auto"/>
        </w:rPr>
        <w:t xml:space="preserve">the first anniversary of the effective date of this Agreement </w:t>
      </w:r>
      <w:r>
        <w:rPr>
          <w:rFonts w:ascii="Arial" w:cs="Arial" w:eastAsia="Arial" w:hAnsi="Arial"/>
          <w:sz w:val="17"/>
          <w:szCs w:val="17"/>
          <w:b w:val="1"/>
          <w:bCs w:val="1"/>
          <w:color w:val="auto"/>
        </w:rPr>
        <w:t>/</w:t>
      </w:r>
      <w:r>
        <w:rPr>
          <w:rFonts w:ascii="Arial" w:cs="Arial" w:eastAsia="Arial" w:hAnsi="Arial"/>
          <w:sz w:val="17"/>
          <w:szCs w:val="17"/>
          <w:color w:val="auto"/>
        </w:rPr>
        <w:t xml:space="preserve"> the date on which the Employee’s employment with the Company commences</w:t>
      </w:r>
      <w:r>
        <w:rPr>
          <w:rFonts w:ascii="Arial" w:cs="Arial" w:eastAsia="Arial" w:hAnsi="Arial"/>
          <w:sz w:val="17"/>
          <w:szCs w:val="17"/>
          <w:b w:val="1"/>
          <w:bCs w:val="1"/>
          <w:color w:val="auto"/>
        </w:rPr>
        <w:t>]</w:t>
      </w:r>
      <w:r>
        <w:rPr>
          <w:rFonts w:ascii="Arial" w:cs="Arial" w:eastAsia="Arial" w:hAnsi="Arial"/>
          <w:sz w:val="17"/>
          <w:szCs w:val="17"/>
          <w:color w:val="auto"/>
        </w:rPr>
        <w:t xml:space="preserve"> (the “Vest Date”) and (ii) 12.5% of the Shares shall vest on the last day of each six-month period following the first anniversary of the Vest Date, through and including the fourth anniversary of the Vest Date. Any fractional number of Shares resulting from the application of the foregoing percentages shall be rounded down to the nearest whole number of Shares. The Company may in its discretion accelerate the vesting schedule at any time. Notwithstanding the foregoing, to the extent that the Employee has entered into an employment agreement with the Company and the terms noted in such employment agreement are inconsistent with or conflicts with this Agreement, then the terms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employment agreement will supersede the inconsistent or conflicting terms set forth herein. In all other respects, this Agreement shall remain in full force and effect.</w:t>
      </w:r>
    </w:p>
    <w:p>
      <w:pPr>
        <w:spacing w:after="0" w:line="170" w:lineRule="exact"/>
        <w:rPr>
          <w:sz w:val="20"/>
          <w:szCs w:val="20"/>
          <w:color w:val="auto"/>
        </w:rPr>
      </w:pPr>
    </w:p>
    <w:p>
      <w:pPr>
        <w:ind w:right="520" w:firstLine="656"/>
        <w:spacing w:after="0" w:line="312" w:lineRule="auto"/>
        <w:tabs>
          <w:tab w:leader="none" w:pos="1279"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Acceleration of Vesting</w:t>
      </w:r>
      <w:r>
        <w:rPr>
          <w:rFonts w:ascii="Arial" w:cs="Arial" w:eastAsia="Arial" w:hAnsi="Arial"/>
          <w:sz w:val="16"/>
          <w:szCs w:val="16"/>
          <w:color w:val="auto"/>
        </w:rPr>
        <w:t>. Notwithstanding Section 2(a) hereof, effective immediately prior to the consummation of an Acquisition (as defined in the Plan), an additional 25% of the number of Shares covered by this Agreement shall become vested, with the remaining unvested Shares continuing to vest pursuant to the vesting schedule set forth above; provided that such vesting schedule shall be shortened by one year.</w:t>
      </w:r>
    </w:p>
    <w:p>
      <w:pPr>
        <w:spacing w:after="0" w:line="146" w:lineRule="exact"/>
        <w:rPr>
          <w:rFonts w:ascii="Arial" w:cs="Arial" w:eastAsia="Arial" w:hAnsi="Arial"/>
          <w:sz w:val="16"/>
          <w:szCs w:val="16"/>
          <w:color w:val="auto"/>
        </w:rPr>
      </w:pPr>
    </w:p>
    <w:p>
      <w:pPr>
        <w:ind w:right="220" w:firstLine="656"/>
        <w:spacing w:after="0" w:line="277" w:lineRule="auto"/>
        <w:tabs>
          <w:tab w:leader="none" w:pos="126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the Employee’s service with the Company is terminated for any reason, other than as described in Section 2(b) above, the Shares, to the extent not then-vested, shall be forfeited by the Employee without any consideration.</w:t>
      </w:r>
    </w:p>
    <w:p>
      <w:pPr>
        <w:spacing w:after="0" w:line="170" w:lineRule="exact"/>
        <w:rPr>
          <w:rFonts w:ascii="Arial" w:cs="Arial" w:eastAsia="Arial" w:hAnsi="Arial"/>
          <w:sz w:val="18"/>
          <w:szCs w:val="18"/>
          <w:color w:val="auto"/>
        </w:rPr>
      </w:pPr>
    </w:p>
    <w:p>
      <w:pPr>
        <w:ind w:right="60" w:firstLine="8"/>
        <w:spacing w:after="0" w:line="279" w:lineRule="auto"/>
        <w:tabs>
          <w:tab w:leader="none" w:pos="632"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Rights as a Stockholder</w:t>
      </w:r>
      <w:r>
        <w:rPr>
          <w:rFonts w:ascii="Arial" w:cs="Arial" w:eastAsia="Arial" w:hAnsi="Arial"/>
          <w:sz w:val="17"/>
          <w:szCs w:val="17"/>
          <w:color w:val="auto"/>
        </w:rPr>
        <w:t>. The Employee shall have none of the rights of a stockholder of the Company until the Shares vest; provided,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Employee shall have (a) the right to receive dividends on the Shares (the “Dividends”), subject to the remainder of this Section 3 and Section 7(c)(1) of the Plan and (b) voting rights with respect to such Shares. The Dividends, if any, shall be held by the Company and shall be subject to forfeiture until such time that the Shares on which the Dividends were distributed vest in accordance with Section 2 above.</w:t>
      </w:r>
    </w:p>
    <w:p>
      <w:pPr>
        <w:spacing w:after="0" w:line="171" w:lineRule="exact"/>
        <w:rPr>
          <w:rFonts w:ascii="Arial" w:cs="Arial" w:eastAsia="Arial" w:hAnsi="Arial"/>
          <w:sz w:val="17"/>
          <w:szCs w:val="17"/>
          <w:color w:val="auto"/>
        </w:rPr>
      </w:pPr>
    </w:p>
    <w:p>
      <w:pPr>
        <w:ind w:right="80" w:firstLine="8"/>
        <w:spacing w:after="0" w:line="286" w:lineRule="auto"/>
        <w:tabs>
          <w:tab w:leader="none" w:pos="632"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Restrictions on Transfer</w:t>
      </w:r>
      <w:r>
        <w:rPr>
          <w:rFonts w:ascii="Arial" w:cs="Arial" w:eastAsia="Arial" w:hAnsi="Arial"/>
          <w:sz w:val="17"/>
          <w:szCs w:val="17"/>
          <w:color w:val="auto"/>
        </w:rPr>
        <w:t>. Unless otherwise provided by the Board, the Employee shall not, during the term of this Agreement, sell, assign,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pledge, hypothecate or otherwise dispose of, by operation of law or otherwise (collectively “Transfer”), any of the Shares, or any interest therein, unless and until such Shares are no longer subject to risk of forfeiture. Notwithstanding the foregoing, the Employee may transfer:</w:t>
      </w:r>
    </w:p>
    <w:p>
      <w:pPr>
        <w:spacing w:after="0" w:line="165" w:lineRule="exact"/>
        <w:rPr>
          <w:rFonts w:ascii="Arial" w:cs="Arial" w:eastAsia="Arial" w:hAnsi="Arial"/>
          <w:sz w:val="17"/>
          <w:szCs w:val="17"/>
          <w:color w:val="auto"/>
        </w:rPr>
      </w:pPr>
    </w:p>
    <w:p>
      <w:pPr>
        <w:ind w:right="80" w:firstLine="656"/>
        <w:spacing w:after="0" w:line="286" w:lineRule="auto"/>
        <w:tabs>
          <w:tab w:leader="none" w:pos="126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or all of the Employee’s Shares (i) to his or her parents, spouse, children, stepchildren, grandchildren, or siblings, or spouse of any such person (collectively, “Immediate Family”); (ii) to a trust established for the benefit of his or her Immediate Family or himself/herself; or (iii) to a limited liability company or limited partnership, the members or partners of which are members of his or her Immediate Family or himself/herself; or</w:t>
      </w:r>
    </w:p>
    <w:p>
      <w:pPr>
        <w:spacing w:after="0" w:line="165" w:lineRule="exact"/>
        <w:rPr>
          <w:rFonts w:ascii="Arial" w:cs="Arial" w:eastAsia="Arial" w:hAnsi="Arial"/>
          <w:sz w:val="17"/>
          <w:szCs w:val="17"/>
          <w:color w:val="auto"/>
        </w:rPr>
      </w:pPr>
    </w:p>
    <w:p>
      <w:pPr>
        <w:ind w:left="1280" w:hanging="624"/>
        <w:spacing w:after="0"/>
        <w:tabs>
          <w:tab w:leader="none" w:pos="1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or all of the Employee’s Shares under such Employee’s will;</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all such Shares transferred under (a) or (b) shall remain subject to this Agreement (including without limitation the restrictions on transfer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this Section 4 and the forfeiture provision in Section 2(c)) and such permitted transferee shall, as a condition to such transfer, deliver to the Company:</w:t>
      </w:r>
    </w:p>
    <w:p>
      <w:pPr>
        <w:ind w:right="80" w:firstLine="8"/>
        <w:spacing w:after="0" w:line="25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written instrument confirming that such transferee shall be bound by all of the terms and conditions of this Agreement and (z) a copy of any such evidence as the Company may deem necessary to establish the validity of the transfer and acceptance by the transferee or transferees of the terms and conditions hereof. The Company shall not be required: (A) to transfer on its books any of the Shares which shall have been sold or transferred in violation of any of the provisions set forth in this Agreement, or (B) to treat as owner of such Shares or to pay Dividends to any transferee to whom any such Shares shall have been so sold or transferred.</w:t>
      </w:r>
    </w:p>
    <w:p>
      <w:pPr>
        <w:spacing w:after="0" w:line="191" w:lineRule="exact"/>
        <w:rPr>
          <w:sz w:val="20"/>
          <w:szCs w:val="20"/>
          <w:color w:val="auto"/>
        </w:rPr>
      </w:pPr>
    </w:p>
    <w:p>
      <w:pPr>
        <w:ind w:right="260" w:firstLine="8"/>
        <w:spacing w:after="0" w:line="342"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Escrow</w:t>
      </w:r>
      <w:r>
        <w:rPr>
          <w:rFonts w:ascii="Arial" w:cs="Arial" w:eastAsia="Arial" w:hAnsi="Arial"/>
          <w:sz w:val="16"/>
          <w:szCs w:val="16"/>
          <w:color w:val="auto"/>
        </w:rPr>
        <w:t>. The Shares shall be deposited by the Employee in escrow either by electronic record or by stock certificate upon (or as promptly as</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practicable following) the execution of this Agreement and shall be held in escrow by the Company or its designee, as escrow agent (the “Escrow Agent”).</w:t>
      </w:r>
    </w:p>
    <w:p>
      <w:pPr>
        <w:sectPr>
          <w:pgSz w:w="11900" w:h="16935" w:orient="portrait"/>
          <w:cols w:equalWidth="0" w:num="1">
            <w:col w:w="11420"/>
          </w:cols>
          <w:pgMar w:left="240" w:top="364" w:right="239" w:bottom="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t>Upon vesting of the Shares, the Escrow Agent shall release or electronically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transfer to the Employee, upon request, those Shares, which have vested (other than any withheld by the Company pursuant to Section 9). In the event the Shares are forfeited pursuant to Section 2(c) or withheld by the Company pursuant to Section 9, the Company shall give written notice to the Employee and to the Escrow Agent specifying the number of forfeited Shares or Shares to be withheld. The Employee and the Company authorize the Escrow Agent to take all necessary or appropriate actions consistent with the terms of this Agreement, including the delivery to the Company of those Shares and stock powers for the Shares being forfeited or withheld by the Company. The escrow shall terminate upon the earliest of (a) the vesting and lapse of forfeiture of all Shares awarded under this Agreement, (b) the election by the Company to waive forfeiture on all of the unvested Shares, or (c) the election by the Company to terminate this escrow. If at the time of such termination the Escrow Agent should have in its possession any Shares owed to the Employee, the Escrow Agent shall promptly deliver such Shares to the Employee and shall be discharged of all further obligations hereunder. The Escrow Agent shall be obligated only for the performance of such duties as are specifically set forth herein and may rely and shall be protected in relying or refraining from acting on any instrument reasonably believed by the Escrow Agent to be genuine and to have been signed or presented by the proper party or parties. The Escrow Agent or the Company shall not be liable for any act or omission in good faith and in the exercise of reasonable judgment. It is understood and agreed that should any dispute arise with respect to the delivery and/or ownership or right of possession of the Shares held by the Escrow Agent hereunder, the Escrow Agent is authorized to retain such Shares in its possession without liability to anyone all until such dispute shall have been settled either by mutual written agreement of the parties concerned or by a final order, decree or judgment of a court of competent jurisdiction after the time for appeal has expired. All reasonable costs, fees and disbursements incurred by the Escrow Agent in connection with the performance of its duties hereunder shall be borne by the Company.</w:t>
      </w:r>
    </w:p>
    <w:p>
      <w:pPr>
        <w:spacing w:after="0" w:line="16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A certificate or certificates representing the Shares shall be issued by the Company and shall be registered in the name of the Employee on the stock transfer books of the Company promptly following the effective date of this Agreement, but shall remain in the physical custody of the Company or its designee at all times prior to the vesting of such Shares pursuant to Section 2 hereof. As a condition to the receipt of this Agreement, the Employee shall deliver to the Company a Stock Power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duly endorsed in blank, relating to the Shares. Each certificate representing the Shares shall bear the following legend:</w:t>
      </w:r>
    </w:p>
    <w:p>
      <w:pPr>
        <w:spacing w:after="0" w:line="188" w:lineRule="exact"/>
        <w:rPr>
          <w:sz w:val="20"/>
          <w:szCs w:val="20"/>
          <w:color w:val="auto"/>
        </w:rPr>
      </w:pPr>
    </w:p>
    <w:p>
      <w:pPr>
        <w:jc w:val="both"/>
        <w:ind w:left="660" w:right="380"/>
        <w:spacing w:after="0" w:line="312" w:lineRule="auto"/>
        <w:rPr>
          <w:sz w:val="20"/>
          <w:szCs w:val="20"/>
          <w:color w:val="auto"/>
        </w:rPr>
      </w:pPr>
      <w:r>
        <w:rPr>
          <w:rFonts w:ascii="Arial" w:cs="Arial" w:eastAsia="Arial" w:hAnsi="Arial"/>
          <w:sz w:val="16"/>
          <w:szCs w:val="16"/>
          <w:i w:val="1"/>
          <w:iCs w:val="1"/>
          <w:color w:val="auto"/>
        </w:rPr>
        <w:t>“The ownership and transferability of this certificate and these shares are subject to the terms and conditions (including forfeiture) of the Sonus Networks, Inc. 2007 Stock Incentive Plan, as Amended, and a Restricted Stock Award Agreement entered into between the registered owner and Sonus Networks, Inc. Copies of such Plan and the Agreement are on file in the executive offices of Sonus Networks, Inc.”</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If the Shares are issued to the Employee electronically rather than by a stock certificate, the electronic record reflecting the issuance of the Shares to the Employee shall bear such a legend or other notation.</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soon as administratively practicable, but not later than sixty (60) days, following the vesting of the Shares (as described in Section 2 hereof), and upon the satisfaction of all other applicable conditions, including, but not limited to, the payment by the Employee of all applicable withholding taxes, the Company shall deliver or cause to be delivered to the Employee, or in the case of the Employee’s death, the Employee’s beneficiary, a certificate or certificates for the applicable Shares, which shall not bear the legend described above, but may bear such other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legends as the Company deems advisable pursuant to Section 6 below. If the Shares are issued to the Employee electronically rather than by a stock certificate, the legend described above shall be removed, but may bear such other legends as the Company deems advisable pursuant to Section 6 below.</w:t>
      </w:r>
    </w:p>
    <w:p>
      <w:pPr>
        <w:spacing w:after="0" w:line="124" w:lineRule="exact"/>
        <w:rPr>
          <w:sz w:val="20"/>
          <w:szCs w:val="20"/>
          <w:color w:val="auto"/>
        </w:rPr>
      </w:pPr>
    </w:p>
    <w:p>
      <w:pPr>
        <w:ind w:right="240" w:firstLine="53"/>
        <w:spacing w:after="0" w:line="277" w:lineRule="auto"/>
        <w:tabs>
          <w:tab w:leader="none" w:pos="639"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Adjustments of Shares</w:t>
      </w:r>
      <w:r>
        <w:rPr>
          <w:rFonts w:ascii="Arial" w:cs="Arial" w:eastAsia="Arial" w:hAnsi="Arial"/>
          <w:sz w:val="18"/>
          <w:szCs w:val="18"/>
          <w:color w:val="auto"/>
        </w:rPr>
        <w:t>. In the event of a Reorganization Event (as defined in the Plan) or other transaction described in Section 9 of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the other terms of this Agreement shall be adjusted in the manner provided for in Section 10 of the Plan.</w:t>
      </w:r>
    </w:p>
    <w:p>
      <w:pPr>
        <w:spacing w:after="0" w:line="170" w:lineRule="exact"/>
        <w:rPr>
          <w:rFonts w:ascii="Arial" w:cs="Arial" w:eastAsia="Arial" w:hAnsi="Arial"/>
          <w:sz w:val="18"/>
          <w:szCs w:val="18"/>
          <w:color w:val="auto"/>
        </w:rPr>
      </w:pPr>
    </w:p>
    <w:p>
      <w:pPr>
        <w:ind w:right="440" w:firstLine="53"/>
        <w:spacing w:after="0" w:line="264" w:lineRule="auto"/>
        <w:tabs>
          <w:tab w:leader="none" w:pos="639"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The obligations of the Company and the Employee under this Agreement are subject to all applicable laws,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including all applicable federal and state securities laws and the obtaining of all such approvals by government agencies as may be deemed necessary or appropriate by the Board or the relevant committee of the Board.</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hanging="4"/>
        <w:spacing w:after="0" w:line="271" w:lineRule="auto"/>
        <w:tabs>
          <w:tab w:leader="none" w:pos="1280" w:val="left"/>
        </w:tabs>
        <w:numPr>
          <w:ilvl w:val="2"/>
          <w:numId w:val="31"/>
        </w:numPr>
        <w:rPr>
          <w:rFonts w:ascii="Arial" w:cs="Arial" w:eastAsia="Arial" w:hAnsi="Arial"/>
          <w:sz w:val="17"/>
          <w:szCs w:val="17"/>
          <w:color w:val="auto"/>
        </w:rPr>
      </w:pPr>
      <w:r>
        <w:rPr>
          <w:rFonts w:ascii="Arial" w:cs="Arial" w:eastAsia="Arial" w:hAnsi="Arial"/>
          <w:sz w:val="17"/>
          <w:szCs w:val="17"/>
          <w:i w:val="1"/>
          <w:iCs w:val="1"/>
          <w:color w:val="auto"/>
        </w:rPr>
        <w:t>Section 83(b) Election</w:t>
      </w:r>
      <w:r>
        <w:rPr>
          <w:rFonts w:ascii="Arial" w:cs="Arial" w:eastAsia="Arial" w:hAnsi="Arial"/>
          <w:sz w:val="17"/>
          <w:szCs w:val="17"/>
          <w:color w:val="auto"/>
        </w:rPr>
        <w:t>. The Employee may elect under Section 83(b) of the Internal Revenue Code of 1986, as amended, to be taxed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the Shares are acquired on the Grant Date (“Section 83(b) Election”). A Section 83(b) Election must be filed with the Internal Revenue Service within thirty (30) days of the Grant Date and the Employee shall provide a copy of such form with the Company promptly following his or her filing. If the Employee elects, in accordance with Section 83(b), to recognize ordinary income in the year of acquisition of the Shares, the Company will require at the time of such election an additional payment by the Employee in an amount equal to any federal, state, local or other taxes of any kind required by law to be withheld with respect to the issuance of the Shares to the Employee. Moreover, the Employee acknowledges and he or she is solely responsible to file a timely election under Section 83(b) and the Company shall bear no responsibility for any consequence of the Employee making a Section 83(b) Election or failing to make a Section 83(b) Election.</w:t>
      </w:r>
    </w:p>
    <w:p>
      <w:pPr>
        <w:spacing w:after="0" w:line="178" w:lineRule="exact"/>
        <w:rPr>
          <w:rFonts w:ascii="Arial" w:cs="Arial" w:eastAsia="Arial" w:hAnsi="Arial"/>
          <w:sz w:val="17"/>
          <w:szCs w:val="17"/>
          <w:color w:val="auto"/>
        </w:rPr>
      </w:pPr>
    </w:p>
    <w:p>
      <w:pPr>
        <w:ind w:left="660" w:right="340" w:hanging="4"/>
        <w:spacing w:after="0" w:line="286" w:lineRule="auto"/>
        <w:tabs>
          <w:tab w:leader="none" w:pos="1290" w:val="left"/>
        </w:tabs>
        <w:numPr>
          <w:ilvl w:val="2"/>
          <w:numId w:val="31"/>
        </w:numPr>
        <w:rPr>
          <w:rFonts w:ascii="Arial" w:cs="Arial" w:eastAsia="Arial" w:hAnsi="Arial"/>
          <w:sz w:val="17"/>
          <w:szCs w:val="17"/>
          <w:color w:val="auto"/>
        </w:rPr>
      </w:pPr>
      <w:r>
        <w:rPr>
          <w:rFonts w:ascii="Arial" w:cs="Arial" w:eastAsia="Arial" w:hAnsi="Arial"/>
          <w:sz w:val="17"/>
          <w:szCs w:val="17"/>
          <w:i w:val="1"/>
          <w:iCs w:val="1"/>
          <w:color w:val="auto"/>
        </w:rPr>
        <w:t>Withholding Taxes</w:t>
      </w:r>
      <w:r>
        <w:rPr>
          <w:rFonts w:ascii="Arial" w:cs="Arial" w:eastAsia="Arial" w:hAnsi="Arial"/>
          <w:sz w:val="17"/>
          <w:szCs w:val="17"/>
          <w:color w:val="auto"/>
        </w:rPr>
        <w:t>. The Employee may be required to pay the Company or any affiliate, and the Company shall have the right and is</w:t>
      </w:r>
      <w:r>
        <w:rPr>
          <w:rFonts w:ascii="Arial" w:cs="Arial" w:eastAsia="Arial" w:hAnsi="Arial"/>
          <w:sz w:val="17"/>
          <w:szCs w:val="17"/>
          <w:i w:val="1"/>
          <w:iCs w:val="1"/>
          <w:color w:val="auto"/>
        </w:rPr>
        <w:t xml:space="preserve"> </w:t>
      </w:r>
      <w:r>
        <w:rPr>
          <w:rFonts w:ascii="Arial" w:cs="Arial" w:eastAsia="Arial" w:hAnsi="Arial"/>
          <w:sz w:val="17"/>
          <w:szCs w:val="17"/>
          <w:color w:val="auto"/>
        </w:rPr>
        <w:t>hereby authorized to withhold, any applicable withholding taxes in respect of the Shares, their vesting or transfer and to take such other action as may be necessary in the opinion of the Board to satisfy all obligations for the payment of such withholding taxes.</w:t>
      </w:r>
    </w:p>
    <w:p>
      <w:pPr>
        <w:spacing w:after="0" w:line="165" w:lineRule="exact"/>
        <w:rPr>
          <w:rFonts w:ascii="Arial" w:cs="Arial" w:eastAsia="Arial" w:hAnsi="Arial"/>
          <w:sz w:val="17"/>
          <w:szCs w:val="17"/>
          <w:color w:val="auto"/>
        </w:rPr>
      </w:pPr>
    </w:p>
    <w:p>
      <w:pPr>
        <w:ind w:left="660" w:right="100" w:hanging="4"/>
        <w:spacing w:after="0" w:line="257" w:lineRule="auto"/>
        <w:tabs>
          <w:tab w:leader="none" w:pos="1280" w:val="left"/>
        </w:tabs>
        <w:numPr>
          <w:ilvl w:val="2"/>
          <w:numId w:val="31"/>
        </w:numPr>
        <w:rPr>
          <w:rFonts w:ascii="Arial" w:cs="Arial" w:eastAsia="Arial" w:hAnsi="Arial"/>
          <w:sz w:val="18"/>
          <w:szCs w:val="18"/>
          <w:color w:val="auto"/>
        </w:rPr>
      </w:pPr>
      <w:r>
        <w:rPr>
          <w:rFonts w:ascii="Arial" w:cs="Arial" w:eastAsia="Arial" w:hAnsi="Arial"/>
          <w:sz w:val="18"/>
          <w:szCs w:val="18"/>
          <w:i w:val="1"/>
          <w:iCs w:val="1"/>
          <w:color w:val="auto"/>
        </w:rPr>
        <w:t>Tax Advice</w:t>
      </w:r>
      <w:r>
        <w:rPr>
          <w:rFonts w:ascii="Arial" w:cs="Arial" w:eastAsia="Arial" w:hAnsi="Arial"/>
          <w:sz w:val="18"/>
          <w:szCs w:val="18"/>
          <w:color w:val="auto"/>
        </w:rPr>
        <w:t>. The Employee acknowledges that he or she is responsible for reviewing with his or her own tax advisors the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local and other tax consequences of this investment and the transactions contemplated by this Agreement. The Employee acknowledges that he or she is not relying on any statements or representations of the Company or any of its agents. The Employee understands that the Employee (and not the Company) shall be responsible for the Employee’s own tax liability that may arise as a result of this investment or the transactions contemplated by this Agreement.</w:t>
      </w:r>
    </w:p>
    <w:p>
      <w:pPr>
        <w:sectPr>
          <w:pgSz w:w="11900" w:h="16838" w:orient="portrait"/>
          <w:cols w:equalWidth="0" w:num="1">
            <w:col w:w="11420"/>
          </w:cols>
          <w:pgMar w:left="240" w:top="125" w:right="239" w:bottom="0" w:gutter="0" w:footer="0" w:header="0"/>
        </w:sectPr>
      </w:pPr>
    </w:p>
    <w:bookmarkStart w:id="48" w:name="page49"/>
    <w:bookmarkEnd w:id="48"/>
    <w:p>
      <w:pPr>
        <w:jc w:val="both"/>
        <w:ind w:right="80" w:firstLine="8"/>
        <w:spacing w:after="0" w:line="264"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The granting of the Shares evidenced hereby and this Agreement shall impose no obligation on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affiliates to continue the service of the Employee and shall not lessen or affect any right that the Company or any of its affiliates may have to terminate the service of such Employee. The Employee shall remain an employee at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8"/>
        <w:spacing w:after="0" w:line="290" w:lineRule="auto"/>
        <w:tabs>
          <w:tab w:leader="none" w:pos="64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Securities Laws; Legends on Certificates</w:t>
      </w:r>
      <w:r>
        <w:rPr>
          <w:rFonts w:ascii="Arial" w:cs="Arial" w:eastAsia="Arial" w:hAnsi="Arial"/>
          <w:sz w:val="16"/>
          <w:szCs w:val="16"/>
          <w:color w:val="auto"/>
        </w:rPr>
        <w:t>. The issuance and delivery of the Shares shall comply with (or be exempt from)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reasonable request which satisfies such requirements.</w:t>
      </w:r>
    </w:p>
    <w:p>
      <w:pPr>
        <w:spacing w:after="0" w:line="166" w:lineRule="exact"/>
        <w:rPr>
          <w:rFonts w:ascii="Arial" w:cs="Arial" w:eastAsia="Arial" w:hAnsi="Arial"/>
          <w:sz w:val="16"/>
          <w:szCs w:val="16"/>
          <w:color w:val="auto"/>
        </w:rPr>
      </w:pPr>
    </w:p>
    <w:p>
      <w:pPr>
        <w:ind w:right="180" w:firstLine="8"/>
        <w:spacing w:after="0" w:line="259" w:lineRule="auto"/>
        <w:tabs>
          <w:tab w:leader="none" w:pos="639"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notification required by the terms of this Agreement shall be given in writing and shall be deemed effective upon personal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6" w:lineRule="exact"/>
        <w:rPr>
          <w:rFonts w:ascii="Arial" w:cs="Arial" w:eastAsia="Arial" w:hAnsi="Arial"/>
          <w:sz w:val="18"/>
          <w:szCs w:val="18"/>
          <w:color w:val="auto"/>
        </w:rPr>
      </w:pPr>
    </w:p>
    <w:p>
      <w:pPr>
        <w:ind w:firstLine="8"/>
        <w:spacing w:after="0" w:line="259"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Shares Subject to Plan. </w:t>
      </w:r>
      <w:r>
        <w:rPr>
          <w:rFonts w:ascii="Arial" w:cs="Arial" w:eastAsia="Arial" w:hAnsi="Arial"/>
          <w:sz w:val="18"/>
          <w:szCs w:val="18"/>
          <w:color w:val="auto"/>
        </w:rPr>
        <w:t>By entering into this Agreement, the Employee agrees and acknowledges that the Employee has received and read a copy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the Shares are subject to the Plan; and the terms and provisions of the Plan as it may be amended from time to time are hereby incorporated herein by reference. In the event of a conflict between any term or provision contained herein and a term or provision o the Plan, the applicable terms and provisions of the Plan will govern and prevail.</w:t>
      </w:r>
    </w:p>
    <w:p>
      <w:pPr>
        <w:spacing w:after="0" w:line="186" w:lineRule="exact"/>
        <w:rPr>
          <w:rFonts w:ascii="Arial" w:cs="Arial" w:eastAsia="Arial" w:hAnsi="Arial"/>
          <w:sz w:val="18"/>
          <w:szCs w:val="18"/>
          <w:color w:val="auto"/>
        </w:rPr>
      </w:pPr>
    </w:p>
    <w:p>
      <w:pPr>
        <w:ind w:right="80" w:firstLine="8"/>
        <w:spacing w:after="0" w:line="277"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The provisions of this Agreement are severable and if any one or more provisions are deemed to be illegal or otherwise unenforceable,</w:t>
      </w:r>
      <w:r>
        <w:rPr>
          <w:rFonts w:ascii="Arial" w:cs="Arial" w:eastAsia="Arial" w:hAnsi="Arial"/>
          <w:sz w:val="18"/>
          <w:szCs w:val="18"/>
          <w:i w:val="1"/>
          <w:iCs w:val="1"/>
          <w:color w:val="auto"/>
        </w:rPr>
        <w:t xml:space="preserve"> </w:t>
      </w:r>
      <w:r>
        <w:rPr>
          <w:rFonts w:ascii="Arial" w:cs="Arial" w:eastAsia="Arial" w:hAnsi="Arial"/>
          <w:sz w:val="18"/>
          <w:szCs w:val="18"/>
          <w:color w:val="auto"/>
        </w:rPr>
        <w:t>in whole or in part, the remaining provisions shall nevertheless be binding and enforceable.</w:t>
      </w:r>
    </w:p>
    <w:p>
      <w:pPr>
        <w:spacing w:after="0" w:line="170" w:lineRule="exact"/>
        <w:rPr>
          <w:rFonts w:ascii="Arial" w:cs="Arial" w:eastAsia="Arial" w:hAnsi="Arial"/>
          <w:sz w:val="18"/>
          <w:szCs w:val="18"/>
          <w:color w:val="auto"/>
        </w:rPr>
      </w:pPr>
    </w:p>
    <w:p>
      <w:pPr>
        <w:ind w:right="140" w:firstLine="8"/>
        <w:spacing w:after="0" w:line="277"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Erroneously Awarded Compensation</w:t>
      </w:r>
      <w:r>
        <w:rPr>
          <w:rFonts w:ascii="Arial" w:cs="Arial" w:eastAsia="Arial" w:hAnsi="Arial"/>
          <w:sz w:val="18"/>
          <w:szCs w:val="18"/>
          <w:color w:val="auto"/>
        </w:rPr>
        <w:t>. All Awards, if and to the extent subject to the Dodd-Frank Wall Street Reform and Consumer Protection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subject to any incentive compensation policy established from time to time by the Company to comply with such Act.</w:t>
      </w:r>
    </w:p>
    <w:p>
      <w:pPr>
        <w:spacing w:after="0" w:line="170" w:lineRule="exact"/>
        <w:rPr>
          <w:rFonts w:ascii="Arial" w:cs="Arial" w:eastAsia="Arial" w:hAnsi="Arial"/>
          <w:sz w:val="18"/>
          <w:szCs w:val="18"/>
          <w:color w:val="auto"/>
        </w:rPr>
      </w:pPr>
    </w:p>
    <w:p>
      <w:pPr>
        <w:ind w:right="140" w:firstLine="8"/>
        <w:spacing w:after="0" w:line="271" w:lineRule="auto"/>
        <w:tabs>
          <w:tab w:leader="none" w:pos="64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This Agreement will be governed by and interpreted and construed in accordance with the internal laws of the State of Delaware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to principles of conflicts or choice of law) as to all matters, including, but not limited to, mattes of validity, construction, effect, performance and metrics. The captions of the sections of this Agreement are for reference only and will not affect the interpretation or construction of this Agreement. This Agreement will bind and inure to the benefit of the parties and their respective successors, permitted assigns, heirs, devisees, and legal representatives. Except as set forth herein, this Agreement (including the Plan) supersedes all prior agreements, whether written or oral and whether express or implied, between the Employee and the Company relating to the subject matter of this Agreement. This Agreement may be amended or modified only by a written agreement signed by the Company and the Employee; provided, however, that the Board may amend or alter this Agreement and the Shares granted hereunder at any time, subject to the terms of the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8"/>
        <w:spacing w:after="0" w:line="277" w:lineRule="auto"/>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Signature in Counterparts</w:t>
      </w:r>
      <w:r>
        <w:rPr>
          <w:rFonts w:ascii="Arial" w:cs="Arial" w:eastAsia="Arial" w:hAnsi="Arial"/>
          <w:sz w:val="18"/>
          <w:szCs w:val="18"/>
          <w:color w:val="auto"/>
        </w:rPr>
        <w:t>. This Agreement may be signed in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SONUS NETWORKS, INC.</w:t>
      </w:r>
    </w:p>
    <w:p>
      <w:pPr>
        <w:spacing w:after="0" w:line="200" w:lineRule="exact"/>
        <w:rPr>
          <w:sz w:val="20"/>
          <w:szCs w:val="20"/>
          <w:color w:val="auto"/>
        </w:r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87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Restricted Stock Award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54"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Power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 Power(1)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hereby sells, assigns and transfers unto Sonus Networks, Inc. (the “Company”),</w:t>
      </w:r>
    </w:p>
    <w:p>
      <w:pPr>
        <w:spacing w:after="0" w:line="23" w:lineRule="exact"/>
        <w:rPr>
          <w:sz w:val="20"/>
          <w:szCs w:val="20"/>
          <w:color w:val="auto"/>
        </w:rPr>
      </w:pPr>
    </w:p>
    <w:p>
      <w:pPr>
        <w:ind w:left="4080" w:hanging="967"/>
        <w:spacing w:after="0"/>
        <w:tabs>
          <w:tab w:leader="none" w:pos="4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shares of common stock, par value $0.001 per share, of the Company standing in his/her/their/its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Arial" w:cs="Arial" w:eastAsia="Arial" w:hAnsi="Arial"/>
                <w:sz w:val="18"/>
                <w:szCs w:val="18"/>
                <w:color w:val="auto"/>
              </w:rPr>
              <w:t>name on the books of the Company represented by Certificate No.</w:t>
            </w:r>
          </w:p>
        </w:tc>
        <w:tc>
          <w:tcPr>
            <w:tcW w:w="5820" w:type="dxa"/>
            <w:vAlign w:val="bottom"/>
            <w:gridSpan w:val="2"/>
          </w:tcPr>
          <w:p>
            <w:pPr>
              <w:ind w:left="1160"/>
              <w:spacing w:after="0"/>
              <w:rPr>
                <w:sz w:val="20"/>
                <w:szCs w:val="20"/>
                <w:color w:val="auto"/>
              </w:rPr>
            </w:pPr>
            <w:r>
              <w:rPr>
                <w:rFonts w:ascii="Arial" w:cs="Arial" w:eastAsia="Arial" w:hAnsi="Arial"/>
                <w:sz w:val="18"/>
                <w:szCs w:val="18"/>
                <w:color w:val="auto"/>
                <w:w w:val="96"/>
              </w:rPr>
              <w:t>herewith and does hereby irrevocably constitute and appoint</w:t>
            </w:r>
          </w:p>
        </w:tc>
      </w:tr>
      <w:tr>
        <w:trPr>
          <w:trHeight w:val="230"/>
        </w:trPr>
        <w:tc>
          <w:tcPr>
            <w:tcW w:w="720" w:type="dxa"/>
            <w:vAlign w:val="bottom"/>
          </w:tcPr>
          <w:p>
            <w:pPr>
              <w:spacing w:after="0"/>
              <w:rPr>
                <w:sz w:val="20"/>
                <w:szCs w:val="20"/>
                <w:color w:val="auto"/>
              </w:rPr>
            </w:pPr>
          </w:p>
        </w:tc>
        <w:tc>
          <w:tcPr>
            <w:tcW w:w="10700" w:type="dxa"/>
            <w:vAlign w:val="bottom"/>
            <w:gridSpan w:val="3"/>
          </w:tcPr>
          <w:p>
            <w:pPr>
              <w:ind w:left="1220"/>
              <w:spacing w:after="0"/>
              <w:rPr>
                <w:sz w:val="20"/>
                <w:szCs w:val="20"/>
                <w:color w:val="auto"/>
              </w:rPr>
            </w:pPr>
            <w:r>
              <w:rPr>
                <w:rFonts w:ascii="Arial" w:cs="Arial" w:eastAsia="Arial" w:hAnsi="Arial"/>
                <w:sz w:val="18"/>
                <w:szCs w:val="18"/>
                <w:color w:val="auto"/>
              </w:rPr>
              <w:t>his/her/their/its attorney-in-fact, with full power of substitution, to transfer such shares on the books of the Company.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4880" w:type="dxa"/>
            <w:vAlign w:val="bottom"/>
            <w:tcBorders>
              <w:bottom w:val="single" w:sz="8" w:color="auto"/>
            </w:tcBorders>
          </w:tcPr>
          <w:p>
            <w:pPr>
              <w:spacing w:after="0"/>
              <w:rPr>
                <w:sz w:val="24"/>
                <w:szCs w:val="24"/>
                <w:color w:val="auto"/>
              </w:rPr>
            </w:pPr>
          </w:p>
        </w:tc>
        <w:tc>
          <w:tcPr>
            <w:tcW w:w="1400" w:type="dxa"/>
            <w:vAlign w:val="bottom"/>
          </w:tcPr>
          <w:p>
            <w:pPr>
              <w:ind w:left="400"/>
              <w:spacing w:after="0"/>
              <w:rPr>
                <w:sz w:val="20"/>
                <w:szCs w:val="20"/>
                <w:color w:val="auto"/>
              </w:rPr>
            </w:pPr>
            <w:r>
              <w:rPr>
                <w:rFonts w:ascii="Arial" w:cs="Arial" w:eastAsia="Arial" w:hAnsi="Arial"/>
                <w:sz w:val="18"/>
                <w:szCs w:val="18"/>
                <w:color w:val="auto"/>
              </w:rPr>
              <w:t>Signature:</w:t>
            </w:r>
          </w:p>
        </w:tc>
        <w:tc>
          <w:tcPr>
            <w:tcW w:w="4420" w:type="dxa"/>
            <w:vAlign w:val="bottom"/>
            <w:tcBorders>
              <w:bottom w:val="single" w:sz="8" w:color="auto"/>
            </w:tcBorders>
          </w:tcPr>
          <w:p>
            <w:pPr>
              <w:spacing w:after="0"/>
              <w:rPr>
                <w:sz w:val="24"/>
                <w:szCs w:val="24"/>
                <w:color w:val="auto"/>
              </w:rPr>
            </w:pPr>
          </w:p>
        </w:tc>
      </w:tr>
      <w:tr>
        <w:trPr>
          <w:trHeight w:val="412"/>
        </w:trPr>
        <w:tc>
          <w:tcPr>
            <w:tcW w:w="5600" w:type="dxa"/>
            <w:vAlign w:val="bottom"/>
            <w:gridSpan w:val="2"/>
          </w:tcPr>
          <w:p>
            <w:pPr>
              <w:spacing w:after="0"/>
              <w:rPr>
                <w:sz w:val="20"/>
                <w:szCs w:val="20"/>
                <w:color w:val="auto"/>
              </w:rPr>
            </w:pPr>
            <w:r>
              <w:rPr>
                <w:rFonts w:ascii="Arial" w:cs="Arial" w:eastAsia="Arial" w:hAnsi="Arial"/>
                <w:sz w:val="18"/>
                <w:szCs w:val="18"/>
                <w:color w:val="auto"/>
              </w:rPr>
              <w:t>Print Name and Mailing Address:</w:t>
            </w:r>
          </w:p>
        </w:tc>
        <w:tc>
          <w:tcPr>
            <w:tcW w:w="140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right="420" w:hanging="1296"/>
        <w:spacing w:after="0" w:line="266" w:lineRule="auto"/>
        <w:rPr>
          <w:sz w:val="20"/>
          <w:szCs w:val="20"/>
          <w:color w:val="auto"/>
        </w:rPr>
      </w:pPr>
      <w:r>
        <w:rPr>
          <w:rFonts w:ascii="Arial" w:cs="Arial" w:eastAsia="Arial" w:hAnsi="Arial"/>
          <w:sz w:val="18"/>
          <w:szCs w:val="18"/>
          <w:b w:val="1"/>
          <w:bCs w:val="1"/>
          <w:color w:val="auto"/>
        </w:rPr>
        <w:t xml:space="preserve">Instructions: </w:t>
      </w:r>
      <w:r>
        <w:rPr>
          <w:rFonts w:ascii="Arial" w:cs="Arial" w:eastAsia="Arial" w:hAnsi="Arial"/>
          <w:sz w:val="18"/>
          <w:szCs w:val="18"/>
          <w:i w:val="1"/>
          <w:iCs w:val="1"/>
          <w:color w:val="auto"/>
        </w:rPr>
        <w:t>Please do</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fill any blanks other thank the signature line and printed name and mailing address. Please print your name exactly as you</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would like your name to appear on the issued stock certificate(s). The purpose of this assignment is to enable the forfeiture of shares without requiring additional signatures on your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This stock power is not effective if executed in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rPr>
          <w:rFonts w:ascii="Arial" w:cs="Arial" w:eastAsia="Arial" w:hAnsi="Arial"/>
          <w:sz w:val="22"/>
          <w:szCs w:val="22"/>
          <w:color w:val="0000EE"/>
        </w:rPr>
      </w:pPr>
      <w:hyperlink w:anchor="page5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Raymond P. Dolan, certify that:</w:t>
      </w:r>
    </w:p>
    <w:p>
      <w:pPr>
        <w:spacing w:after="0" w:line="225" w:lineRule="exact"/>
        <w:rPr>
          <w:sz w:val="20"/>
          <w:szCs w:val="20"/>
          <w:color w:val="auto"/>
        </w:rPr>
      </w:pPr>
    </w:p>
    <w:p>
      <w:pPr>
        <w:ind w:left="720" w:hanging="36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2011</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52" w:name="page53"/>
    <w:bookmarkEnd w:id="52"/>
    <w:p>
      <w:pPr>
        <w:spacing w:after="0"/>
        <w:rPr>
          <w:rFonts w:ascii="Arial" w:cs="Arial" w:eastAsia="Arial" w:hAnsi="Arial"/>
          <w:sz w:val="22"/>
          <w:szCs w:val="22"/>
          <w:color w:val="0000EE"/>
        </w:rPr>
      </w:pPr>
      <w:hyperlink w:anchor="page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Wayne Pastore, certify that:</w:t>
      </w:r>
    </w:p>
    <w:p>
      <w:pPr>
        <w:spacing w:after="0" w:line="225" w:lineRule="exact"/>
        <w:rPr>
          <w:sz w:val="20"/>
          <w:szCs w:val="20"/>
          <w:color w:val="auto"/>
        </w:rPr>
      </w:pPr>
    </w:p>
    <w:p>
      <w:pPr>
        <w:ind w:left="720" w:hanging="361"/>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2011</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54" w:name="page55"/>
    <w:bookmarkEnd w:id="54"/>
    <w:p>
      <w:pPr>
        <w:spacing w:after="0"/>
        <w:rPr>
          <w:rFonts w:ascii="Arial" w:cs="Arial" w:eastAsia="Arial" w:hAnsi="Arial"/>
          <w:sz w:val="22"/>
          <w:szCs w:val="22"/>
          <w:color w:val="0000EE"/>
        </w:rPr>
      </w:pPr>
      <w:hyperlink w:anchor="page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June 30, 2011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2, 2011</w:t>
      </w:r>
    </w:p>
    <w:p>
      <w:pPr>
        <w:ind w:left="58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56" w:name="page57"/>
    <w:bookmarkEnd w:id="56"/>
    <w:p>
      <w:pPr>
        <w:spacing w:after="0"/>
        <w:rPr>
          <w:rFonts w:ascii="Arial" w:cs="Arial" w:eastAsia="Arial" w:hAnsi="Arial"/>
          <w:sz w:val="22"/>
          <w:szCs w:val="22"/>
          <w:color w:val="0000EE"/>
        </w:rPr>
      </w:pPr>
      <w:hyperlink w:anchor="page5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52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June 30, 2011 as filed with the Securities and Exchange Commission on the date hereof (the "Report"), the undersigned, Wayne Pastore,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2, 2011</w:t>
      </w:r>
    </w:p>
    <w:p>
      <w:pPr>
        <w:ind w:left="58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decimal"/>
      <w:start w:val="6"/>
    </w:lvl>
    <w:lvl w:ilvl="1">
      <w:lvlJc w:val="left"/>
      <w:lvlText w:val="(%2)"/>
      <w:numFmt w:val="lowerLetter"/>
      <w:start w:val="1"/>
    </w:lvl>
  </w:abstractNum>
  <w:abstractNum w:abstractNumId="18">
    <w:nsid w:val="2901D82"/>
    <w:multiLevelType w:val="hybridMultilevel"/>
    <w:lvl w:ilvl="0">
      <w:lvlJc w:val="left"/>
      <w:lvlText w:val="%1"/>
      <w:numFmt w:val="decimal"/>
      <w:start w:val="1"/>
    </w:lvl>
    <w:lvl w:ilvl="1">
      <w:lvlJc w:val="left"/>
      <w:lvlText w:val="(%2)"/>
      <w:numFmt w:val="lowerLetter"/>
      <w:start w:val="7"/>
    </w:lvl>
  </w:abstractNum>
  <w:abstractNum w:abstractNumId="19">
    <w:nsid w:val="3A95F874"/>
    <w:multiLevelType w:val="hybridMultilevel"/>
    <w:lvl w:ilvl="0">
      <w:lvlJc w:val="left"/>
      <w:lvlText w:val="%1."/>
      <w:numFmt w:val="decimal"/>
      <w:start w:val="7"/>
    </w:lvl>
    <w:lvl w:ilvl="1">
      <w:lvlJc w:val="left"/>
      <w:lvlText w:val="%2"/>
      <w:numFmt w:val="lowerLetter"/>
      <w:start w:val="1"/>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decimal"/>
      <w:start w:val="19"/>
    </w:lvl>
  </w:abstractNum>
  <w:abstractNum w:abstractNumId="22">
    <w:nsid w:val="7C3DBD3D"/>
    <w:multiLevelType w:val="hybridMultilevel"/>
    <w:lvl w:ilvl="0">
      <w:lvlJc w:val="left"/>
      <w:lvlText w:val="%1."/>
      <w:numFmt w:val="decimal"/>
      <w:start w:val="20"/>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2"/>
    </w:lvl>
    <w:lvl w:ilvl="1">
      <w:lvlJc w:val="left"/>
      <w:lvlText w:val="(%2)"/>
      <w:numFmt w:val="lowerLetter"/>
      <w:start w:val="1"/>
    </w:lvl>
  </w:abstractNum>
  <w:abstractNum w:abstractNumId="25">
    <w:nsid w:val="22221A70"/>
    <w:multiLevelType w:val="hybridMultilevel"/>
    <w:lvl w:ilvl="0">
      <w:lvlJc w:val="left"/>
      <w:lvlText w:val="%1"/>
      <w:numFmt w:val="decimal"/>
      <w:start w:val="1"/>
    </w:lvl>
    <w:lvl w:ilvl="1">
      <w:lvlJc w:val="left"/>
      <w:lvlText w:val="(%2)"/>
      <w:numFmt w:val="lowerLetter"/>
      <w:start w:val="2"/>
    </w:lvl>
  </w:abstractNum>
  <w:abstractNum w:abstractNumId="26">
    <w:nsid w:val="4516DDE9"/>
    <w:multiLevelType w:val="hybridMultilevel"/>
    <w:lvl w:ilvl="0">
      <w:lvlJc w:val="left"/>
      <w:lvlText w:val="%1."/>
      <w:numFmt w:val="decimal"/>
      <w:start w:val="3"/>
    </w:lvl>
    <w:lvl w:ilvl="1">
      <w:lvlJc w:val="left"/>
      <w:lvlText w:val="(%2)"/>
      <w:numFmt w:val="lowerLetter"/>
      <w:start w:val="1"/>
    </w:lvl>
  </w:abstractNum>
  <w:abstractNum w:abstractNumId="27">
    <w:nsid w:val="3006C83E"/>
    <w:multiLevelType w:val="hybridMultilevel"/>
    <w:lvl w:ilvl="0">
      <w:lvlJc w:val="left"/>
      <w:lvlText w:val="(%1)"/>
      <w:numFmt w:val="lowerLetter"/>
      <w:start w:val="25"/>
    </w:lvl>
  </w:abstractNum>
  <w:abstractNum w:abstractNumId="28">
    <w:nsid w:val="614FD4A1"/>
    <w:multiLevelType w:val="hybridMultilevel"/>
    <w:lvl w:ilvl="0">
      <w:lvlJc w:val="left"/>
      <w:lvlText w:val="%1."/>
      <w:numFmt w:val="decimal"/>
      <w:start w:val="5"/>
    </w:lvl>
  </w:abstractNum>
  <w:abstractNum w:abstractNumId="29">
    <w:nsid w:val="419AC241"/>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30">
    <w:nsid w:val="5577F8E1"/>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31">
    <w:nsid w:val="440BADFC"/>
    <w:multiLevelType w:val="hybridMultilevel"/>
    <w:lvl w:ilvl="0">
      <w:lvlJc w:val="left"/>
      <w:lvlText w:val="%1."/>
      <w:numFmt w:val="decimal"/>
      <w:start w:val="9"/>
    </w:lvl>
  </w:abstractNum>
  <w:abstractNum w:abstractNumId="32">
    <w:nsid w:val="5072367"/>
    <w:multiLevelType w:val="hybridMultilevel"/>
    <w:lvl w:ilvl="0">
      <w:lvlJc w:val="left"/>
      <w:lvlText w:val="%1."/>
      <w:numFmt w:val="decimal"/>
      <w:start w:val="10"/>
    </w:lvl>
  </w:abstractNum>
  <w:abstractNum w:abstractNumId="33">
    <w:nsid w:val="3804823E"/>
    <w:multiLevelType w:val="hybridMultilevel"/>
    <w:lvl w:ilvl="0">
      <w:lvlJc w:val="left"/>
      <w:lvlText w:val="%1."/>
      <w:numFmt w:val="decimal"/>
      <w:start w:val="16"/>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2019-12-10T20:28:13Z</dcterms:created>
  <dcterms:modified xsi:type="dcterms:W3CDTF">2019-12-10T20:28:13Z</dcterms:modified>
</cp:coreProperties>
</file>