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147320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92"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330" w:right="560" w:hanging="330"/>
        <w:spacing w:after="0" w:line="273" w:lineRule="auto"/>
        <w:tabs>
          <w:tab w:leader="none" w:pos="3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21"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330" w:right="540" w:hanging="330"/>
        <w:spacing w:after="0" w:line="273" w:lineRule="auto"/>
        <w:tabs>
          <w:tab w:leader="none" w:pos="3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650"/>
        <w:spacing w:after="0"/>
        <w:tabs>
          <w:tab w:leader="none" w:pos="341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Commission File Number 001-38267</w:t>
      </w:r>
    </w:p>
    <w:p>
      <w:pPr>
        <w:spacing w:after="0" w:line="28"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31"/>
          <w:szCs w:val="31"/>
          <w:b w:val="1"/>
          <w:bCs w:val="1"/>
          <w:color w:val="auto"/>
        </w:rPr>
        <w:t>RIBBON COMMUNICATIONS INC.</w:t>
      </w:r>
    </w:p>
    <w:p>
      <w:pPr>
        <w:spacing w:after="0" w:line="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170"/>
          </w:cols>
          <w:pgMar w:left="830" w:top="661" w:right="899" w:bottom="1440" w:gutter="0" w:footer="0" w:header="0"/>
        </w:sectPr>
      </w:pPr>
    </w:p>
    <w:p>
      <w:pPr>
        <w:spacing w:after="0" w:line="134"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57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53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157"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b w:val="1"/>
          <w:bCs w:val="1"/>
          <w:color w:val="auto"/>
        </w:rPr>
        <w:t>6500 Chase Oaks Boulevard, Suite 100, Plano, Texas</w:t>
      </w:r>
    </w:p>
    <w:p>
      <w:pPr>
        <w:spacing w:after="0" w:line="48" w:lineRule="exact"/>
        <w:rPr>
          <w:sz w:val="24"/>
          <w:szCs w:val="24"/>
          <w:color w:val="auto"/>
        </w:rPr>
      </w:pPr>
    </w:p>
    <w:p>
      <w:pPr>
        <w:jc w:val="center"/>
        <w:ind w:left="67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82-1669692</w:t>
            </w:r>
          </w:p>
        </w:tc>
      </w:tr>
      <w:tr>
        <w:trPr>
          <w:trHeight w:val="210"/>
        </w:trPr>
        <w:tc>
          <w:tcPr>
            <w:tcW w:w="780" w:type="dxa"/>
            <w:vAlign w:val="bottom"/>
          </w:tcPr>
          <w:p>
            <w:pPr>
              <w:spacing w:after="0"/>
              <w:rPr>
                <w:sz w:val="18"/>
                <w:szCs w:val="18"/>
                <w:color w:val="auto"/>
              </w:rPr>
            </w:pPr>
          </w:p>
        </w:tc>
        <w:tc>
          <w:tcPr>
            <w:tcW w:w="30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75023</w:t>
            </w:r>
          </w:p>
        </w:tc>
      </w:tr>
      <w:tr>
        <w:trPr>
          <w:trHeight w:val="213"/>
        </w:trPr>
        <w:tc>
          <w:tcPr>
            <w:tcW w:w="1200" w:type="dxa"/>
            <w:vAlign w:val="bottom"/>
          </w:tcPr>
          <w:p>
            <w:pPr>
              <w:spacing w:after="0"/>
              <w:rPr>
                <w:sz w:val="18"/>
                <w:szCs w:val="18"/>
                <w:color w:val="auto"/>
              </w:rPr>
            </w:pPr>
          </w:p>
        </w:tc>
        <w:tc>
          <w:tcPr>
            <w:tcW w:w="178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ectPr>
          <w:pgSz w:w="11900" w:h="16838" w:orient="portrait"/>
          <w:cols w:equalWidth="0" w:num="2">
            <w:col w:w="4350" w:space="720"/>
            <w:col w:w="5100"/>
          </w:cols>
          <w:pgMar w:left="830" w:top="661" w:right="899" w:bottom="1440" w:gutter="0" w:footer="0" w:header="0"/>
          <w:type w:val="continuous"/>
        </w:sectPr>
      </w:pPr>
    </w:p>
    <w:p>
      <w:pPr>
        <w:spacing w:after="0" w:line="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(978) 614-8100</w:t>
      </w:r>
    </w:p>
    <w:p>
      <w:pPr>
        <w:spacing w:after="0" w:line="2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2"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N/A</w:t>
      </w:r>
    </w:p>
    <w:p>
      <w:pPr>
        <w:spacing w:after="0" w:line="2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3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5" w:lineRule="exact"/>
        <w:rPr>
          <w:sz w:val="24"/>
          <w:szCs w:val="24"/>
          <w:color w:val="auto"/>
        </w:rPr>
      </w:pPr>
    </w:p>
    <w:p>
      <w:pPr>
        <w:ind w:left="1170"/>
        <w:spacing w:after="0"/>
        <w:tabs>
          <w:tab w:leader="none" w:pos="4450" w:val="left"/>
          <w:tab w:leader="none" w:pos="707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ind w:left="710"/>
        <w:spacing w:after="0"/>
        <w:tabs>
          <w:tab w:leader="none" w:pos="4810" w:val="left"/>
          <w:tab w:leader="none" w:pos="7430" w:val="left"/>
        </w:tabs>
        <w:rPr>
          <w:sz w:val="20"/>
          <w:szCs w:val="20"/>
          <w:color w:val="auto"/>
        </w:rPr>
      </w:pPr>
      <w:r>
        <w:rPr>
          <w:rFonts w:ascii="Times New Roman" w:cs="Times New Roman" w:eastAsia="Times New Roman" w:hAnsi="Times New Roman"/>
          <w:sz w:val="14"/>
          <w:szCs w:val="14"/>
          <w:color w:val="auto"/>
        </w:rPr>
        <w:t>Common Stock, par value $0.0001</w:t>
      </w:r>
      <w:r>
        <w:rPr>
          <w:sz w:val="20"/>
          <w:szCs w:val="20"/>
          <w:color w:val="auto"/>
        </w:rPr>
        <w:tab/>
      </w:r>
      <w:r>
        <w:rPr>
          <w:rFonts w:ascii="Times New Roman" w:cs="Times New Roman" w:eastAsia="Times New Roman" w:hAnsi="Times New Roman"/>
          <w:sz w:val="14"/>
          <w:szCs w:val="14"/>
          <w:color w:val="auto"/>
        </w:rPr>
        <w:t>RBBN</w:t>
      </w:r>
      <w:r>
        <w:rPr>
          <w:sz w:val="20"/>
          <w:szCs w:val="20"/>
          <w:color w:val="auto"/>
        </w:rPr>
        <w:tab/>
      </w:r>
      <w:r>
        <w:rPr>
          <w:rFonts w:ascii="Times New Roman" w:cs="Times New Roman" w:eastAsia="Times New Roman" w:hAnsi="Times New Roman"/>
          <w:sz w:val="14"/>
          <w:szCs w:val="14"/>
          <w:color w:val="auto"/>
        </w:rPr>
        <w:t>The Nasdaq Global Select Market</w:t>
      </w:r>
    </w:p>
    <w:p>
      <w:pPr>
        <w:spacing w:after="0" w:line="196" w:lineRule="exact"/>
        <w:rPr>
          <w:sz w:val="24"/>
          <w:szCs w:val="24"/>
          <w:color w:val="auto"/>
        </w:rPr>
      </w:pPr>
    </w:p>
    <w:p>
      <w:pPr>
        <w:ind w:left="1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10" w:right="12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770"/>
        <w:spacing w:after="0" w:line="161" w:lineRule="exact"/>
        <w:tabs>
          <w:tab w:leader="none" w:pos="3170" w:val="left"/>
          <w:tab w:leader="none" w:pos="4470" w:val="left"/>
          <w:tab w:leader="none" w:pos="6630" w:val="left"/>
          <w:tab w:leader="none" w:pos="7690" w:val="left"/>
          <w:tab w:leader="none" w:pos="975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48" w:lineRule="exact"/>
        <w:rPr>
          <w:sz w:val="24"/>
          <w:szCs w:val="24"/>
          <w:color w:val="auto"/>
        </w:rPr>
      </w:pPr>
    </w:p>
    <w:p>
      <w:pPr>
        <w:ind w:left="630"/>
        <w:spacing w:after="0" w:line="161" w:lineRule="exact"/>
        <w:tabs>
          <w:tab w:leader="none" w:pos="3170" w:val="left"/>
          <w:tab w:leader="none" w:pos="4150" w:val="left"/>
          <w:tab w:leader="none" w:pos="6630" w:val="left"/>
        </w:tabs>
        <w:rPr>
          <w:sz w:val="20"/>
          <w:szCs w:val="20"/>
          <w:color w:val="auto"/>
        </w:rPr>
      </w:pP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02" w:lineRule="exact"/>
        <w:rPr>
          <w:sz w:val="24"/>
          <w:szCs w:val="24"/>
          <w:color w:val="auto"/>
        </w:rPr>
      </w:pPr>
    </w:p>
    <w:p>
      <w:pPr>
        <w:ind w:left="10" w:right="20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330"/>
        <w:spacing w:after="0" w:line="184" w:lineRule="exact"/>
        <w:tabs>
          <w:tab w:leader="none" w:pos="829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6"/>
          <w:szCs w:val="16"/>
          <w:color w:val="auto"/>
        </w:rPr>
        <w:t>As of October 26, 2026, there were 179,173,611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577850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140335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70"/>
          </w:cols>
          <w:pgMar w:left="83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PERIOD ENDED 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4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EE"/>
        </w:rPr>
        <w:t>PART I FINANCIAL INFORMATION</w:t>
      </w:r>
    </w:p>
    <w:p>
      <w:pPr>
        <w:spacing w:after="0" w:line="229"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Financial Statements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2026 and December 31, 2025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2026</w:t>
            </w:r>
          </w:p>
        </w:tc>
        <w:tc>
          <w:tcPr>
            <w:tcW w:w="1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and 2025 (unaudited)</w:t>
            </w:r>
          </w:p>
        </w:tc>
        <w:tc>
          <w:tcPr>
            <w:tcW w:w="6520" w:type="dxa"/>
            <w:vAlign w:val="bottom"/>
            <w:gridSpan w:val="11"/>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and Nine Months Ended September</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30, 2026 and 2025 (unaudited)</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 September</w:t>
            </w: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30, 2026 and 2025 (unaudited)</w:t>
            </w:r>
          </w:p>
        </w:tc>
        <w:tc>
          <w:tcPr>
            <w:tcW w:w="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2026 and 2025</w:t>
            </w:r>
          </w:p>
        </w:tc>
        <w:tc>
          <w:tcPr>
            <w:tcW w:w="4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40" w:type="dxa"/>
            <w:vAlign w:val="bottom"/>
            <w:gridSpan w:val="3"/>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PART II OTHER INFORMATION</w:t>
            </w:r>
          </w:p>
        </w:tc>
        <w:tc>
          <w:tcPr>
            <w:tcW w:w="574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5"/>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0"/>
              </w:rPr>
              <w:t>1A.</w:t>
            </w: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5"/>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73"/>
              </w:rPr>
              <w:t>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102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200" w:right="23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including statements regarding future expenses and restructuring activities and the anticipated benefits thereof, impacts from the wars in the Middle East and Ukraine, impacts from new tariffs and the proposed termination of the USMCA (as defined herein), results of operations and financial position, future revenue growth of the Company, expected sales growth in segments or regions, capital structure, financial sanctions and trade restrictions, beliefs about our business strategy, availability of components for the manufacturing of our products, ongoing litigation, anticipated activity levels related to our voice modernization projects,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increases in tariffs, trade restrictions or taxes on our products; supply chain disruptions resulting from component availability and/or geopolitical instabilities and disputes (including those related to the wars in the Middle East and Ukraine); other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including our ability to comply with the maximum net leverage ratio, our ability to obtain future waivers or amendments to the Credit Facility, and increases in the applicable interest margin; the effectiveness of our foreign currency hedging program;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2025. Any forward-looking statement made by us in this report speaks only as of the date on which this report was first filed. We undertake no obligation to publicly update any forward-looking statement, whether as a result of new information, future developments or otherwise, except as required by law.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763,261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390,000,000 shares authorized;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178,927,911 and 175,776,074 shares issued and outstanding at September 30, 2026, and</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(1,605,026)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1,150,574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60" w:type="dxa"/>
            <w:vAlign w:val="bottom"/>
          </w:tcPr>
          <w:p>
            <w:pPr>
              <w:spacing w:after="0"/>
              <w:rPr>
                <w:sz w:val="18"/>
                <w:szCs w:val="18"/>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284,996</w:t>
            </w:r>
          </w:p>
        </w:tc>
        <w:tc>
          <w:tcPr>
            <w:tcW w:w="60" w:type="dxa"/>
            <w:vAlign w:val="bottom"/>
          </w:tcPr>
          <w:p>
            <w:pPr>
              <w:spacing w:after="0"/>
              <w:rPr>
                <w:sz w:val="18"/>
                <w:szCs w:val="18"/>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573,656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265,560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303,878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8"/>
                <w:szCs w:val="18"/>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tcPr>
          <w:p>
            <w:pPr>
              <w:spacing w:after="0"/>
              <w:rPr>
                <w:sz w:val="18"/>
                <w:szCs w:val="18"/>
                <w:color w:val="auto"/>
              </w:rPr>
            </w:pP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loss per share: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42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20" w:type="dxa"/>
            <w:vAlign w:val="bottom"/>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44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loss on cash flow hedges, net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reclassifications into earnings</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6"/>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r>
      <w:tr>
        <w:trPr>
          <w:trHeight w:val="209"/>
        </w:trPr>
        <w:tc>
          <w:tcPr>
            <w:tcW w:w="44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(49,786)</w:t>
            </w:r>
          </w:p>
        </w:tc>
        <w:tc>
          <w:tcPr>
            <w:tcW w:w="20" w:type="dxa"/>
            <w:vAlign w:val="bottom"/>
            <w:tcBorders>
              <w:bottom w:val="single" w:sz="8" w:color="auto"/>
            </w:tcBorders>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spacing w:after="0" w:line="12" w:lineRule="exact"/>
        <w:rPr>
          <w:sz w:val="20"/>
          <w:szCs w:val="20"/>
          <w:color w:val="auto"/>
        </w:rPr>
      </w:pPr>
    </w:p>
    <w:tbl>
      <w:tblPr>
        <w:tblLayout w:type="fixed"/>
        <w:tblInd w:w="220" w:type="dxa"/>
        <w:tblCellMar>
          <w:top w:w="0" w:type="dxa"/>
          <w:left w:w="0" w:type="dxa"/>
          <w:bottom w:w="0" w:type="dxa"/>
          <w:right w:w="0" w:type="dxa"/>
        </w:tblCellMar>
      </w:tblPr>
      <w:tr>
        <w:trPr>
          <w:trHeight w:val="117"/>
        </w:trPr>
        <w:tc>
          <w:tcPr>
            <w:tcW w:w="26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Additional</w:t>
            </w: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6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2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July 1,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178,771,961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$ 1,981,940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(1,595,909)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 returned</w:t>
            </w: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Company under net share</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to satisfy tax</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178,927,911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$ 1,987,542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(1,605,026)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Additional</w:t>
            </w:r>
          </w:p>
        </w:tc>
        <w:tc>
          <w:tcPr>
            <w:tcW w:w="1140" w:type="dxa"/>
            <w:vAlign w:val="bottom"/>
            <w:tcBorders>
              <w:top w:val="single" w:sz="8" w:color="auto"/>
            </w:tcBorders>
            <w:gridSpan w:val="2"/>
            <w:vMerge w:val="restart"/>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2026</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175,776,074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$ 1,976,958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(1,534,549)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4,216,107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Vesting of performance-based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 returned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Company under net share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to satisfy tax</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(1,936,147)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178,927,911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$ 1,987,542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(1,605,026)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tcBorders>
              <w:top w:val="single" w:sz="8" w:color="auto"/>
            </w:tcBorders>
            <w:gridSpan w:val="2"/>
            <w:vMerge w:val="restart"/>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July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177,156,341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$ 1,973,990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(1,611,505)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Vesting of performance-based stock</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 returned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Company under net share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 to satisfy tax</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176,476,492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$ 1,975,925</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(1,623,614)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Accumulated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175,599,250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$ 1,970,708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(1,574,185)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2,922,214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Vesting of performance-based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restricted stock returned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Company under net share</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to satisfy tax</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176,476,492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$ 1,975,925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(1,623,614)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cash flows (used in) provided by operating</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exchange losses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operating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software licenses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payments on revolving line of credit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term debt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tax obligations related to vested stock awards and units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 transfers to property and equipment</w:t>
            </w: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licenses purchased, but not yet paid</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liability released to additional paid-in-capital</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vested restricted and performance-based stock grants</w:t>
            </w: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RIBBON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that provides network solutions that are scalable, elastic and cloud-centric, enabling the secure exchange of information. The Company is at the intersection of the adoption of Artificial Intelligence (“AI”) by service providers and enterprises addressing the rapid growth in fiber connectivity and integration of voice capabilities into Agentic AI platforms. The Company is headquartered in Plano, Texas, and has a global presence with research and development, or sales and support locations in over 30 countries around the world.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spacing w:after="0" w:line="180"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2025 (the "Annual Report"), which was filed with the SEC on February 26,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2 to the Consolidated Financial Statements included in the Annual Report. There were no material changes to the Company’s significant accounting policies during the nine months ended September 30,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Ribbon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Judgments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revenue recognition for arrangements that contain multiple performance obligations, inventory valuations, assumptions used to determine the fair value of stock-based compensation and warrants, intangible asset and goodwill valuations, including impairments, warranty accruals,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spacing w:after="0" w:line="19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Factoring of accounts receivable and associated fees for the three and nine months ended September 30,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4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sold</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95,290</w:t>
            </w:r>
          </w:p>
        </w:tc>
        <w:tc>
          <w:tcPr>
            <w:tcW w:w="20" w:type="dxa"/>
            <w:vAlign w:val="bottom"/>
          </w:tcPr>
          <w:p>
            <w:pPr>
              <w:spacing w:after="0"/>
              <w:rPr>
                <w:sz w:val="18"/>
                <w:szCs w:val="18"/>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factoring fees</w:t>
            </w: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8"/>
                <w:szCs w:val="18"/>
                <w:color w:val="auto"/>
              </w:rPr>
            </w:pPr>
          </w:p>
        </w:tc>
      </w:tr>
      <w:tr>
        <w:trPr>
          <w:trHeight w:val="209"/>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proceeds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93,517</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270): Narrow-Scope Improvements </w:t>
      </w:r>
      <w:r>
        <w:rPr>
          <w:rFonts w:ascii="Times New Roman" w:cs="Times New Roman" w:eastAsia="Times New Roman" w:hAnsi="Times New Roman"/>
          <w:sz w:val="18"/>
          <w:szCs w:val="18"/>
          <w:color w:val="auto"/>
        </w:rPr>
        <w:t>(“ASU 2025-11”), to improve the navigability of the required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condensed consolidated financial statements.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Grants Received by Business Entities </w:t>
      </w:r>
      <w:r>
        <w:rPr>
          <w:rFonts w:ascii="Times New Roman" w:cs="Times New Roman" w:eastAsia="Times New Roman" w:hAnsi="Times New Roman"/>
          <w:sz w:val="18"/>
          <w:szCs w:val="18"/>
          <w:color w:val="auto"/>
        </w:rPr>
        <w:t>(“ASU 2025-10”), to clarify the appropriate accounting, reduce diversity in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increase consistency across business entities. ASU 2025-10 will be effective for us beginning with our 2029 interim and annual financial statements, with early adoption permitted. The Company believes this ASU will have no material impact on its condensed consolidated financial statements.</w:t>
      </w:r>
    </w:p>
    <w:p>
      <w:pPr>
        <w:spacing w:after="0" w:line="183"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2025-09”), to enhance hedge accounting guidance and better align it with entities’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The amendments expand eligibility for hedge accounting, simplify certain requirements, and address issues related to reference rate reform. Key changes include allowing cash flow hedge accounting for “choose-your-rate” debt instruments, introducing a principles-based “similar risk exposure” criterion for grouping forecasted transactions, permitting component hedging for nonfinancial forecasted transactions, and clarifying the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treatment of certain derivative structures. ASU 2025-09 will be effective for the Company beginning with its 2027 interim and annual financial statements, with early adoption permitted. The Company is currently evaluating the impact of this accounting standard on its condensed consolidated financial statements and related disclosures.</w:t>
      </w:r>
    </w:p>
    <w:p>
      <w:pPr>
        <w:spacing w:after="0" w:line="174"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 stages” from ASC 350-40. ASU 2025-06 will be effective for the Company beginning with its 2028 interim and annual financial statements, with early adoption permitted as of the beginning of an annual reporting period. The Company is currently evaluating the impact of this accounting standard on its condensed consolidated financial statements and related disclosures.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which requires disaggregation of certain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the Company beginning with our 2027 annual financial statements and interim financial statements thereafter, with early adoption permitted. The adoption of ASU 2024-03 will require the Company to provide new footnote disclosure about the types of expenses that are included in certain captions on its Statements of Operations, such as Cost of revenue, Research and development, Sales and marketing, and General and administrative.</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shares used to compute loss per share were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2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472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176,366</w:t>
            </w:r>
          </w:p>
        </w:tc>
      </w:tr>
      <w:tr>
        <w:trPr>
          <w:trHeight w:val="20"/>
        </w:trPr>
        <w:tc>
          <w:tcPr>
            <w:tcW w:w="4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and unvested restricted and performance-based stock units totaling 12.5 million and 14.0 million shares as of September 30, 2026 and 2025, respectively, were excluded from the computation of diluted loss per share for the three and nine months ended September 30, 2026 and 2025 because their effect would have been antidilutive.</w:t>
      </w:r>
    </w:p>
    <w:p>
      <w:pPr>
        <w:spacing w:after="0" w:line="180"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 private placement completed in March 2023, the Company issued 4.9 million warrants to purchase shares of the Company’s common stock at an exercise price of $3.77 per share, 4.7 million of which remain outstanding following the June 2024 redemption of the related preferred stock. No warrant exercises occurred during the nine months ended September 30, 2026. In the nine months ended September 30, 2025, holders exercised 0.2 million warrants, and the remaining warrants continue to remain outstanding without modification (See Note 11).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potential number of dilutive shares from the warrants outstanding totaled 4.7 million shares as of September 30, 2026 and 2025, respectively. There was no impact on weighted average shares outstanding from these warrants for the nine months ended September 30, 2026 as the average market price of the Company’s common stock was below the exercise price of $3.77 per share and their effect would have been antidilutive. For the nine months ended September 30, 2025, 0.2 million warrants would have been included in the calculation of diluted loss per share but had no impact due to the Company’s net loss position.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at September 30, 2026 and December 31, 2025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On-hand assemblies and finished goods inventories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92,981</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10"/>
        </w:trPr>
        <w:tc>
          <w:tcPr>
            <w:tcW w:w="6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95,402</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noncurrent portion (included in Other assets)</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r>
      <w:tr>
        <w:trPr>
          <w:trHeight w:val="209"/>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229"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Company’s intangible assets at September 30, 2026 and December 31, 2025 consisted of the following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20" w:type="dxa"/>
            <w:vAlign w:val="bottom"/>
            <w:gridSpan w:val="4"/>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$ 620,375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$ 114,570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20" w:type="dxa"/>
            <w:vAlign w:val="bottom"/>
            <w:gridSpan w:val="4"/>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14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$ 340,380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$ 619,268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September 30, 2026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r>
      <w:tr>
        <w:trPr>
          <w:trHeight w:val="210"/>
        </w:trPr>
        <w:tc>
          <w:tcPr>
            <w:tcW w:w="7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114,570</w:t>
            </w: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changes to the carrying value of the Company’s goodwill in the nine months ended</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September 30, 2026. The components of goodwill at both September 30, 2026 and December 31, 2025 were as follows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Cloud and</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IP Optical</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Edge</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584,298</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(283,406)</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HIERARCHY</w:t>
      </w:r>
    </w:p>
    <w:p>
      <w:pPr>
        <w:spacing w:after="0" w:line="229"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The carrying amounts of the Company’s cash equivalents, accounts receivable, accounts payable and borrowings under a revolving credit facility in the condensed consolidated balance sheets approximate fair value due to the immediate or short-term nature of these financial instruments. The carrying amount of the Company’s term debt at</w:t>
      </w:r>
    </w:p>
    <w:p>
      <w:pPr>
        <w:spacing w:after="0" w:line="1" w:lineRule="exact"/>
        <w:rPr>
          <w:sz w:val="20"/>
          <w:szCs w:val="20"/>
          <w:color w:val="auto"/>
        </w:rPr>
      </w:pPr>
    </w:p>
    <w:p>
      <w:pPr>
        <w:ind w:left="60" w:right="479"/>
        <w:spacing w:after="0" w:line="255" w:lineRule="auto"/>
        <w:rPr>
          <w:sz w:val="20"/>
          <w:szCs w:val="20"/>
          <w:color w:val="auto"/>
        </w:rPr>
      </w:pPr>
      <w:r>
        <w:rPr>
          <w:rFonts w:ascii="Times New Roman" w:cs="Times New Roman" w:eastAsia="Times New Roman" w:hAnsi="Times New Roman"/>
          <w:sz w:val="18"/>
          <w:szCs w:val="18"/>
          <w:color w:val="auto"/>
        </w:rPr>
        <w:t>September 30, 2026 and December 31, 2025 also approximates fair value, based on prevailing market conditions. The Company’s warrant liability had a fair value of $0.1 million and $1.9 million as of September 30, 2026 and December 31, 2025, respectively.</w:t>
      </w:r>
    </w:p>
    <w:p>
      <w:pPr>
        <w:spacing w:after="0" w:line="18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classification within the fair value hierarchy is based upon the lowest level of inputs that is significant to the fair value measurement. The fair value hierarchy is as follows:</w:t>
      </w:r>
    </w:p>
    <w:p>
      <w:pPr>
        <w:spacing w:after="0" w:line="187" w:lineRule="exact"/>
        <w:rPr>
          <w:sz w:val="20"/>
          <w:szCs w:val="20"/>
          <w:color w:val="auto"/>
        </w:rPr>
      </w:pPr>
    </w:p>
    <w:p>
      <w:pPr>
        <w:ind w:left="1040" w:right="9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 The Company had no assets or liabilities fair valued using Level 1 inputs at September 30, 2026 or December 31, 2025.</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5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that are directly or indirectly observable in the marketplace, such as quoted prices for similar assets or liabilities in active markets or quoted prices for identical assets or liabilities in markets with insufficient volume or infrequent transactions (less active markets). At December 31, 2025, the Company determined the fair value of its defined benefit plans’ assets using Level 2 inputs. There were no significant changes to the Company’s defined benefit plans’ assets during the nine months ended September 30, 2026 that required the calculation of their fair value as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1040" w:right="279"/>
        <w:spacing w:after="0" w:line="282" w:lineRule="auto"/>
        <w:rPr>
          <w:sz w:val="20"/>
          <w:szCs w:val="20"/>
          <w:color w:val="auto"/>
        </w:rPr>
      </w:pPr>
      <w:r>
        <w:rPr>
          <w:rFonts w:ascii="Times New Roman" w:cs="Times New Roman" w:eastAsia="Times New Roman" w:hAnsi="Times New Roman"/>
          <w:sz w:val="18"/>
          <w:szCs w:val="18"/>
          <w:color w:val="auto"/>
        </w:rPr>
        <w:t>September 30, 2026. Level 2 inputs were also used to determine the fair value of the Company’s derivative financial instruments at September 30, 2026.</w:t>
      </w:r>
    </w:p>
    <w:p>
      <w:pPr>
        <w:spacing w:after="0" w:line="162" w:lineRule="exact"/>
        <w:rPr>
          <w:sz w:val="20"/>
          <w:szCs w:val="20"/>
          <w:color w:val="auto"/>
        </w:rPr>
      </w:pPr>
    </w:p>
    <w:p>
      <w:pPr>
        <w:ind w:left="1040" w:right="79" w:hanging="315"/>
        <w:spacing w:after="0" w:line="26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 Level 3 inputs were used to determine the fair value of the Company’s warrants at September 30, 2026 and December 31, 2025.</w:t>
      </w:r>
    </w:p>
    <w:p>
      <w:pPr>
        <w:spacing w:after="0" w:line="1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transfers between Level 2 and Level 3 fair value measurements during the three and nine months ended September 30, 2026 or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 AND OTHER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at September 30, 2026 and December 31, 2025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costs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37,857</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32,961</w:t>
            </w:r>
          </w:p>
        </w:tc>
      </w:tr>
      <w:tr>
        <w:trPr>
          <w:trHeight w:val="210"/>
        </w:trPr>
        <w:tc>
          <w:tcPr>
            <w:tcW w:w="6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WARRANTY</w:t>
      </w:r>
    </w:p>
    <w:p>
      <w:pPr>
        <w:spacing w:after="0" w:line="229"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warranty accrual balance in the nine months ended September 30,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700" w:type="dxa"/>
            <w:vAlign w:val="bottom"/>
          </w:tcPr>
          <w:p>
            <w:pPr>
              <w:spacing w:after="0"/>
              <w:rPr>
                <w:sz w:val="10"/>
                <w:szCs w:val="10"/>
                <w:color w:val="auto"/>
              </w:rPr>
            </w:pPr>
          </w:p>
        </w:tc>
        <w:tc>
          <w:tcPr>
            <w:tcW w:w="116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0" w:type="dxa"/>
            <w:vAlign w:val="bottom"/>
          </w:tcPr>
          <w:p>
            <w:pPr>
              <w:spacing w:after="0"/>
              <w:rPr>
                <w:sz w:val="18"/>
                <w:szCs w:val="18"/>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the Company’s accrual for product warranties was reflected in its condensed consolidated balance sheet as a current liability in Accrued expenses and other of $5.4 million, and as a long-term liability in Other long-term liabilities of $7.7 million.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RESTRUCTURING AND FACILITIES CONSOLIDATION INITIATIVES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and related expense aggregating $1.4 million and $3.5 million in the three months ended September 30, 2026 and 2025, respectively and $7.9 million and $10.2 million in the nine months ended September 30, 2026 and 2025, respectively. Restructuring and related expense includes restructuring expense (primarily severance and related costs), estimated future variable and other lease costs for vacated properties with no intent or ability to sublease, and accelerated rent amortization expense.</w:t>
      </w:r>
    </w:p>
    <w:p>
      <w:pPr>
        <w:spacing w:after="0" w:line="183"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For restructuring events that involve lease assets and liabilities, the Company applies lease reassessment and modification guidance and evaluates the right-of-use assets for potential impairment. If the Company plans to exit all or</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 a liability for the estimated future variable lease costs.</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Accelerated amortization of lease assets is recognized from the date that the Company commences the plan to fully or partially vacate a facility, for which there is no intent or ability to enter into a sublease, through the final vacate date. Amounts of accelerated rent amortization that are included as a component of restructuring and related expense are excluded from the tables below, as the liability for lease payments for each respective facility is included as a component of Operating lease liabilities in the Company’s condensed consolidated balance sheets at September 30, 2026 and December 31, 2025 (see Note 17). The Company may incur additional future expense if it is unable to sublease other locations included in the facilities initiative.</w:t>
      </w:r>
    </w:p>
    <w:p>
      <w:pPr>
        <w:spacing w:after="0" w:line="18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restructuring and related expense for the three and nine months ended September 30,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4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and other facilities-related costs</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210"/>
        </w:trPr>
        <w:tc>
          <w:tcPr>
            <w:tcW w:w="4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accrued restructuring liabilities for the Company’s restructuring plans for the nine months ended September 30, 2026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2022 and Prior</w:t>
            </w:r>
          </w:p>
        </w:tc>
        <w:tc>
          <w:tcPr>
            <w:tcW w:w="120" w:type="dxa"/>
            <w:vAlign w:val="bottom"/>
          </w:tcPr>
          <w:p>
            <w:pPr>
              <w:spacing w:after="0"/>
              <w:rPr>
                <w:sz w:val="13"/>
                <w:szCs w:val="13"/>
                <w:color w:val="auto"/>
              </w:rPr>
            </w:pPr>
          </w:p>
        </w:tc>
        <w:tc>
          <w:tcPr>
            <w:tcW w:w="10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26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January 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2026 Restructuring Plan</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the Company’s President and Chief Executive Officer (“CEO”) approved a strategic restructuring program (the "2026 Restructuring Plan") that consists of workforce reductions in certain of the Company’s operating locations to correspond with current sales levels in those areas. Any positions eliminated in countries outside the United States are subject to local law and consultation requirements. In connection with the 2026 Restructuring Plan, the Company recorded restructuring and related expense of $0.9 million and $6.0 million in the three and nine months ended September 30, 2026,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Plan</w:t>
      </w:r>
    </w:p>
    <w:p>
      <w:pPr>
        <w:spacing w:after="0" w:line="229"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During the first quarter of 2025, the Company’s President and CEO approved a strategic restructuring program (as subsequently amended, the "2025 Restructuring Plan") that consists of workforce reductions in certain of the Company’s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operating locations to correspond with current sales levels in those areas. The 2025 Restructuring Plan was amended in the third quarter of 2025 to reflect an increase in the scope of the proposed reductions. Any positions eliminated in countries outside the United States are subject to local law and consultation requirements. In connection with the 2025 Restructuring Plan, the Company incurred nominal restructuring and related expense in the three and nine months ended</w:t>
      </w:r>
    </w:p>
    <w:p>
      <w:pPr>
        <w:spacing w:after="0" w:line="3"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September 30, 2026. The Company recorded restructuring and related expense of $2.5 million and $5.1 million in the three and nine months ended September 30, 2025,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and Prior Restructuring Plans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Prior to December 31, 2022, the Company engaged in various restructuring plans that included consolidation of facilities and workforce reductions. Substantially all the ongoing costs incurred under such plans in the periods presented relate to variable and other facilities-related costs. In connection with these plans, the Company recorded restructuring and related expense of $0.6 million and $0.9 million in the three months ended September 30, 2026 and 2025, respectively, and $1.9 million and $5.2 million in the nine months ended September 30, 2026 and 2025, respectively.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current portions of accrued restructuring and related expense were $2.9 million and $9.4 million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December 31, 2025, respectively, and are included as components of Accrued expenses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condensed consolidated balance sheets. The long-term portions of accrued restructuring and related expense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included as components of Other long-term liabilities in the condensed consolidated balance sheets. The long-term portions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accrued restructuring and related expense were $0.3 million and $0.5 million at September 30, 2026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$350.6 million outstanding under its credit facility (the “Credit Facility”), including $335.6 million under the term loan and $15.0 million under the revolving credit facility, with an additional $20.0 million of available borrowing capacity under the Credit Facility. Scheduled quarterly principal repayments continued during the period in accordance with the terms of the Company’s Senior Secured Credit Facilities Credit Agreement (the “Credit Agreement”) governing the Credit Facility.</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May 5, 2026, the Company entered into the First Amendment and Limited Waiver to Credit Agreement (the “First Amendment”) with Ribbon Communications Operating Company, Inc., HPS Investment Partners, LLC, as administrative agent, and the consenting lenders. The First Amendment (1) waives compliance with the maximum consolidated net leverage ratio financial covenant as of and for the period ending June 30, 2026, (2) increases the Maximum Consolidated Net Leverage Ratio (as defined in the Credit Agreement) to 4.50:1.00 as of and for the period ending September 30, 2026, and sets the ratio for all subsequent quarters to 4.00:1.00, and (3) modifies the applicable interest rate margins for any quarter in which the Consolidated Net Leverage Ratio exceeds 3.75:1.00 to 7.00%. Debt issuance costs associated with the First Amendment totaled $1.0 million and are being amortized on a straight-line basis over the remaining life of the Credit Facility to Interest expense, net.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remained in compliance with all financial covenants under the Credit Facility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had the following outstanding borrowings, unamortized debt issuance costs and original issue discount, letters of credit, interest rates, and remaining borrowing capacity under the Credit Facility as of September 30, 2026 and December 31, 2025:</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(Face amount)</w:t>
            </w:r>
          </w:p>
        </w:tc>
        <w:tc>
          <w:tcPr>
            <w:tcW w:w="7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324,625</w:t>
            </w:r>
          </w:p>
        </w:tc>
        <w:tc>
          <w:tcPr>
            <w:tcW w:w="200" w:type="dxa"/>
            <w:vAlign w:val="bottom"/>
          </w:tcPr>
          <w:p>
            <w:pPr>
              <w:spacing w:after="0"/>
              <w:rPr>
                <w:sz w:val="18"/>
                <w:szCs w:val="18"/>
                <w:color w:val="auto"/>
              </w:rPr>
            </w:pPr>
          </w:p>
        </w:tc>
        <w:tc>
          <w:tcPr>
            <w:tcW w:w="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Original issue discount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Unamortized debt issuance costs - Contra-liability</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316,937</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face amount of borrowings</w:t>
            </w:r>
          </w:p>
        </w:tc>
        <w:tc>
          <w:tcPr>
            <w:tcW w:w="7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350,563</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Pr>
          <w:p>
            <w:pPr>
              <w:spacing w:after="0"/>
              <w:rPr>
                <w:sz w:val="18"/>
                <w:szCs w:val="18"/>
                <w:color w:val="auto"/>
              </w:rPr>
            </w:pPr>
          </w:p>
        </w:tc>
        <w:tc>
          <w:tcPr>
            <w:tcW w:w="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 - Contra-liability</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unamortized original issue discount and debt issuance costs</w:t>
            </w:r>
          </w:p>
        </w:tc>
        <w:tc>
          <w:tcPr>
            <w:tcW w:w="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7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2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3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Company’s debt maturities as of September 30, 2026 were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course of its business, the Company uses letters of credit, bank guarantees, and surety bonds (collectively, "Guarantees"). The Company had $10.9 million and $11.1 million of Guarantees under various uncommitted facilities as of September 30, 2026 and December 31, 2025, respectively. The Company had no letters of credit outstanding under its Credit Facility as of September 30, 2026 or December 31, 2025. At September 30, 2026 and December 31, 2025, the Company had cash collateral of $2.0 million and $1.7 million supporting the Guarantees, respectively, which are reported as Restricted cash in the Company’s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29" w:lineRule="exact"/>
        <w:rPr>
          <w:sz w:val="20"/>
          <w:szCs w:val="20"/>
          <w:color w:val="auto"/>
        </w:rPr>
      </w:pPr>
    </w:p>
    <w:p>
      <w:pPr>
        <w:jc w:val="both"/>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Company is exposed to financial market risk, primarily arising from fluctuations in foreign currency exchange rates, and management actively monitors these exposures. As part of its overall risk management strategy, the Company may use derivative financial instruments to reduce volatility in earnings and cash flows resulting from changes in foreign exchange rates. Ribbon’s policies and practices limit the use of derivative instruments to risk management activities only, and the Company does not use derivatives for trading or speculative purposes.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of Foreign Exchange Rate Risk</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related to forecasted operating expenses denominated in a foreign currency. To manage this exposure, the Company entered into foreign exchange forward arrangements, which were designated as hedging instruments beginning in January 2026. These derivatives are intended to reduce the variability in cash flows associated with changes in foreign currency exchange rates.</w:t>
      </w:r>
    </w:p>
    <w:p>
      <w:pPr>
        <w:spacing w:after="0" w:line="180" w:lineRule="exact"/>
        <w:rPr>
          <w:sz w:val="20"/>
          <w:szCs w:val="20"/>
          <w:color w:val="auto"/>
        </w:rPr>
      </w:pPr>
    </w:p>
    <w:p>
      <w:pPr>
        <w:ind w:left="60" w:right="219" w:firstLine="324"/>
        <w:spacing w:after="0" w:line="221" w:lineRule="exact"/>
        <w:rPr>
          <w:sz w:val="20"/>
          <w:szCs w:val="20"/>
          <w:color w:val="auto"/>
        </w:rPr>
      </w:pPr>
      <w:r>
        <w:rPr>
          <w:rFonts w:ascii="Times New Roman" w:cs="Times New Roman" w:eastAsia="Times New Roman" w:hAnsi="Times New Roman"/>
          <w:sz w:val="18"/>
          <w:szCs w:val="18"/>
          <w:color w:val="auto"/>
        </w:rPr>
        <w:t>The Company’s objectives in using foreign exchange rate derivatives are to mitigate risk, add stability to cash flows, and manage its exposure to foreign exchange rate movements. To accomplish these objectives, the Company uses foreign exchange rate forward contracts as part of its foreign currency risk management strategy. Foreign exchange rate forward contracts designated as cash flow hedges involve the exchange of fixed USD payments for fixed ILS receipts at predetermined exchange rates, thereby reducing the variability of forecasted ILS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expenditures.</w:t>
      </w:r>
    </w:p>
    <w:p>
      <w:pPr>
        <w:spacing w:after="0" w:line="192"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related to the Company’s derivative are reclassified to product cost of revenue, service cost of revenue, research and development, sales and marketing, and general and administrative expenses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impact of the Company’s derivative financial instruments designated as cash flow hedges on the Company’s condensed consolidated statements of operations and condensed consolidated statements of comprehensive loss for the three and nine months ended September 30, 2026 was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5"/>
                <w:szCs w:val="15"/>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vMerge w:val="continue"/>
          </w:tcPr>
          <w:p>
            <w:pPr>
              <w:spacing w:after="0"/>
              <w:rPr>
                <w:sz w:val="10"/>
                <w:szCs w:val="10"/>
                <w:color w:val="auto"/>
              </w:rPr>
            </w:pP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8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Amount recognized in other comprehensive income (loss) on the derivative (effective</w:t>
            </w: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 reclassified from accumulated other comprehensive income to the condensed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4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cash flow hedges, net of reclassifications into earnings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2"/>
              </w:rPr>
              <w:t>(448)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all amounts recorded in Accumulated other comprehensive income related to outstanding foreign exchange forward contracts will be reclassified into earnings within the next twelve months, as all contracts outstanding at September 30, 2026 mature no later than January 2027.</w:t>
      </w:r>
    </w:p>
    <w:p>
      <w:pPr>
        <w:spacing w:after="0" w:line="17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liability designated as a hedging instrument and the related fair value and location in the condensed consolidated balance sheet at September 30, 2026 are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6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8"/>
        </w:trPr>
        <w:tc>
          <w:tcPr>
            <w:tcW w:w="7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aggregate notional amounts and maturities of the Company’s outstanding foreign exchange rate forward contracts at September 30, 2026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8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gridSpan w:val="2"/>
            <w:vMerge w:val="continue"/>
          </w:tcPr>
          <w:p>
            <w:pPr>
              <w:spacing w:after="0"/>
              <w:rPr>
                <w:sz w:val="15"/>
                <w:szCs w:val="15"/>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Foreign exchange rate forward contracts (cash flow</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10,262,216</w:t>
            </w:r>
          </w:p>
        </w:tc>
        <w:tc>
          <w:tcPr>
            <w:tcW w:w="160" w:type="dxa"/>
            <w:vAlign w:val="bottom"/>
            <w:shd w:val="clear" w:color="auto" w:fill="CCEEFF"/>
          </w:tcPr>
          <w:p>
            <w:pPr>
              <w:spacing w:after="0"/>
              <w:rPr>
                <w:sz w:val="20"/>
                <w:szCs w:val="20"/>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ILS 30,461,289 October 2026 - January 2027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Company has classified the foreign exchange derivatives aggregating $0.3 million at September 30, 2026 as Level 2 within the fair value hierarchy (see Note 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PREFERRED STOCK AND WARRANTS</w:t>
      </w:r>
    </w:p>
    <w:p>
      <w:pPr>
        <w:spacing w:after="0" w:line="229" w:lineRule="exact"/>
        <w:rPr>
          <w:sz w:val="20"/>
          <w:szCs w:val="20"/>
          <w:color w:val="auto"/>
        </w:rPr>
      </w:pPr>
    </w:p>
    <w:p>
      <w:pPr>
        <w:ind w:left="60" w:right="159" w:firstLine="369"/>
        <w:spacing w:after="0" w:line="219" w:lineRule="exact"/>
        <w:rPr>
          <w:sz w:val="20"/>
          <w:szCs w:val="20"/>
          <w:color w:val="auto"/>
        </w:rPr>
      </w:pPr>
      <w:r>
        <w:rPr>
          <w:rFonts w:ascii="Times New Roman" w:cs="Times New Roman" w:eastAsia="Times New Roman" w:hAnsi="Times New Roman"/>
          <w:sz w:val="18"/>
          <w:szCs w:val="18"/>
          <w:color w:val="auto"/>
        </w:rPr>
        <w:t>In connection with a private placement completed in March 2023, the Company issued 4.9 million warrants to purchase shares of the Company’s common stock at an exercise price of $3.77 per share, 4.7 million of which remain outstanding following the June 2024 redemption of the related preferred stock. No warrant exercises occurred during the nine months ended September 30, 2026. In the nine months ended September 30, 2025, holders exercised 0.2 million warrants, and the remaining warrants continue to be outstanding without modification. The Company accounts for the warrants as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classified instruments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remeasures them to fair value at each reporting date using a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Changes in fair value are recognized within Other income,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warrants using Level 3 inputs. The key assumptions into the model utilized were as follows as of September 30, 2026 and December 31,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expiration (years)</w:t>
            </w:r>
          </w:p>
        </w:tc>
        <w:tc>
          <w:tcPr>
            <w:tcW w:w="12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0.41</w:t>
            </w:r>
          </w:p>
        </w:tc>
      </w:tr>
    </w:tbl>
    <w:p>
      <w:pPr>
        <w:spacing w:after="0" w:line="200" w:lineRule="exact"/>
        <w:rPr>
          <w:sz w:val="20"/>
          <w:szCs w:val="20"/>
          <w:color w:val="auto"/>
        </w:rPr>
      </w:pPr>
    </w:p>
    <w:p>
      <w:pPr>
        <w:spacing w:after="0" w:line="214"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warrant liabilities for the nine months ended September 30,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6700" w:type="dxa"/>
            <w:vAlign w:val="bottom"/>
          </w:tcPr>
          <w:p>
            <w:pPr>
              <w:spacing w:after="0"/>
              <w:rPr>
                <w:sz w:val="10"/>
                <w:szCs w:val="10"/>
                <w:color w:val="auto"/>
              </w:rPr>
            </w:pPr>
          </w:p>
        </w:tc>
        <w:tc>
          <w:tcPr>
            <w:tcW w:w="116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 w:type="dxa"/>
            <w:vAlign w:val="bottom"/>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warrants are immediately exercisable and upon an event such as a merger, consolidation, asset sale or similar change of control, the warrants may be exercised and the holders may vote the underlying shares of common stock. In connection with the private placement, the Company provided the investors with certain registration rights relating to the preferred stock, the warrants and the shares of the Company’s common stock underlying the warrants, that required the Company to file a registration statement on Form S-3 with the SEC within 30 days following the closing date of the Private Placement. The registration requirement was completed on May 19, 2023.</w:t>
      </w:r>
    </w:p>
    <w:p>
      <w:pPr>
        <w:spacing w:after="0" w:line="18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176,658 of the warrants were exercised in cashless exercises, resulting in the issuance of 32,573 shares of the Company’s common stock at a weighted average fair value of $4.62 per share. There were 4,681,432 remaining warrants outstanding as of September 30,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two primary sources: products and services. Product revenue includes: 1) the Company’s proprietary hardware and software that function together to deliver the products’ essential functionality and 2) the Company’s software only solutions that can be used on either the Company’s hardware or third-party hardware. Both proprietary hardware and software only solutions are also sold on a standalone basis.</w:t>
      </w:r>
    </w:p>
    <w:p>
      <w:pPr>
        <w:spacing w:after="0" w:line="180"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When an arrangement contains more than one performance obligation, the Company will allocate the transaction price to each performance obligation on a relative standalone selling price basis. The Company utilizes the observable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price of goods and services, including when they are sold separately to similar customers, in order to estimate standalone selling price (“SSP”).</w:t>
      </w:r>
    </w:p>
    <w:p>
      <w:pPr>
        <w:spacing w:after="0" w:line="16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Company’s software licenses typically provide a perpetual right to use the Company’s software. However,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Product revenue from sales of the Company’s perpetual and term-based software licenses is typically recognized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term-based software licenses at the start of the renewal period. Revenue related to sales of SaaS-based software is recognized ratably over the service period as the customer does not take possession of the software or have the ability to take possession of the software.</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18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Service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generally uses the input method to measure progress for its contracts and to recognize revenue because it believes such method, in general, best depicts the transfer of assets to its customers. The input method measures costs the Company has incurred in the period for its contracts. In some infrequent instances, the Company may engage a third-party to perform services on its behalf and in those cases the output method is used to recognize revenue because it best depicts the transfer of assets to its customers. Under the output method, there is a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can include internal labor as well as subcontractor costs.</w:t>
      </w:r>
    </w:p>
    <w:p>
      <w:pPr>
        <w:spacing w:after="0" w:line="19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Customer training includes courses offered by the Company. The related revenue is typically recognized as the training services are performed, typically over a period of one to five days.</w:t>
      </w:r>
    </w:p>
    <w:p>
      <w:pPr>
        <w:spacing w:after="0" w:line="162"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Payment terms for the Company’s contracts with its customers typically range from 30 to 60 days from the invoice date. In certain cases, the Company may offer extended payment terms, which are assessed on a case-by-case basis.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40" w:right="180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generally offer significant financing components in its contracts with customers. However, if a contract includes a significant financing component, the transaction price is adjusted for the time value of money. For the three and nine months ended September 30, 2026, the impact of financing components was immaterial.</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sales and other taxes are excluded from the transaction price. Revenue is recognized net of any taxes collected from customers, which are subsequently remitted to government authorities.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typical performance obligations include the following:</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When Performance Obligation is Typically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Satisfied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Software and Product Revenue</w:t>
            </w: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(perpetual or term)</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 perpetual licenses, typically when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made available for download (point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time); for term-based licenses,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beginning of the specified term (point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time)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(subscription)</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Upon activation of hosted site (over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When control of the hardware passes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the customer; typically, upon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delivery (point in time)</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upgrades</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Upon transfer of control; typically,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when made available for download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(point in time)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-1096645</wp:posOffset>
            </wp:positionV>
            <wp:extent cx="564896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-410845</wp:posOffset>
            </wp:positionV>
            <wp:extent cx="564896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4114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-1927860</wp:posOffset>
            </wp:positionV>
            <wp:extent cx="564896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When Payment is Typically Due</w:t>
      </w:r>
    </w:p>
    <w:p>
      <w:pPr>
        <w:spacing w:after="0" w:line="205" w:lineRule="exact"/>
        <w:rPr>
          <w:sz w:val="20"/>
          <w:szCs w:val="20"/>
          <w:color w:val="auto"/>
        </w:rPr>
      </w:pPr>
    </w:p>
    <w:p>
      <w:pPr>
        <w:ind w:left="120" w:right="379"/>
        <w:spacing w:after="0" w:line="289" w:lineRule="auto"/>
        <w:rPr>
          <w:sz w:val="20"/>
          <w:szCs w:val="20"/>
          <w:color w:val="auto"/>
        </w:rPr>
      </w:pPr>
      <w:r>
        <w:rPr>
          <w:rFonts w:ascii="Times New Roman" w:cs="Times New Roman" w:eastAsia="Times New Roman" w:hAnsi="Times New Roman"/>
          <w:sz w:val="17"/>
          <w:szCs w:val="17"/>
          <w:color w:val="auto"/>
        </w:rPr>
        <w:t>Generally, within 30-60 days of invoicing, except for term licenses which may be paid for over time</w:t>
      </w:r>
    </w:p>
    <w:p>
      <w:pPr>
        <w:spacing w:after="0" w:line="374" w:lineRule="exact"/>
        <w:rPr>
          <w:sz w:val="20"/>
          <w:szCs w:val="20"/>
          <w:color w:val="auto"/>
        </w:rPr>
      </w:pPr>
    </w:p>
    <w:p>
      <w:pPr>
        <w:ind w:left="120" w:right="579"/>
        <w:spacing w:after="0" w:line="261" w:lineRule="auto"/>
        <w:rPr>
          <w:sz w:val="20"/>
          <w:szCs w:val="20"/>
          <w:color w:val="auto"/>
        </w:rPr>
      </w:pPr>
      <w:r>
        <w:rPr>
          <w:rFonts w:ascii="Times New Roman" w:cs="Times New Roman" w:eastAsia="Times New Roman" w:hAnsi="Times New Roman"/>
          <w:sz w:val="18"/>
          <w:szCs w:val="18"/>
          <w:color w:val="auto"/>
        </w:rPr>
        <w:t>Generally, within 30-60 days of invoicing</w:t>
      </w:r>
    </w:p>
    <w:p>
      <w:pPr>
        <w:ind w:left="120" w:right="579"/>
        <w:spacing w:after="0" w:line="260"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81" w:lineRule="exact"/>
        <w:rPr>
          <w:sz w:val="20"/>
          <w:szCs w:val="20"/>
          <w:color w:val="auto"/>
        </w:rPr>
      </w:pPr>
    </w:p>
    <w:p>
      <w:pPr>
        <w:ind w:left="120" w:right="579"/>
        <w:spacing w:after="0" w:line="282"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80" w:lineRule="exact"/>
        <w:rPr>
          <w:sz w:val="20"/>
          <w:szCs w:val="20"/>
          <w:color w:val="auto"/>
        </w:rPr>
      </w:pPr>
    </w:p>
    <w:p>
      <w:pPr>
        <w:sectPr>
          <w:pgSz w:w="11900" w:h="16838" w:orient="portrait"/>
          <w:cols w:equalWidth="0" w:num="2">
            <w:col w:w="5940" w:space="100"/>
            <w:col w:w="297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Customer Support Revenue</w:t>
            </w:r>
          </w:p>
        </w:tc>
        <w:tc>
          <w:tcPr>
            <w:tcW w:w="3020" w:type="dxa"/>
            <w:vAlign w:val="bottom"/>
          </w:tcPr>
          <w:p>
            <w:pPr>
              <w:ind w:left="29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Customer support</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Ratably over the course of the support</w:t>
            </w:r>
          </w:p>
        </w:tc>
        <w:tc>
          <w:tcPr>
            <w:tcW w:w="0" w:type="dxa"/>
            <w:vAlign w:val="bottom"/>
          </w:tcPr>
          <w:p>
            <w:pPr>
              <w:spacing w:after="0"/>
              <w:rPr>
                <w:sz w:val="1"/>
                <w:szCs w:val="1"/>
                <w:color w:val="auto"/>
              </w:rPr>
            </w:pPr>
          </w:p>
        </w:tc>
      </w:tr>
      <w:tr>
        <w:trPr>
          <w:trHeight w:val="216"/>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(over time)</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30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professional services (excluding</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work is performed (over time),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training services)</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typically on the input method based on</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hours incurred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Training</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the training is delivered (over</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typically one to five days</w:t>
            </w:r>
          </w:p>
        </w:tc>
        <w:tc>
          <w:tcPr>
            <w:tcW w:w="0" w:type="dxa"/>
            <w:vAlign w:val="bottom"/>
          </w:tcPr>
          <w:p>
            <w:pPr>
              <w:spacing w:after="0"/>
              <w:rPr>
                <w:sz w:val="1"/>
                <w:szCs w:val="1"/>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Judgments</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-1370965</wp:posOffset>
            </wp:positionV>
            <wp:extent cx="564896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-959485</wp:posOffset>
            </wp:positionV>
            <wp:extent cx="564896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579"/>
        <w:spacing w:after="0" w:line="250" w:lineRule="auto"/>
        <w:rPr>
          <w:sz w:val="20"/>
          <w:szCs w:val="20"/>
          <w:color w:val="auto"/>
        </w:rPr>
      </w:pPr>
      <w:r>
        <w:rPr>
          <w:rFonts w:ascii="Times New Roman" w:cs="Times New Roman" w:eastAsia="Times New Roman" w:hAnsi="Times New Roman"/>
          <w:sz w:val="18"/>
          <w:szCs w:val="18"/>
          <w:color w:val="auto"/>
        </w:rPr>
        <w:t>Generally, within 30-60 days of invoicing</w:t>
      </w:r>
    </w:p>
    <w:p>
      <w:pPr>
        <w:spacing w:after="0" w:line="1"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579"/>
        <w:spacing w:after="0" w:line="250" w:lineRule="auto"/>
        <w:rPr>
          <w:sz w:val="20"/>
          <w:szCs w:val="20"/>
          <w:color w:val="auto"/>
        </w:rPr>
      </w:pPr>
      <w:r>
        <w:rPr>
          <w:rFonts w:ascii="Times New Roman" w:cs="Times New Roman" w:eastAsia="Times New Roman" w:hAnsi="Times New Roman"/>
          <w:sz w:val="18"/>
          <w:szCs w:val="18"/>
          <w:color w:val="auto"/>
        </w:rPr>
        <w:t>Generally, within 30-60 days of invoicing (upon completion of services)</w:t>
      </w:r>
    </w:p>
    <w:p>
      <w:pPr>
        <w:spacing w:after="0" w:line="1" w:lineRule="exact"/>
        <w:rPr>
          <w:sz w:val="20"/>
          <w:szCs w:val="20"/>
          <w:color w:val="auto"/>
        </w:rPr>
      </w:pPr>
    </w:p>
    <w:p>
      <w:pPr>
        <w:jc w:val="both"/>
        <w:ind w:right="579"/>
        <w:spacing w:after="0" w:line="260" w:lineRule="auto"/>
        <w:rPr>
          <w:sz w:val="20"/>
          <w:szCs w:val="20"/>
          <w:color w:val="auto"/>
        </w:rPr>
      </w:pPr>
      <w:r>
        <w:rPr>
          <w:rFonts w:ascii="Times New Roman" w:cs="Times New Roman" w:eastAsia="Times New Roman" w:hAnsi="Times New Roman"/>
          <w:sz w:val="18"/>
          <w:szCs w:val="18"/>
          <w:color w:val="auto"/>
        </w:rPr>
        <w:t>Generally, within 30-60 days of services being performed</w:t>
      </w:r>
    </w:p>
    <w:p>
      <w:pPr>
        <w:spacing w:after="0" w:line="613" w:lineRule="exact"/>
        <w:rPr>
          <w:sz w:val="20"/>
          <w:szCs w:val="20"/>
          <w:color w:val="auto"/>
        </w:rPr>
      </w:pPr>
    </w:p>
    <w:p>
      <w:pPr>
        <w:sectPr>
          <w:pgSz w:w="11900" w:h="16838" w:orient="portrait"/>
          <w:cols w:equalWidth="0" w:num="2">
            <w:col w:w="5980" w:space="180"/>
            <w:col w:w="2859"/>
          </w:cols>
          <w:pgMar w:left="1440" w:top="513" w:right="1440" w:bottom="1440" w:gutter="0" w:footer="0" w:header="0"/>
          <w:type w:val="continuous"/>
        </w:sect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contracts with customers based on the nature of the products and services and the geographic regions in which each customer is domiciled. The Company’s total revenue for the three and nine months ended September 30, 2026 and 2025 was disaggregated geographically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4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w:t>
            </w:r>
          </w:p>
        </w:tc>
        <w:tc>
          <w:tcPr>
            <w:tcW w:w="16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its direct sales program and from indirect sales through its channel partner program for the three and nine months ended September 30, 2026 and 2025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3940" w:type="dxa"/>
            <w:vAlign w:val="bottom"/>
          </w:tcPr>
          <w:p>
            <w:pPr>
              <w:spacing w:after="0"/>
              <w:rPr>
                <w:sz w:val="15"/>
                <w:szCs w:val="15"/>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sales through channel partner program</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90,211</w:t>
            </w:r>
          </w:p>
        </w:tc>
      </w:tr>
      <w:tr>
        <w:trPr>
          <w:trHeight w:val="21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216,816</w:t>
            </w:r>
          </w:p>
        </w:tc>
      </w:tr>
      <w:tr>
        <w:trPr>
          <w:trHeight w:val="209"/>
        </w:trPr>
        <w:tc>
          <w:tcPr>
            <w:tcW w:w="39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r>
      <w:tr>
        <w:trPr>
          <w:trHeight w:val="20"/>
        </w:trPr>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Company’s product revenue from sales to enterprise customers and from sales to service provider customers for the three and nine months ended September 30, 2026 and 2025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2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8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3540" w:type="dxa"/>
            <w:vAlign w:val="bottom"/>
          </w:tcPr>
          <w:p>
            <w:pPr>
              <w:spacing w:after="0"/>
              <w:rPr>
                <w:sz w:val="15"/>
                <w:szCs w:val="15"/>
                <w:color w:val="auto"/>
              </w:rPr>
            </w:pPr>
          </w:p>
        </w:tc>
        <w:tc>
          <w:tcPr>
            <w:tcW w:w="12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enterprise customers</w:t>
            </w: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106,181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99,751</w:t>
            </w:r>
          </w:p>
        </w:tc>
      </w:tr>
      <w:tr>
        <w:trPr>
          <w:trHeight w:val="21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to service provider customers</w:t>
            </w:r>
          </w:p>
        </w:tc>
        <w:tc>
          <w:tcPr>
            <w:tcW w:w="1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178,815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207,276</w:t>
            </w:r>
          </w:p>
        </w:tc>
      </w:tr>
      <w:tr>
        <w:trPr>
          <w:trHeight w:val="209"/>
        </w:trPr>
        <w:tc>
          <w:tcPr>
            <w:tcW w:w="3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284,996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r>
      <w:tr>
        <w:trPr>
          <w:trHeight w:val="20"/>
        </w:trPr>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product revenue and service revenue components by segment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 were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1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3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11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48,902</w:t>
            </w: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46,097</w:t>
            </w:r>
          </w:p>
        </w:tc>
        <w:tc>
          <w:tcPr>
            <w:tcW w:w="60" w:type="dxa"/>
            <w:vAlign w:val="bottom"/>
          </w:tcPr>
          <w:p>
            <w:pPr>
              <w:spacing w:after="0"/>
              <w:rPr>
                <w:sz w:val="18"/>
                <w:szCs w:val="18"/>
                <w:color w:val="auto"/>
              </w:rPr>
            </w:pPr>
          </w:p>
        </w:tc>
        <w:tc>
          <w:tcPr>
            <w:tcW w:w="3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112,883</w:t>
            </w:r>
          </w:p>
        </w:tc>
        <w:tc>
          <w:tcPr>
            <w:tcW w:w="60" w:type="dxa"/>
            <w:vAlign w:val="bottom"/>
          </w:tcPr>
          <w:p>
            <w:pPr>
              <w:spacing w:after="0"/>
              <w:rPr>
                <w:sz w:val="18"/>
                <w:szCs w:val="18"/>
                <w:color w:val="auto"/>
              </w:rPr>
            </w:pPr>
          </w:p>
        </w:tc>
        <w:tc>
          <w:tcPr>
            <w:tcW w:w="3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product revenue</w:t>
            </w:r>
          </w:p>
        </w:tc>
        <w:tc>
          <w:tcPr>
            <w:tcW w:w="9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284,996</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Cloud and Edge</w:t>
            </w:r>
          </w:p>
        </w:tc>
        <w:tc>
          <w:tcPr>
            <w:tcW w:w="11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51,784</w:t>
            </w:r>
          </w:p>
        </w:tc>
        <w:tc>
          <w:tcPr>
            <w:tcW w:w="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60" w:type="dxa"/>
            <w:vAlign w:val="bottom"/>
          </w:tcPr>
          <w:p>
            <w:pPr>
              <w:spacing w:after="0"/>
              <w:rPr>
                <w:sz w:val="18"/>
                <w:szCs w:val="18"/>
                <w:color w:val="auto"/>
              </w:rPr>
            </w:pPr>
          </w:p>
        </w:tc>
        <w:tc>
          <w:tcPr>
            <w:tcW w:w="3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153,894</w:t>
            </w:r>
          </w:p>
        </w:tc>
        <w:tc>
          <w:tcPr>
            <w:tcW w:w="60" w:type="dxa"/>
            <w:vAlign w:val="bottom"/>
          </w:tcPr>
          <w:p>
            <w:pPr>
              <w:spacing w:after="0"/>
              <w:rPr>
                <w:sz w:val="18"/>
                <w:szCs w:val="18"/>
                <w:color w:val="auto"/>
              </w:rPr>
            </w:pPr>
          </w:p>
        </w:tc>
        <w:tc>
          <w:tcPr>
            <w:tcW w:w="3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 Optical Networks</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maintenance revenue</w:t>
            </w: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195,447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professional services revenue</w:t>
            </w: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Contract Balances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Billing may occur subsequent to revenue recognition, resulting in contract assets. The Company may receive advances or deposits from its customers before revenue is recognized, resulting in contract liabilities which are classified as deferred revenue. These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assets and liabilities are reported in the Company’s condensed consolidated balance sheets on a contract-by-contract basis as of the end of each reporting period. Changes in the contract asset and liability balances during the nine months ended September 30, 2026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w:t>
      </w:r>
    </w:p>
    <w:p>
      <w:pPr>
        <w:spacing w:after="0" w:line="18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accounts receivable, unbilled receivables and deferred revenue balances for the nine months ended September 30, 2026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accounts</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receivable</w:t>
            </w:r>
          </w:p>
        </w:tc>
        <w:tc>
          <w:tcPr>
            <w:tcW w:w="280" w:type="dxa"/>
            <w:vAlign w:val="bottom"/>
            <w:gridSpan w:val="2"/>
            <w:vMerge w:val="continue"/>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(current)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$ 161,007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net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approximately $90 million of revenue in the nine months ended September 30, 2026 that was recorded as deferred revenue at December 31, 2025 and approximately $96 million of revenue in the nine months ended September 30, 2025 that was recorded as deferred revenue at December 31, 2024. Of the Company’s deferred revenue reported as long-term in its condensed consolidated balance sheet at September 30, 2026, the Company expects that approximately $16 million will be recognized as revenue in 2027, approximately $10 million will be recognized as revenue in 2028 and approximately $11 million will be recognized as revenue in 2029 and beyond.</w:t>
      </w:r>
    </w:p>
    <w:p>
      <w:pPr>
        <w:spacing w:after="0" w:line="18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 applies the optional exemption of not disclosing the transaction price allocated to the remaining performance obligation for its contracts with an original duration of less than one year. In 2024, the Company entered into a contract with an existing customer that has revenue allocated to remaining performance obligations, which includes unearned revenue and amounts that will be invoiced and recognized as revenue in future periods of approximately $147 million and $171 million as of September 30, 2026 and December 31, 2025, respectively. At this time, the Company expects to recognize the majority of the revenue related to this contract in the years 2026 through 2028.</w:t>
      </w:r>
    </w:p>
    <w:p>
      <w:pPr>
        <w:spacing w:after="0" w:line="18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Commissions Cost</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employees are considered incremental and recoverable costs of obtaining a contract with a customer. These costs have been deferred on our condensed consolidated balance sheet and are being amortized over the expected life of the customer contract, which is generally five years. At September 30, 2026 and December 31, 2025, the Company had $2.1 million of deferred sales commissions capitalized.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60" w:right="178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OPERATING SEGMENT INFORMATION</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Cloud and Edge and IP Optical Networks, that align with the way the business is managed. The Company’s CODM, its President and Chief Executive Officer, makes key operating decisions and assesses performance based upon these reportable segments.</w:t>
      </w:r>
    </w:p>
    <w:p>
      <w:pPr>
        <w:spacing w:after="0" w:line="21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and within service provider networks. Ribbon's Cloud and Edge product portfolio consists primarily of its Session Border Controller ("SBC") products and its Network Transformation products.</w:t>
      </w:r>
    </w:p>
    <w:p>
      <w:pPr>
        <w:spacing w:after="0" w:line="189"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18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provide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4 for information regarding the allocation of goodwill between segments.</w:t>
      </w:r>
    </w:p>
    <w:p>
      <w:pPr>
        <w:spacing w:after="0" w:line="18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CODM utilizes adjusted gross profit to evaluate each segment's performance. The Company calculates adjusted gross profit by excluding from cost of revenue both amortization of acquired technology and stock-based compensation and may also exclude other items in future periods that the Company believes are not part of the Company's core business. The Company uses adjusted gross profit to develop its annual budget and quarterly forecasts. The CODM analyzes adjusted gross profit compared to the annual budget and quarterly forecasts to allocate resources. Ribbon’s calculation of adjusted gross profit may not be comparable to similarly titled measures used by other companies. See below for a reconciliation of segment adjusted gross profit to gross profit and loss before income taxes.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significant segment expenses regularly reviewed by the CODM for the three and nine months ended September 30, 2026 and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122,909</w:t>
            </w:r>
          </w:p>
        </w:tc>
        <w:tc>
          <w:tcPr>
            <w:tcW w:w="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124,438</w:t>
            </w:r>
          </w:p>
        </w:tc>
        <w:tc>
          <w:tcPr>
            <w:tcW w:w="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332,926</w:t>
            </w:r>
          </w:p>
        </w:tc>
        <w:tc>
          <w:tcPr>
            <w:tcW w:w="4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369,077</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248,156</w:t>
            </w:r>
          </w:p>
        </w:tc>
        <w:tc>
          <w:tcPr>
            <w:tcW w:w="20" w:type="dxa"/>
            <w:vAlign w:val="bottom"/>
          </w:tcPr>
          <w:p>
            <w:pPr>
              <w:spacing w:after="0"/>
              <w:rPr>
                <w:sz w:val="18"/>
                <w:szCs w:val="18"/>
                <w:color w:val="auto"/>
              </w:rPr>
            </w:pPr>
          </w:p>
        </w:tc>
      </w:tr>
      <w:tr>
        <w:trPr>
          <w:trHeight w:val="20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gross profit: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76,128</w:t>
            </w:r>
          </w:p>
        </w:tc>
        <w:tc>
          <w:tcPr>
            <w:tcW w:w="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77,387</w:t>
            </w:r>
          </w:p>
        </w:tc>
        <w:tc>
          <w:tcPr>
            <w:tcW w:w="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198,719</w:t>
            </w:r>
          </w:p>
        </w:tc>
        <w:tc>
          <w:tcPr>
            <w:tcW w:w="4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229,537</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86,580</w:t>
            </w:r>
          </w:p>
        </w:tc>
        <w:tc>
          <w:tcPr>
            <w:tcW w:w="20" w:type="dxa"/>
            <w:vAlign w:val="bottom"/>
          </w:tcPr>
          <w:p>
            <w:pPr>
              <w:spacing w:after="0"/>
              <w:rPr>
                <w:sz w:val="18"/>
                <w:szCs w:val="18"/>
                <w:color w:val="auto"/>
              </w:rPr>
            </w:pPr>
          </w:p>
        </w:tc>
      </w:tr>
      <w:tr>
        <w:trPr>
          <w:trHeight w:val="20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adjusted gross profit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316,117</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5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Reconciliation of segment adjusted gross profit to gross profit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loss before income taxes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Pr>
          <w:p>
            <w:pPr>
              <w:spacing w:after="0"/>
              <w:rPr>
                <w:sz w:val="18"/>
                <w:szCs w:val="18"/>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20" w:type="dxa"/>
            <w:vAlign w:val="bottom"/>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2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20" w:type="dxa"/>
            <w:vAlign w:val="bottom"/>
          </w:tcPr>
          <w:p>
            <w:pPr>
              <w:spacing w:after="0"/>
              <w:rPr>
                <w:sz w:val="19"/>
                <w:szCs w:val="19"/>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disposal- and integration-related expense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related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0" w:type="dxa"/>
            <w:vAlign w:val="bottom"/>
          </w:tcPr>
          <w:p>
            <w:pPr>
              <w:spacing w:after="0"/>
              <w:rPr>
                <w:sz w:val="19"/>
                <w:szCs w:val="19"/>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20" w:type="dxa"/>
            <w:vAlign w:val="bottom"/>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8"/>
                <w:szCs w:val="18"/>
                <w:color w:val="auto"/>
              </w:rPr>
            </w:pPr>
          </w:p>
        </w:tc>
      </w:tr>
      <w:tr>
        <w:trPr>
          <w:trHeight w:val="209"/>
        </w:trPr>
        <w:tc>
          <w:tcPr>
            <w:tcW w:w="4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and Edge</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4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IP Optical Networks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20" w:type="dxa"/>
            <w:vAlign w:val="bottom"/>
          </w:tcPr>
          <w:p>
            <w:pPr>
              <w:spacing w:after="0"/>
              <w:rPr>
                <w:sz w:val="18"/>
                <w:szCs w:val="18"/>
                <w:color w:val="auto"/>
              </w:rPr>
            </w:pPr>
          </w:p>
        </w:tc>
      </w:tr>
      <w:tr>
        <w:trPr>
          <w:trHeight w:val="21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MAJOR CUSTOMERS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customers contributed 10% or more of the Company’s revenue in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4"/>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54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r>
      <w:tr>
        <w:trPr>
          <w:trHeight w:val="173"/>
        </w:trPr>
        <w:tc>
          <w:tcPr>
            <w:tcW w:w="4700" w:type="dxa"/>
            <w:vAlign w:val="bottom"/>
            <w:gridSpan w:val="2"/>
          </w:tcPr>
          <w:p>
            <w:pPr>
              <w:ind w:left="44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Less than 10% of total revenue</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no customer accounted for 10% or more of the Company’s accounts receivable balance.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COMMON STOCK REPURCHASES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the second quarter of 2025, the Company's Board of Directors approved a program to repurchase up to $50 million of the Company’s common stock (the “2025 Repurchase Program” or the “Repurchase Program”). Commencing on June 5, 2025 and continuing through December 31, 2027, the Repurchase Program is being funded with cash on hand or cash generated from operations. During the nine months ended September 30, 2026, the Company used $0.8 million, including transaction fees, to repurchase and retire 0.4 million shares of its common stock under the Repurchase Program. Since the start of the Repurchase Program, the Company has used $9.8 million, including transaction fees, to repurchase and retire</w:t>
      </w:r>
    </w:p>
    <w:p>
      <w:pPr>
        <w:spacing w:after="0" w:line="5"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2.9 million shares of its common stock. Repurchases are subject to the terms of the Company’s Credit Facility, which limits aggregate share repurchases to $15 million and subjects such repurchases to compliance with specified financial covenants and leverage requirements.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STOCK-BASED COMPENSATION PLANS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stock-based compensation to employees, officers and non-employee directors, as well as consultants and advisors of the Company and its subsidiaries under its 2025 Incentive Award Plan (the “2025 Plan”) which provides for the award of stock options, stock appreciation rights ("SARs"), restricted stock awards ("RSAs"), performance-based stock awards ("PSAs"), restricted stock units ("RSUs"), performance-based stock units ("PSUs") and other stock- or cash-based awards. The 2025 Plan has been approved by the Company’s stockholders.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Equity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Performance-Based Stock Grants</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to granting RSAs and RSUs to its executives and certain of its employees, the Company also grants PSUs to certain of its executives and certain other employees. Vesting periods for RSAs, RSUs, and PSUs granted range from one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one-third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150% of the target Performance PSUs or 200% of the target Market PSUs. Shares subject to PSUs that fail to be earned will be forfeited.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RSUs for the nine months ended September 30, 2026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ind w:left="65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9,928,256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3,250,226</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(4,216,107)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(392,801)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8,569,574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shares of restricted stock underlying RSUs that vested during the nine months ended September 30, 2026 was $15.0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activity related to the Company’s PSUs for the nine months ended September 30, 2026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980" w:type="dxa"/>
            <w:vAlign w:val="bottom"/>
            <w:gridSpan w:val="3"/>
          </w:tcPr>
          <w:p>
            <w:pPr>
              <w:ind w:left="1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2026</w:t>
            </w:r>
          </w:p>
        </w:tc>
        <w:tc>
          <w:tcPr>
            <w:tcW w:w="20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5,054,723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1,546,236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(1,272,210)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(1,442,474)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2026</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3,886,275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shares of restricted stock underlying PSUs that vested during the nine months ended September 30, 2026 was $4.8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include stock-based compensation for the three and nine months ended September 30, 2026 and 2025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1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r>
      <w:tr>
        <w:trPr>
          <w:trHeight w:val="17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 of revenue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there was $23.9 million, net of expected forfeitures, of unrecognized stock-based compensation expense related to unvested RSUs and PSUs. This expense is expected to be recognized over a weighted average period of approximately two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research and development facilities. Operating leases are reported separately in the Company’s condensed consolidated balance sheets.</w:t>
      </w:r>
    </w:p>
    <w:p>
      <w:pPr>
        <w:spacing w:after="0" w:line="16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September 30, 2026 and December 31, 2025 and determined no impairment has occurred.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8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operating leases, lease expense for minimum fixed lease payments is recognized on a straight-line basis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Certain leased facilities are being partially or fully vacated as part of the 2022 Restructuring Plan and for some of those facilities, the Company has no plans to enter into sublease agreements. Accordingly, the Company may accelerate the amortization of those lease assets through the planned cease-use date of each facility, resulting in additional amortization expense. No such accelerated amortization was recorded in three and nine months ended September 30, 2026 or 2025. The Company did not record estimated future variable lease costs in the three and nine months ended September 30, 2026 or 2025 related to the 2022 Restructuring Plan.</w:t>
      </w:r>
    </w:p>
    <w:p>
      <w:pPr>
        <w:spacing w:after="0" w:line="18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All incremental accelerated amortization and accruals for estimated future variable costs are included in Restructuring and related expense in the Company’s condensed consolidated statements of operations. At September 30, 2026 and December 31, 2025, the Company had accruals of $0.6 million and $0.8 million,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all future anticipated variable lease costs related to these facilities. The Company may incur additional future expense if it is unable to sublease other locations included in the facilities initiative.</w:t>
      </w:r>
    </w:p>
    <w:p>
      <w:pPr>
        <w:spacing w:after="0" w:line="16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its corporate offices and other facilities under operating leases, which expire at various times through 2036.</w:t>
      </w:r>
    </w:p>
    <w:p>
      <w:pPr>
        <w:spacing w:after="0" w:line="16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right-of-use lease assets and lease liabilities at September 30, 2026 and December 31, 2025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2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42,888</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58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58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2026 and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6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r>
      <w:tr>
        <w:trPr>
          <w:trHeight w:val="198"/>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lease costs (costs excluded from minimum fixed lease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accelerated amortization was recorded in the three and nine months ended September 30, 2026 or 2025.</w:t>
      </w:r>
    </w:p>
    <w:p>
      <w:pPr>
        <w:spacing w:after="0" w:line="225" w:lineRule="exact"/>
        <w:rPr>
          <w:sz w:val="20"/>
          <w:szCs w:val="20"/>
          <w:color w:val="auto"/>
        </w:rPr>
      </w:pPr>
    </w:p>
    <w:p>
      <w:pPr>
        <w:jc w:val="both"/>
        <w:ind w:left="380" w:right="479" w:hanging="330"/>
        <w:spacing w:after="0" w:line="312"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variable lease costs were expensed in the three and nine months ended September 30, 2026 or 2025 for future estimated variable expenses related to certain assets partially or fully vacated with no intent or ability to sublease.</w:t>
      </w:r>
    </w:p>
    <w:p>
      <w:pPr>
        <w:spacing w:after="0" w:line="14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leases included in the measurement of operating lease liabilities were classified as operating cash flows and totaled $13.2 million and $12.0 million in the nine months ended September 30, 2026 and 2025, respectively.</w:t>
      </w:r>
    </w:p>
    <w:p>
      <w:pPr>
        <w:spacing w:after="0" w:line="176" w:lineRule="exact"/>
        <w:rPr>
          <w:sz w:val="20"/>
          <w:szCs w:val="20"/>
          <w:color w:val="auto"/>
        </w:rPr>
      </w:pPr>
    </w:p>
    <w:p>
      <w:pPr>
        <w:ind w:left="60" w:right="59" w:firstLine="324"/>
        <w:spacing w:after="0" w:line="220" w:lineRule="exact"/>
        <w:rPr>
          <w:sz w:val="20"/>
          <w:szCs w:val="20"/>
          <w:color w:val="auto"/>
        </w:rPr>
      </w:pPr>
      <w:r>
        <w:rPr>
          <w:rFonts w:ascii="Times New Roman" w:cs="Times New Roman" w:eastAsia="Times New Roman" w:hAnsi="Times New Roman"/>
          <w:sz w:val="18"/>
          <w:szCs w:val="18"/>
          <w:color w:val="auto"/>
        </w:rPr>
        <w:t>The Company’s non-cash investing and financing activities in the nine months ended September 30, 2025 related to the addition of operating leases resulted in right-of-use assets (“ROUs”) obtained in exchange for lease obligations of $20.3 million and operating lease liabilities recorded of $31.0 million. There were no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investing or financing activities related to operating leases in the nine months ended September 30, 2026.</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Other information related to the Company’s leases as of September 30, 2026 and December 31, 2025 was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40" w:type="dxa"/>
            <w:vAlign w:val="bottom"/>
            <w:gridSpan w:val="2"/>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9.78 %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Future minimum fixed lease payments under noncancelable leases at September 30, 2026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ind w:left="77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7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beyond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w:t>
            </w:r>
          </w:p>
        </w:tc>
      </w:tr>
      <w:tr>
        <w:trPr>
          <w:trHeight w:val="21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92,570</w:t>
            </w: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(25,761)</w:t>
            </w:r>
          </w:p>
        </w:tc>
      </w:tr>
      <w:tr>
        <w:trPr>
          <w:trHeight w:val="210"/>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66,809</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an income tax benefit of $0.2 million and an income tax provision of $4.6 million in the nine months ended September 30, 2026 and 2025, respectively. These amounts reflect the Company’s estimates of the effective rates expected to be applicable for the respective full years, adjusted for any discrete events, which are recorded in the period in which they occur. These estimates are reevaluated each quarter based on the Company’s estimated tax expense for the full fiscal year. The estimated effective tax rate includes the impact of valuation allowances in various jurisdictions. The Company intends to continue to maintain a valuation allowance on its deferred tax assets until there is sufficient evidence to support the reversal of all or some portion of the respective allowances.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229"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revenue from its largest stockholder of $0.9 million and $1.0 million in the three months ended September 30, 2026 and 2025, respectively, and $3.0 million and $4.0 million in the nine months ended September 30, 2026 and 2025, respectively. As of September 30, 2026, the Company had accounts receivable of $5.3 million outstanding from its largest stockholder, compared to $8.5 million as of December 31, 2025.</w:t>
      </w:r>
    </w:p>
    <w:p>
      <w:pPr>
        <w:spacing w:after="0" w:line="176" w:lineRule="exact"/>
        <w:rPr>
          <w:sz w:val="20"/>
          <w:szCs w:val="20"/>
          <w:color w:val="auto"/>
        </w:rPr>
      </w:pPr>
    </w:p>
    <w:p>
      <w:pPr>
        <w:ind w:left="60" w:right="5179" w:hanging="10"/>
        <w:spacing w:after="0" w:line="502" w:lineRule="auto"/>
        <w:tabs>
          <w:tab w:leader="none" w:pos="4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Contingencies</w:t>
      </w: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for Royalty Payments to the IIA</w:t>
      </w:r>
    </w:p>
    <w:p>
      <w:pPr>
        <w:spacing w:after="0" w:line="227"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In connection with the Company’s acquisition of ECI Telecom Group Ltd. ("ECI") in 2020, ECI had previously received research and development grants from the Office of the Innovation Authority of the Israeli Ministry of</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78" w:lineRule="auto"/>
        <w:rPr>
          <w:sz w:val="20"/>
          <w:szCs w:val="20"/>
          <w:color w:val="auto"/>
        </w:rPr>
      </w:pPr>
      <w:r>
        <w:rPr>
          <w:rFonts w:ascii="Times New Roman" w:cs="Times New Roman" w:eastAsia="Times New Roman" w:hAnsi="Times New Roman"/>
          <w:sz w:val="18"/>
          <w:szCs w:val="18"/>
          <w:b w:val="1"/>
          <w:bCs w:val="1"/>
          <w:color w:val="auto"/>
        </w:rPr>
        <w:t>RIBBON COMMUNICATIONS INC. Notes to Condensed Consolidated Financial Statements (Continued) (unaudited)</w:t>
      </w:r>
    </w:p>
    <w:p>
      <w:pPr>
        <w:spacing w:after="0" w:line="38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Economics (the "IIA"). The Company assumed ECI’s contract with the IIA, which requires the Company to pay royalties to the IIA on proceeds from the sale of products that the Israeli government has supported by way of research and development grants.</w:t>
      </w:r>
    </w:p>
    <w:p>
      <w:pPr>
        <w:spacing w:after="0" w:line="176"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The royalties for grants prior to 2017 were calculated at the rates of 1.3% to 5.0% of the aggregated proceeds from the sale of such products developed at certain of the Company’s research and development (“R&amp;D”) centers, up to an amount not exceeding 100% of such grants plus interest at the London Inter-Bank Offered Rate (“LIBOR”). Effective for grants approved in 2017 and effective through 2023, interest was calculated at the higher of LIBOR plus 1.5% to 2.75%. For grants approved in 2024 and thereafter, interest is calculated based on the Secured Overnight Financing Rate (“SOFR”).</w:t>
      </w:r>
    </w:p>
    <w:p>
      <w:pPr>
        <w:spacing w:after="0" w:line="16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$2.5 million of unpaid royalties accrued. The Company’s maximum possible future royalties commitment at September 30, 2026 of $10.2 million, including interest of $0.8 million, was based upon estimates of future sales of product and services and the grants received from the IIA not yet repaid.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Company is often a party to disputes and legal proceedings that it considers routine and incidental to its business, including those described below. The Company believes that it has meritorious defenses to the allegations made in the pending cases and intends to vigorously defend these lawsuits; however, the Company is currently unable to forecast the ultimate outcome of these or similar matters. Since it is difficult to predict the outcome of legal proceedings, it is possible that the ultimate outcomes could materially and adversely affect the Company’s business, financial position, results of operations or cash flows. Accordingly, with respect to these proceedings, the Company is currently unable to reasonably estimate the possible loss or range of possible loss.</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Charter Complaint. </w:t>
      </w:r>
      <w:r>
        <w:rPr>
          <w:rFonts w:ascii="Times New Roman" w:cs="Times New Roman" w:eastAsia="Times New Roman" w:hAnsi="Times New Roman"/>
          <w:sz w:val="18"/>
          <w:szCs w:val="18"/>
          <w:color w:val="auto"/>
        </w:rPr>
        <w:t>On September 19, 2022, Charter Communications Operating, LLC (“Charter”) filed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complaints against two of our subsidiaries (Sonus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in New York County; the second complaint was filed by Charter as well as co-plaintiffs Charter Communications Holding Company, LLC and Bright House Networks, LLC, in the Superior Court of the State of Delaware in and for New Castle County. In both complaints, Charter is seeking monetary damages. The Company filed its answer to the first complaint filed in New York on December 7, 2022 and to the second complaint filed in Delaware on January 9, 2023. On May 14, 2025, the Delaware court granted the Company’s dispositive motion for summary judgment and denied Charter’s motion for partial summary judgment. Charter appealed the Delaware court’s decision, but on December 18, 2025, the Delaware Supreme Court affirmed the lower court’s judgment. This resolved the case in Delaware. On May 28, 2026, the New York court also granted the Company’s dispositive motion for summary judgment and denied Charter’s motion for partial summary judgment. Charter has appealed the New York court’s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9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2025, which was filed with the U.S. Securities and Exchange Commission on February 26,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thirty countries around the world.</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Trends and Economic Factors Affecting Ribbon</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Tariffs. </w:t>
      </w:r>
      <w:r>
        <w:rPr>
          <w:rFonts w:ascii="Times New Roman" w:cs="Times New Roman" w:eastAsia="Times New Roman" w:hAnsi="Times New Roman"/>
          <w:sz w:val="18"/>
          <w:szCs w:val="18"/>
          <w:color w:val="auto"/>
        </w:rPr>
        <w:t>The global trade landscape continues to be highly volatile. In 2025, the U.S. government implemented a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trade tariffs on goods imported into the U.S. from various countries. In many cases, these tariffs resulted in reciprocal tariffs and other actions on goods being exported from the U.S. These associated tariffs are complex and continue to evolve as negotiations occur. In February 2026, the U.S. Supreme Court ruled that the International Emergency Economic Powers Act (“IEEPA”), which the U.S. government relied on to impose certain tariffs, does not authorize the administration to impose tariffs. Following the ruling, the U.S. Court of International Trade ordered the U.S. Customs and Border Protection (“CBP”) to refund the IEEPA tariffs, and CBP has since established a phased process for importers to request refunds, which began accepting claims in April 2026 and was expanded in October 2026 to include certain finally liquidated entries. In October 2026, the U.S. Court of International Trade also certified a class of importers seeking IEEPA refunds; that decision may be appealed, and the IEEPA tariffs and refunds remain subject to ongoing litigation. In response to the U.S. Supreme Court ruling, the administration imposed a temporary 10% tariff on most imports under Section 122 of the Trade Act of 1974, which expired on July 24, 2026, and has since imposed or proposed additional tariffs under Section 301 of the Trade Act of 1974 and Section 232 of the Trade Expansion Act of 1962, some of which are also being challenged in court. In addition, at the July 2026 joint review of the U.S.-Mexico-Canada Agreement (“USMCA”), on which we rely for the importation of many of our products from our contract manufacturer in Mexico, the United States declined to renew the USMCA in its current form. Although the USMCA remains in effect and is scheduled to expire in 2036 unless extended, the United States may seek to modify the agreement or impose tariffs on goods from Mexico or Canada, including goods that currently qualify for USMCA treatment. The full impact of these developments, including the timing and extent of any refunds, the impact of new tariffs and the future of the USMCA, remains uncertain. While the announced tariffs have not had a material impact on our business to date, new or proposed tariffs, including the loss of exemptions under existing trade agreements or otherwise, could result in additional expenses for products we import into the United States. In addition, the economic uncertainty caused by the tariffs may result in customers delaying planned purchases of products and services.</w:t>
      </w:r>
    </w:p>
    <w:p>
      <w:pPr>
        <w:spacing w:after="0" w:line="185"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Supplier Disruptions. </w:t>
      </w:r>
      <w:r>
        <w:rPr>
          <w:rFonts w:ascii="Times New Roman" w:cs="Times New Roman" w:eastAsia="Times New Roman" w:hAnsi="Times New Roman"/>
          <w:sz w:val="18"/>
          <w:szCs w:val="18"/>
          <w:color w:val="auto"/>
        </w:rPr>
        <w:t>Ongoing uncertainty in the global economy due to tariffs, inflation, global military conflicts,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the Middle East and Ukraine, rising fuel prices, national security concerns and other factors, continue to disrupt various manufacturing, commodity and financial markets, increase volatility, and impede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Continued uncertain global economic conditions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wars in the Middle East and Ukraine, and the high interest rate environment impacts our future business, financial position and results of operations will depend on developments beyond our control.</w:t>
      </w:r>
    </w:p>
    <w:p>
      <w:pPr>
        <w:spacing w:after="0" w:line="181"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Ongoing War in Ukraine and the Middle East</w:t>
      </w:r>
      <w:r>
        <w:rPr>
          <w:rFonts w:ascii="Times New Roman" w:cs="Times New Roman" w:eastAsia="Times New Roman" w:hAnsi="Times New Roman"/>
          <w:sz w:val="18"/>
          <w:szCs w:val="18"/>
          <w:color w:val="auto"/>
        </w:rPr>
        <w:t>. The uncertainty resulting from the recent war in the Middle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ongoing war in Ukraine, and the threat for expansion of one or both of these wars, could result in some of our customers delaying purchases from us. The conflict in the Middle East has significantly reduced the export of oil and natural gas from the Persian Gulf, creating upward pressure on oil and natural gas prices, and has also disrupted and increased the costs of certain other supplies. Further, a number of our employees in Israel are members of the military reserves and subject to immediate call-up in response to the war in the Middle East. Following the terrorist attacks in Israel in October 2023, a number of our employees have been activated for military duty and we expect that additional employees will also be activated if the war in Israel continues. While we have business continuity plans in place to address the military call-ups, it could affect the timing of projects in the short-term as the work is shifted to other team members both inside and outside of Israel.</w:t>
      </w:r>
    </w:p>
    <w:p>
      <w:pPr>
        <w:spacing w:after="0" w:line="18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United States and European countries have imposed sanctions and trade restrictions against Russia in connection with the war in Ukraine. These sanctions and restrictions currently prohibit our ability to sell hardware products in Russia or provide any replacement parts in Russia. The sanctions continue to evolve and further changes in the current sanctions or trade restrictions could further limit our ability to sell products and services to customers in Russia, our ability to collect on outstanding accounts receivable from such customers, and our ability to repatriate funds. If we are further limited in our ability to sell products and services to Russia and other countries for an extended period, it could have a material impact on our financial results.</w:t>
      </w:r>
    </w:p>
    <w:p>
      <w:pPr>
        <w:spacing w:after="0" w:line="187"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Inflation and Interest Rates. </w:t>
      </w:r>
      <w:r>
        <w:rPr>
          <w:rFonts w:ascii="Times New Roman" w:cs="Times New Roman" w:eastAsia="Times New Roman" w:hAnsi="Times New Roman"/>
          <w:sz w:val="17"/>
          <w:szCs w:val="17"/>
          <w:color w:val="auto"/>
        </w:rPr>
        <w:t>We continue to see near-term impacts on our business due to inflation, including ongoing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price pressures resulting in higher energy prices, component costs, freight premiums, and other operating costs above normal rates. Although headline inflation in the United States and Europe appears to be easing, core inflation (excluding food and energy prices) remains elevated and is a source of continued cost pressure on businesses and households. Interest rates remain high as central banks in developed countries attempt to subdue inflation while government deficits and debt remain at high levels in many global markets. Recently, the Federal Reserve increased the federal funds rate to its current target range of 3.75% to 4.00% as a result of indicators that inflation was increasing. The economic outlook remains uncertain, and the implications of current and future tariffs, higher government deficits and debt, tighter monetary policy, and potentially higher long-term interest rates may drive a higher cost of capital for our business.</w:t>
      </w:r>
    </w:p>
    <w:p>
      <w:pPr>
        <w:spacing w:after="0" w:line="173"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w:t>
      </w:r>
      <w:r>
        <w:rPr>
          <w:rFonts w:ascii="Times New Roman" w:cs="Times New Roman" w:eastAsia="Times New Roman" w:hAnsi="Times New Roman"/>
          <w:sz w:val="18"/>
          <w:szCs w:val="18"/>
          <w:color w:val="auto"/>
        </w:rPr>
        <w:t>As a portion of our business is conducted outside the United States, we face exposure to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in foreign currency exchange rates. A weakened U.S. dollar could increase the cost of local operating expenses and procurement of raw materials from sources outside the United States. Therefore, changes in the value of the U.S. dollar against other currencies would affect our revenue, income from operations, net income and the value of balance sheet items originally denominated in other currencies. There is no guarantee that our financial results will not be adversely affected by currency exchange rate fluctuations.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229"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(“CODM”) assesses our performance based on the performance of two separate organizations within Ribbon: the Cloud and Edge operating segment ("Cloud and Edge") and the IP Optical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Networks operating segment ("IP Optical Networks"). For additional details regarding our operating segments, see Note 13 - Operating Segment Information to our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Results</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of $5.6 million and $2.8 million for the three months ended September 30, 2026 and 2025, respectively. We reported a loss from operations of $38.3 million and $12.6 million for the nine months ended September 30, 2026 and 2025, respectively.</w:t>
      </w:r>
    </w:p>
    <w:p>
      <w:pPr>
        <w:spacing w:after="0" w:line="1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Our revenue was $218.7 million and $215.4 million in the three months ended September 30, 2026 and 2025, respectively. Our gross profit and gross margin were $105.5 million and 48.2%, respectively, in the three months ended September 30, 2026, and $108.0 million and 50.1%, respectively, in the three months ended September 30, 2025. The higher revenue in the three months ended September 30, 2026 compared to 2025 is due to $4.9 million higher IP Optical Networks revenue offset by $1.6 million lower Cloud and Edge revenue. IP Optical Networks revenue was higher primarily due to $8.5 million of higher product sales and $3.6 million of lower services revenue. The lower Cloud and Edge revenue was attributable to $4.4 million of lower services revenue offset by $2.8 million of higher product sales. Our revenue was $573.7 million and $617.2 million in the nine months ended September 30, 2026 and 2025, respectively. Our gross profit and gross margin were $265.6 million and 46.3%, respectively, in the nine months ended September 30, 2026, and $299.6 million and 48.5%, respectively, in the nine months ended September 30, 2025. The lower revenue in the nine months ended September 30, 2026 compared to 2025 is due to $36.2 million of lower Cloud and Edge revenue, and $7.4 million of lower IP Optical Networks revenue. The lower Cloud and Edge revenue was attributable to $21.2 million of lower product sales and $15.0 million of lower services revenue. The lower IP Optical Networks revenue was due to $6.6 million of lower services revenue plus $0.8 million of lower product sales.</w:t>
      </w:r>
    </w:p>
    <w:p>
      <w:pPr>
        <w:spacing w:after="0" w:line="19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Revenue from our Cloud and Edge segment was $122.9 million and $124.5 million in the three months ended September 30, 2026 and 2025, respectively. Gross profit and gross margin for this segment were $75.8 million and 61.7%, respectively, in the three months ended September 30, 2026, and $76.5 million and 61.5%, respectively, in the three months ended September 30, 2025. Revenue from our Cloud and Edge segment was $332.9 million and $369.1 million in the nine months ended September 30, 2026 and 2025, respectively. Gross profit and gross margin for this segment were $197.7 million and 59.4%, respectively, in the nine months ended September 30, 2026, and $226.3 million and 61.3%, respectively, in the nine months ended September 30, 2025.</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Revenue from our IP Optical Networks segment was $95.8 million and $90.9 million in the three months ended September 30, 2026 and 2025, respectively. Gross profit and gross margin for this segment were $29.7 million and 31.1%, respectively, in the three months ended September 30, 2026, and $31.5 million and 34.6%, respectively, in the three months ended September 30, 2025. Revenue from our IP Optical Networks segment was $240.7 million and $248.1 million in the nine months ended September 30, 2026 and 2025, respectively. Gross profit and gross margin for this segment were $67.9 million and 28.2%, respectively, in the nine months ended September 30, 2026, and $73.3 million and 29.5%, respectively, in the nine months ended September 30, 2025.</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operating expenses were $99.9 million and $105.2 million in the three months ended September 30, 2026 and 2025, respectively, and $303.9 million and $312.3 million in the nine months ended September 30, 2026 and 2025, respectively. The decreased operating expenses in the three months ended September 30, 2026 as compared to the three months ended September 30, 2025, were primarily attributable to $2.1 million lower restructuring and related expense, $1.5 million lower research and development expense and $1.1 million lower general and administrative expense. The decreased operating expenses in the nine months ended September 30, 2026 as compared to the nine months ended September 30, 2025, were primarily attributable to $4.3 million lower acquisition-, disposal- and integration-related expense, $2.3 million lower restructuring and related expense, $1.5 million lower amortization of acquired intangible assets and $1.3 million lower general and administrative expense partially offset by $1.4 million higher sales and marketing expense. Operating expenses for the three months ended September 30, 2026 included $5.5 million of amortization of acquired intangible assets and $1.4 million of restructuring and related expense. Operating expenses for the three months ended September 30, 2025 included $5.9 million of amortization of acquired intangible assets and $3.5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million of restructuring and related expense. Operating expenses for the nine months ended September 30, 2026 included $16.6 million of amortization of acquired intangible assets and $7.9 million of restructuring and related expense. Operating expenses for the nine months ended September 30, 2025 included $18.1 million of amortization of acquired intangible assets, $4.3 million of acquisition-, disposal- and integration-related expense and $10.2 million of restructuring and related expense.</w:t>
      </w:r>
    </w:p>
    <w:p>
      <w:pPr>
        <w:spacing w:after="0" w:line="183"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We recorded stock-based compensation expense of $5.7 million and $5.8 million in the three months ended September 30, 2026 and 2025, respectively and $16.5 million and $14.6 million in the nine months ended September 30, 2026 and 2025, respectively. These amounts are included as components of both Cost of revenue and Operating expenses in our condensed consolidated statements of operations.</w:t>
      </w:r>
    </w:p>
    <w:p>
      <w:pPr>
        <w:spacing w:after="0" w:line="180"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See "Results of Operations" in this MD&amp;A for a discussion of the changes in our revenue and expenses for three and nine months ended September 30, 2026 compared to three and nine months ended September 30,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Cost Reduction Initiatives</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2025, our President and CEO approved a strategic restructuring program (the "2026 Restructuring Plan") that consists of workforce reductions in certain of the Company’s operating locations to correspond with current sales levels in those areas. Any potential positions eliminated in countries outside the United States are subject to local law and consultation requirements. In connection with the 2026 Restructuring Plan, we recorded restructuring and related expense of $0.9 million and $6.0 million in the three and nine months ended September 30, 2026, respectively. We anticipate that we will record additional expense of approximately $1 million in 2026 related to the 2026 Restructuring Plan.</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During the first quarter of 2025, our President and CEO approved a strategic restructuring program (as subsequently amended, the "2025 Restructuring Plan") that consists of workforce reductions in certain of our operating locations to correspond with current sales levels in those areas. The 2025 Restructuring Plan was amended in the third quarter of 2025 to reflect an increase in the scope of the proposed reductions. Any potential positions eliminated in countries outside the United States are subject to local law and consultation requirements. In connection with the 2025 Restructuring Plan, the Company incurred nominal restructuring and related expense in the three and nine months ended September 30, 2026. We recorded restructuring and related expense of $2.5 million and $5.1 million in the three and nine months ended September 30, 2025, respectively. We anticipate that we will record nominal additional expense in 2026 for workforce reductions related to the 2025 Restructuring Plan.</w:t>
      </w:r>
    </w:p>
    <w:p>
      <w:pPr>
        <w:spacing w:after="0" w:line="18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February 2022, our Board of Directors approved a strategic restructuring program (the "2022 Restructuring Plan") to streamline our operations in order to support our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the 2022 Restructuring Plan, we recorded restructuring and related expense of $0.6 million and $0.9 million in the three months ended September 30, 2026 and 2025, respectively and $1.9 million and $5.2 million in the nine months ended September 30, 2026 and 2025, respectively, for variable and other facilities-related costs. We anticipate that we will record additional expense of approximately $1 million in 2026 related to the 2022 Restructuring Plan.</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For facilities that are part of a restructuring plan, for which we have no intent or ability to enter into a sublease, we recognize accelerated rent amortization over the period from the date that we commence the plan to fully or partially vacate a facility through the final vacate date. We did not record accelerated rent amortization in the three and nine months ended September 30, 2026 or 2025. We continue to evaluate our properties included in our restructuring plans for accelerated amortization and/or right-of-use asset impairment. We may incur additional expense in the future if we are unable to sublease other locations included in these initiatives.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This MD&amp;A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certain accounting policies to be both those most important to the portrayal of our financial condition and those that require the most subjective judgment. The significant accounting policies that we believe are the most critical include revenue recognition, the valuation of inventory, warranty accruals, loss contingencies and reserves, stock-based compensation, the warrants,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2026 through September 30, 2026. For a further discussion of our critical accounting policies and estimates, please refer to our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2026 and 2025</w:t>
      </w:r>
    </w:p>
    <w:p>
      <w:pPr>
        <w:spacing w:after="0" w:line="225"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and nine months ended September 30, 2026 and 2025 was as follows (in thousands,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34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3"/>
                <w:szCs w:val="13"/>
                <w:color w:val="auto"/>
              </w:rPr>
            </w:pPr>
          </w:p>
        </w:tc>
        <w:tc>
          <w:tcPr>
            <w:tcW w:w="3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3"/>
                <w:szCs w:val="13"/>
                <w:color w:val="auto"/>
              </w:rPr>
            </w:pPr>
          </w:p>
        </w:tc>
        <w:tc>
          <w:tcPr>
            <w:tcW w:w="158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70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34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109,979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$ 11,343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105,392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(8,004)</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215,371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60" w:type="dxa"/>
            <w:vAlign w:val="bottom"/>
          </w:tcPr>
          <w:p>
            <w:pPr>
              <w:spacing w:after="0"/>
              <w:rPr>
                <w:sz w:val="24"/>
                <w:szCs w:val="24"/>
                <w:color w:val="auto"/>
              </w:rPr>
            </w:pPr>
          </w:p>
        </w:tc>
        <w:tc>
          <w:tcPr>
            <w:tcW w:w="234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24"/>
                <w:szCs w:val="24"/>
                <w:color w:val="auto"/>
              </w:rPr>
            </w:pPr>
          </w:p>
        </w:tc>
        <w:tc>
          <w:tcPr>
            <w:tcW w:w="3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9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70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120" w:type="dxa"/>
            <w:vAlign w:val="bottom"/>
            <w:vMerge w:val="restart"/>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gridSpan w:val="4"/>
            <w:shd w:val="clear" w:color="auto" w:fill="000000"/>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212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284,996</w:t>
            </w:r>
          </w:p>
        </w:tc>
        <w:tc>
          <w:tcPr>
            <w:tcW w:w="12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307,027</w:t>
            </w:r>
          </w:p>
        </w:tc>
        <w:tc>
          <w:tcPr>
            <w:tcW w:w="10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(22,031)</w:t>
            </w:r>
          </w:p>
        </w:tc>
        <w:tc>
          <w:tcPr>
            <w:tcW w:w="120" w:type="dxa"/>
            <w:vAlign w:val="bottom"/>
            <w:gridSpan w:val="2"/>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310,206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(21,546)</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617,233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(43,577)</w:t>
            </w:r>
          </w:p>
        </w:tc>
        <w:tc>
          <w:tcPr>
            <w:tcW w:w="70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Segment revenue for the three and nine months ended September 30, 2026 and 2025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3820" w:type="dxa"/>
            <w:vAlign w:val="bottom"/>
            <w:gridSpan w:val="14"/>
          </w:tcPr>
          <w:p>
            <w:pPr>
              <w:ind w:left="1000"/>
              <w:spacing w:after="0"/>
              <w:rPr>
                <w:sz w:val="20"/>
                <w:szCs w:val="20"/>
                <w:color w:val="auto"/>
              </w:rPr>
            </w:pPr>
            <w:r>
              <w:rPr>
                <w:rFonts w:ascii="Times New Roman" w:cs="Times New Roman" w:eastAsia="Times New Roman" w:hAnsi="Times New Roman"/>
                <w:sz w:val="14"/>
                <w:szCs w:val="14"/>
                <w:b w:val="1"/>
                <w:bCs w:val="1"/>
                <w:color w:val="auto"/>
              </w:rPr>
              <w:t>​​​ Three months ended September 30, 2026</w:t>
            </w:r>
          </w:p>
        </w:tc>
        <w:tc>
          <w:tcPr>
            <w:tcW w:w="3000" w:type="dxa"/>
            <w:vAlign w:val="bottom"/>
            <w:gridSpan w:val="1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00" w:type="dxa"/>
            <w:vAlign w:val="bottom"/>
            <w:tcBorders>
              <w:top w:val="single" w:sz="8" w:color="auto"/>
            </w:tcBorders>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18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Edge</w:t>
            </w:r>
          </w:p>
        </w:tc>
        <w:tc>
          <w:tcPr>
            <w:tcW w:w="28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30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$ 121,322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109,979</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105,392</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$ 122,909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$ 218,710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80" w:type="dxa"/>
            <w:vAlign w:val="bottom"/>
          </w:tcPr>
          <w:p>
            <w:pPr>
              <w:spacing w:after="0"/>
              <w:rPr>
                <w:sz w:val="24"/>
                <w:szCs w:val="24"/>
                <w:color w:val="auto"/>
              </w:rPr>
            </w:pPr>
          </w:p>
        </w:tc>
        <w:tc>
          <w:tcPr>
            <w:tcW w:w="3820" w:type="dxa"/>
            <w:vAlign w:val="bottom"/>
            <w:gridSpan w:val="14"/>
          </w:tcPr>
          <w:p>
            <w:pPr>
              <w:ind w:left="1020"/>
              <w:spacing w:after="0"/>
              <w:rPr>
                <w:sz w:val="20"/>
                <w:szCs w:val="20"/>
                <w:color w:val="auto"/>
              </w:rPr>
            </w:pPr>
            <w:r>
              <w:rPr>
                <w:rFonts w:ascii="Times New Roman" w:cs="Times New Roman" w:eastAsia="Times New Roman" w:hAnsi="Times New Roman"/>
                <w:sz w:val="14"/>
                <w:szCs w:val="14"/>
                <w:b w:val="1"/>
                <w:bCs w:val="1"/>
                <w:color w:val="auto"/>
              </w:rPr>
              <w:t>​​​  Nine months ended September 30, 2026</w:t>
            </w:r>
          </w:p>
        </w:tc>
        <w:tc>
          <w:tcPr>
            <w:tcW w:w="3000" w:type="dxa"/>
            <w:vAlign w:val="bottom"/>
            <w:gridSpan w:val="1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80" w:type="dxa"/>
            <w:vAlign w:val="bottom"/>
          </w:tcPr>
          <w:p>
            <w:pPr>
              <w:spacing w:after="0"/>
              <w:rPr>
                <w:sz w:val="10"/>
                <w:szCs w:val="10"/>
                <w:color w:val="auto"/>
              </w:rPr>
            </w:pPr>
          </w:p>
        </w:tc>
        <w:tc>
          <w:tcPr>
            <w:tcW w:w="11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0" w:type="dxa"/>
            <w:vAlign w:val="bottom"/>
          </w:tcPr>
          <w:p>
            <w:pPr>
              <w:spacing w:after="0"/>
              <w:rPr>
                <w:sz w:val="10"/>
                <w:szCs w:val="10"/>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Pr>
          <w:p>
            <w:pPr>
              <w:spacing w:after="0"/>
              <w:rPr>
                <w:sz w:val="10"/>
                <w:szCs w:val="10"/>
                <w:color w:val="auto"/>
              </w:rPr>
            </w:pPr>
          </w:p>
        </w:tc>
        <w:tc>
          <w:tcPr>
            <w:tcW w:w="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Edge</w:t>
            </w:r>
          </w:p>
        </w:tc>
        <w:tc>
          <w:tcPr>
            <w:tcW w:w="2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Edge</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30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1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$ 112,883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$ 172,113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$ 284,996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$ 172,957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307,027</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288,660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$ 332,926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$ 240,730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$ 573,656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369,077</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$ 248,156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higher product revenue in the three months ended September 30, 2026 compared to the three months ended September 30, 2025 was the result of $8.5 million of higher sales of IP Optical Networks products and $2.8 million of higher sales of our Cloud and Edge products, primarily due to sales to our enterprise customers. The lower product revenue in the nine months ended September 30, 2026 compared to the nine months ended September 30, 2025 was primarily the result of $21.2 million of lower sales of our Cloud and Edge products. The decrease in revenue from the sale of Cloud and Edge products was primarily attributable to sales to a Tier 1 service provider due to lower customer demand and delayed purchasing.</w:t>
      </w:r>
    </w:p>
    <w:p>
      <w:pPr>
        <w:spacing w:after="0" w:line="18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Revenue from sales to enterprise customers was 31% and 29% of our total revenue in the three months ended September 30, 2026 and 2025, respectively. These sales were made through both our direct sales team and indirect sales channel partners. The increase in enterprise sales in the three months ended September 30, 2026 primarily reflects higher sales to Cloud and Edge enterprise customers. Revenue from sales to enterprise customers was 31% and 28% of our total revenue in the nine months ended September 30, 2026 and 2025, respectively. The increase in enterprise sales primarily reflects higher IP Optical Networks revenue to the governmental, banking, financial and insurance industries, and other enterprise customers.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Revenue from indirect sales through our channel partner program was 30% and 26% of our product revenue in the three months ended September 30, 2026 and 2025, and 31% and 29% of our product revenue in the nine months ended September 30, 2026 and 2025, respectively. Channel sales as a percentage of product revenue increased in the nine months ended September 30, 2026 reflecting higher sales of products to enterprise customers.</w:t>
      </w:r>
    </w:p>
    <w:p>
      <w:pPr>
        <w:spacing w:after="0" w:line="180"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timing of the completion of customer projects and revenue recognition criteria satisfaction may cause our product revenue to fluctuate from one period to the next.</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Service revenue is primarily comprised of software and hardware maintenance and support (“maintenance revenue”) and network design, installation and other professional services (“professional services revenue”).</w:t>
      </w:r>
    </w:p>
    <w:p>
      <w:pPr>
        <w:spacing w:after="0" w:line="16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Service revenue for the three and nine months ended September 30, 2026 and 2025 was comprised of the following (in thousands, except percentages):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00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76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65,758</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69,515</w:t>
            </w:r>
          </w:p>
        </w:tc>
        <w:tc>
          <w:tcPr>
            <w:tcW w:w="1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(3,757)</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105,392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(8,004)</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320" w:type="dxa"/>
            <w:vAlign w:val="bottom"/>
          </w:tcPr>
          <w:p>
            <w:pPr>
              <w:spacing w:after="0"/>
              <w:rPr>
                <w:sz w:val="24"/>
                <w:szCs w:val="24"/>
                <w:color w:val="auto"/>
              </w:rPr>
            </w:pPr>
          </w:p>
        </w:tc>
        <w:tc>
          <w:tcPr>
            <w:tcW w:w="200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5"/>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vMerge w:val="restart"/>
          </w:tcPr>
          <w:p>
            <w:pPr>
              <w:spacing w:after="0"/>
              <w:rPr>
                <w:sz w:val="24"/>
                <w:szCs w:val="24"/>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90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760" w:type="dxa"/>
            <w:vAlign w:val="bottom"/>
            <w:vMerge w:val="restart"/>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195,447</w:t>
            </w:r>
          </w:p>
        </w:tc>
        <w:tc>
          <w:tcPr>
            <w:tcW w:w="12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(12.0)%</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288,660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(21,546)</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Segment service revenue for the three and nine months ended September 30, 2026 and 2025 was comprised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580" w:type="dxa"/>
            <w:vAlign w:val="bottom"/>
            <w:gridSpan w:val="15"/>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 Three months ended September 30, 2026</w:t>
            </w:r>
          </w:p>
        </w:tc>
        <w:tc>
          <w:tcPr>
            <w:tcW w:w="26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00" w:type="dxa"/>
            <w:vAlign w:val="bottom"/>
            <w:tcBorders>
              <w:top w:val="single" w:sz="8" w:color="auto"/>
            </w:tcBorders>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80" w:type="dxa"/>
            <w:vAlign w:val="bottom"/>
            <w:tcBorders>
              <w:top w:val="single" w:sz="8" w:color="auto"/>
            </w:tcBorders>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 Networks</w:t>
            </w:r>
          </w:p>
        </w:tc>
        <w:tc>
          <w:tcPr>
            <w:tcW w:w="300" w:type="dxa"/>
            <w:vAlign w:val="bottom"/>
            <w:gridSpan w:val="3"/>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6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Edge</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8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9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13,974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65,758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69,515</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31,630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23,381</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97,388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$ 105,392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480" w:type="dxa"/>
            <w:vAlign w:val="bottom"/>
          </w:tcPr>
          <w:p>
            <w:pPr>
              <w:spacing w:after="0"/>
              <w:rPr>
                <w:sz w:val="24"/>
                <w:szCs w:val="24"/>
                <w:color w:val="auto"/>
              </w:rPr>
            </w:pPr>
          </w:p>
        </w:tc>
        <w:tc>
          <w:tcPr>
            <w:tcW w:w="3580" w:type="dxa"/>
            <w:vAlign w:val="bottom"/>
            <w:gridSpan w:val="15"/>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 Nine months ended September 30, 2026</w:t>
            </w:r>
          </w:p>
        </w:tc>
        <w:tc>
          <w:tcPr>
            <w:tcW w:w="2840" w:type="dxa"/>
            <w:vAlign w:val="bottom"/>
            <w:gridSpan w:val="1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300" w:type="dxa"/>
            <w:vAlign w:val="bottom"/>
            <w:tcBorders>
              <w:top w:val="single" w:sz="8" w:color="auto"/>
            </w:tcBorders>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80" w:type="dxa"/>
            <w:vAlign w:val="bottom"/>
            <w:tcBorders>
              <w:top w:val="single" w:sz="8" w:color="auto"/>
            </w:tcBorders>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Edge</w:t>
            </w:r>
          </w:p>
        </w:tc>
        <w:tc>
          <w:tcPr>
            <w:tcW w:w="9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Networks</w:t>
            </w:r>
          </w:p>
        </w:tc>
        <w:tc>
          <w:tcPr>
            <w:tcW w:w="30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Edge</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Networks</w:t>
            </w:r>
          </w:p>
        </w:tc>
        <w:tc>
          <w:tcPr>
            <w:tcW w:w="28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$ 153,894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$ 195,447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$ 154,899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204,234</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service revenue</w:t>
            </w:r>
          </w:p>
        </w:tc>
        <w:tc>
          <w:tcPr>
            <w:tcW w:w="9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$ 220,043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$ 288,660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$ 235,007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service revenue was lower by $8.0 million and $21.5 million in the three and nine months ended</w:t>
      </w:r>
    </w:p>
    <w:p>
      <w:pPr>
        <w:spacing w:after="0" w:line="2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September 30, 2026 compared to the three and nine months ended September 30, 2025 due to lower maintenance revenue and lower professional services revenue.</w:t>
      </w:r>
    </w:p>
    <w:p>
      <w:pPr>
        <w:spacing w:after="0" w:line="181"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Maintenance revenue decreased $3.8 million and $8.8 million in the three and nine months ended September 30, 2026 compared to the three and nine months ended September 30, 2025 due to lower revenue in our IP Optical Networks segment and relatively flat revenue in our Cloud and Edge segment. The decrease in our IP Optical Networks maintenance revenue is due to the completion of a legacy access maintenance contract with a European customer that completed in the fourth quarter of 2025.</w:t>
      </w:r>
    </w:p>
    <w:p>
      <w:pPr>
        <w:spacing w:after="0" w:line="183"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Professional services revenue decreased $4.2 million and $12.8 million in the three and nine months ended September 30, 2026 compared to the three and nine months ended September 30, 2025 primarily driven from our Cloud and Edge segment. Our Cloud and Edge segment decrease was due to lower deployment services associated with a voice modernization project with one of our U.S. service providers, which we expect to increase in the upcoming quarters.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customers contributed 10% or more of our revenue in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6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0"/>
                <w:szCs w:val="10"/>
                <w:color w:val="auto"/>
              </w:rPr>
            </w:pPr>
          </w:p>
        </w:tc>
        <w:tc>
          <w:tcPr>
            <w:tcW w:w="1160" w:type="dxa"/>
            <w:vAlign w:val="bottom"/>
            <w:tcBorders>
              <w:top w:val="single" w:sz="8" w:color="auto"/>
            </w:tcBorders>
            <w:gridSpan w:val="4"/>
          </w:tcPr>
          <w:p>
            <w:pPr>
              <w:jc w:val="center"/>
              <w:ind w:right="19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1180" w:type="dxa"/>
            <w:vAlign w:val="bottom"/>
            <w:tcBorders>
              <w:top w:val="single" w:sz="8" w:color="auto"/>
            </w:tcBorders>
            <w:gridSpan w:val="3"/>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Bharti Telecom Limited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Less than 10% of total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Revenue earned from customers domiciled outside the United States was 54% and 55% in the three months ended September 30, 2026 and 2025, respectively, and 54% and 52% in the nine months ended September 30, 2026 and 2025, respectively. Due to the timing of project completions, we expect that the domestic and international components as a percentage of our revenue may fluctuate from quarter to quarter and year to year.</w:t>
      </w:r>
    </w:p>
    <w:p>
      <w:pPr>
        <w:spacing w:after="0" w:line="180" w:lineRule="exact"/>
        <w:rPr>
          <w:sz w:val="20"/>
          <w:szCs w:val="20"/>
          <w:color w:val="auto"/>
        </w:rPr>
      </w:pPr>
    </w:p>
    <w:p>
      <w:pPr>
        <w:ind w:left="60" w:right="619" w:firstLine="324"/>
        <w:spacing w:after="0" w:line="258" w:lineRule="auto"/>
        <w:rPr>
          <w:sz w:val="20"/>
          <w:szCs w:val="20"/>
          <w:color w:val="auto"/>
        </w:rPr>
      </w:pPr>
      <w:r>
        <w:rPr>
          <w:rFonts w:ascii="Times New Roman" w:cs="Times New Roman" w:eastAsia="Times New Roman" w:hAnsi="Times New Roman"/>
          <w:sz w:val="18"/>
          <w:szCs w:val="18"/>
          <w:color w:val="auto"/>
        </w:rPr>
        <w:t>Our deferred product revenue was $6 million and $7 million at September 30, 2026 and December 31, 2025, respectively. Our deferred service revenue was $143 million and $149 million at September 30, 2026 and December 31, 2025, respectively. Our deferred revenue balance may fluctuate as a result of the timing of revenue recognition, customer payments, maintenance contract renewals, contractual billing rights and maintenance revenue deferrals included in multiple element arrangements.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expect total revenue in 2026 to decline slightly compared to 2025.</w:t>
      </w:r>
    </w:p>
    <w:p>
      <w:pPr>
        <w:spacing w:after="0" w:line="221" w:lineRule="exact"/>
        <w:rPr>
          <w:sz w:val="20"/>
          <w:szCs w:val="20"/>
          <w:color w:val="auto"/>
        </w:rPr>
      </w:pPr>
    </w:p>
    <w:p>
      <w:pPr>
        <w:ind w:left="60" w:right="23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Revenue/Gross Margin. </w:t>
      </w:r>
      <w:r>
        <w:rPr>
          <w:rFonts w:ascii="Times New Roman" w:cs="Times New Roman" w:eastAsia="Times New Roman" w:hAnsi="Times New Roman"/>
          <w:sz w:val="18"/>
          <w:szCs w:val="18"/>
          <w:color w:val="auto"/>
        </w:rPr>
        <w:t>Our cost of revenue consists primarily of amounts paid to third-party manufacturers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purchased materials and services, royalties, amortization of acquired technology, inventory valuation adjustments, warranty costs, and manufacturing and services personnel and related costs. Our cost of revenue, gross profit and gross margin for the three and nine months ended September 30, 2026 and 2025 were as follows (in thousands, except percentages):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6"/>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0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September 30,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2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2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70,166</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105,526</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(2,440)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50.1 %</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8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6"/>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Pr>
          <w:p>
            <w:pPr>
              <w:spacing w:after="0"/>
              <w:rPr>
                <w:sz w:val="10"/>
                <w:szCs w:val="10"/>
                <w:color w:val="auto"/>
              </w:rPr>
            </w:pPr>
          </w:p>
        </w:tc>
        <w:tc>
          <w:tcPr>
            <w:tcW w:w="106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September 30,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178,468</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308,096</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2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10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(34,083)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48.5 %</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Our segment cost of revenue, gross profit and gross margin for the three and nine months ended September 30, 2026 and 2025 were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3340" w:type="dxa"/>
            <w:vAlign w:val="bottom"/>
            <w:gridSpan w:val="12"/>
          </w:tcPr>
          <w:p>
            <w:pPr>
              <w:ind w:left="460"/>
              <w:spacing w:after="0"/>
              <w:rPr>
                <w:sz w:val="20"/>
                <w:szCs w:val="20"/>
                <w:color w:val="auto"/>
              </w:rPr>
            </w:pPr>
            <w:r>
              <w:rPr>
                <w:rFonts w:ascii="Times New Roman" w:cs="Times New Roman" w:eastAsia="Times New Roman" w:hAnsi="Times New Roman"/>
                <w:sz w:val="14"/>
                <w:szCs w:val="14"/>
                <w:b w:val="1"/>
                <w:bCs w:val="1"/>
                <w:color w:val="auto"/>
              </w:rPr>
              <w:t>​​​  Three months ended September 30, 2026</w:t>
            </w:r>
          </w:p>
        </w:tc>
        <w:tc>
          <w:tcPr>
            <w:tcW w:w="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11"/>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Edge</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Edge</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50,275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11,579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acquired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66,054</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59,476</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75,779</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29,747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48.2 %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378"/>
        </w:trPr>
        <w:tc>
          <w:tcPr>
            <w:tcW w:w="2280" w:type="dxa"/>
            <w:vAlign w:val="bottom"/>
          </w:tcPr>
          <w:p>
            <w:pPr>
              <w:spacing w:after="0"/>
              <w:rPr>
                <w:sz w:val="24"/>
                <w:szCs w:val="24"/>
                <w:color w:val="auto"/>
              </w:rPr>
            </w:pPr>
          </w:p>
        </w:tc>
        <w:tc>
          <w:tcPr>
            <w:tcW w:w="3340" w:type="dxa"/>
            <w:vAlign w:val="bottom"/>
            <w:gridSpan w:val="12"/>
          </w:tcPr>
          <w:p>
            <w:pPr>
              <w:ind w:left="460"/>
              <w:spacing w:after="0"/>
              <w:rPr>
                <w:sz w:val="20"/>
                <w:szCs w:val="20"/>
                <w:color w:val="auto"/>
              </w:rPr>
            </w:pPr>
            <w:r>
              <w:rPr>
                <w:rFonts w:ascii="Times New Roman" w:cs="Times New Roman" w:eastAsia="Times New Roman" w:hAnsi="Times New Roman"/>
                <w:sz w:val="14"/>
                <w:szCs w:val="14"/>
                <w:b w:val="1"/>
                <w:bCs w:val="1"/>
                <w:color w:val="auto"/>
              </w:rPr>
              <w:t>​​​  Nine months ended September 30, 2026</w:t>
            </w: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11"/>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Cloud and</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IP Optical</w:t>
            </w: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Edge</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Edge</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Networks</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33,954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acquired</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12,741</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5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$ 135,251</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172,845</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308,096</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$ 142,735</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174,855</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$ 197,675</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67,885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$ 226,342</w:t>
            </w:r>
          </w:p>
        </w:tc>
        <w:tc>
          <w:tcPr>
            <w:tcW w:w="2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73,301</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59.4 %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46.3 %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Our overall gross margin decreased by 1.9 percentage points in the three months ended September 30, 2026 as compared to the three months ended September 30, 2025 and by 2.2 percentage points in the nine months ended September 30, 2026 as compared to the nine months ended September 30, 2025.</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Gross margin for our Cloud and Edge segment was higher in the three months ended September 30, 2026 as compared to the three months ended September 30, 2025 by 20 basis points and was attributable to higher margins on product sales from higher software sales offset by lower professional services sales. Gross margin for our Cloud and Edge segment was lower in the nine months ended September 30, 2026 as compared to the nine months ended September 30, 2025 by 190 basis points due to lower product software sales. We expect Cloud and Edge gross margin to rebound as the deployment of services associated with a voice modernization project with one of our U.S. service providers returns to higher activity levels in the upcoming quarters. Gross margin for IP Optical Networks was lower in the three and nine months ended September 30, 2026, compared to the three and nine months ended September 30, 2025, primarily due to geographic and product mix.</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expect gross margin in 2026 to be slightly lower compared to 2025.</w:t>
      </w:r>
    </w:p>
    <w:p>
      <w:pPr>
        <w:spacing w:after="0" w:line="221" w:lineRule="exact"/>
        <w:rPr>
          <w:sz w:val="20"/>
          <w:szCs w:val="20"/>
          <w:color w:val="auto"/>
        </w:rPr>
      </w:pPr>
    </w:p>
    <w:p>
      <w:pPr>
        <w:jc w:val="both"/>
        <w:ind w:left="60" w:right="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expenses consist primarily of salaries and related personnel expenses and prototype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for the design, development, testing, and enhancement of our products. R&amp;D expenses for the three and nine months ended September 30, 2026 and 2025 were as follows (in thousands, except percentages):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820" w:type="dxa"/>
            <w:vAlign w:val="bottom"/>
            <w:gridSpan w:val="2"/>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45,894</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7"/>
              </w:rPr>
              <w:t>(431)</w:t>
            </w: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firstLine="324"/>
        <w:spacing w:after="0" w:line="222" w:lineRule="exact"/>
        <w:rPr>
          <w:sz w:val="20"/>
          <w:szCs w:val="20"/>
          <w:color w:val="auto"/>
        </w:rPr>
      </w:pPr>
      <w:r>
        <w:rPr>
          <w:rFonts w:ascii="Times New Roman" w:cs="Times New Roman" w:eastAsia="Times New Roman" w:hAnsi="Times New Roman"/>
          <w:sz w:val="18"/>
          <w:szCs w:val="18"/>
          <w:color w:val="auto"/>
        </w:rPr>
        <w:t>Our R&amp;D expenses remained flat in the three and nine months ended September 30, 2026 compared to the three and nine months ended September 30, 2025, due to lower employee-related costs offset by the impact of increased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expenses associated with a weakening dollar.</w:t>
      </w:r>
    </w:p>
    <w:p>
      <w:pPr>
        <w:spacing w:after="0" w:line="19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IP Optical Networks R&amp;D investment is focused on expanding our portfolio of IP Routing solutions, adding additional features and capabilities to our Optical Transport portfolio, and supporting features in our next generation SDN management and orchestration platform. Our Cloud and Edge R&amp;D investment is focused on advancing our cloud-native communications solutions, enhancing our analytics, automation and security capabilities, and supporting our next-generation cloud operations platform.</w:t>
      </w:r>
    </w:p>
    <w:p>
      <w:pPr>
        <w:spacing w:after="0" w:line="18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Some aspects of our R&amp;D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w:t>
      </w:r>
    </w:p>
    <w:p>
      <w:pPr>
        <w:spacing w:after="0" w:line="17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We expect that our R&amp;D expenses will remain moderately flat in 2026 as compared to 2025, primarily due to continued cost efficiencies offsetting the weakening dollar.</w:t>
      </w:r>
    </w:p>
    <w:p>
      <w:pPr>
        <w:spacing w:after="0" w:line="158" w:lineRule="exact"/>
        <w:rPr>
          <w:sz w:val="20"/>
          <w:szCs w:val="20"/>
          <w:color w:val="auto"/>
        </w:rPr>
      </w:pPr>
    </w:p>
    <w:p>
      <w:pPr>
        <w:ind w:left="60" w:right="4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and related personnel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commissions, travel and entertainment expenses, promotions, customer trial and evaluations inventory and other marketing and sales support expenses. Sales and marketing expenses for the three and nine months ended September 30, 2026 and 2025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840" w:type="dxa"/>
            <w:vAlign w:val="bottom"/>
            <w:gridSpan w:val="2"/>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5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18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98,769</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and nine months ended September 30, 2026 were relatively flat as compared to the three and nine months ended September 30, 2025.</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will increase slightly in 2026 compared to 2025, primarily due to higher employee-related compensation.</w:t>
      </w:r>
    </w:p>
    <w:p>
      <w:pPr>
        <w:spacing w:after="0" w:line="158" w:lineRule="exact"/>
        <w:rPr>
          <w:sz w:val="20"/>
          <w:szCs w:val="20"/>
          <w:color w:val="auto"/>
        </w:rPr>
      </w:pPr>
    </w:p>
    <w:p>
      <w:pPr>
        <w:ind w:left="60" w:right="17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salaries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costs for executive and administrative personnel, and audit, legal and other professional fees. General and administrative expenses for the three and nine months ended September 30, 2026 and 2025 were as follows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840" w:type="dxa"/>
            <w:vAlign w:val="bottom"/>
            <w:gridSpan w:val="2"/>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18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in the three and nine months ended September 30, 2026 compared to the three and nine months ended September 30, 2025 was primarily attributable to lower litigation expense offset by higher stock compensation expense.</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remain moderately flat in 2026 as compared to 2025, primarily due to higher employee-related variable compensation associated with stock-based compensation expenses, offset by continued cost efficiencies.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Acquired Intangible Assets included in Operating expenses. </w:t>
      </w:r>
      <w:r>
        <w:rPr>
          <w:rFonts w:ascii="Times New Roman" w:cs="Times New Roman" w:eastAsia="Times New Roman" w:hAnsi="Times New Roman"/>
          <w:sz w:val="18"/>
          <w:szCs w:val="18"/>
          <w:color w:val="auto"/>
        </w:rPr>
        <w:t>Amortization of acquired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included in Operating expenses ("Opex Amortization") for the three and nine months ended September 30, 2026 and 2025 was as follows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840" w:type="dxa"/>
            <w:vAlign w:val="bottom"/>
            <w:gridSpan w:val="2"/>
          </w:tcPr>
          <w:p>
            <w:pPr>
              <w:ind w:left="1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vMerge w:val="continue"/>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(472)</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w:t>
            </w:r>
          </w:p>
        </w:tc>
        <w:tc>
          <w:tcPr>
            <w:tcW w:w="18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Opex Amortization was lower for the three and nine months ended September 30, 2026 compared to the three and nine months ended September 30, 2025. We record our amortization in relation to expected future cash flows rather than on a straight-line basis. Accordingly, such expense may vary from one period to the next.</w:t>
      </w:r>
    </w:p>
    <w:p>
      <w:pPr>
        <w:spacing w:after="0" w:line="172" w:lineRule="exact"/>
        <w:rPr>
          <w:sz w:val="20"/>
          <w:szCs w:val="20"/>
          <w:color w:val="auto"/>
        </w:rPr>
      </w:pPr>
    </w:p>
    <w:p>
      <w:pPr>
        <w:jc w:val="both"/>
        <w:ind w:left="60" w:right="219"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Restructuring and Related. </w:t>
      </w:r>
      <w:r>
        <w:rPr>
          <w:rFonts w:ascii="Times New Roman" w:cs="Times New Roman" w:eastAsia="Times New Roman" w:hAnsi="Times New Roman"/>
          <w:sz w:val="17"/>
          <w:szCs w:val="17"/>
          <w:color w:val="auto"/>
        </w:rPr>
        <w:t>We have been committed to streamlining our operations and reducing operating costs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closing and consolidating certain facilities and reducing our worldwide workforce. Please see the additional discussion of our restructuring initiatives in the "Restructuring and Cost Reduction Initiatives" section of the Overview of this MD&amp;A.</w:t>
      </w:r>
    </w:p>
    <w:p>
      <w:pPr>
        <w:spacing w:after="0" w:line="157" w:lineRule="exact"/>
        <w:rPr>
          <w:sz w:val="20"/>
          <w:szCs w:val="20"/>
          <w:color w:val="auto"/>
        </w:rPr>
      </w:pPr>
    </w:p>
    <w:p>
      <w:pPr>
        <w:ind w:left="60" w:right="1059" w:firstLine="324"/>
        <w:spacing w:after="0" w:line="276" w:lineRule="auto"/>
        <w:rPr>
          <w:sz w:val="20"/>
          <w:szCs w:val="20"/>
          <w:color w:val="auto"/>
        </w:rPr>
      </w:pPr>
      <w:r>
        <w:rPr>
          <w:rFonts w:ascii="Times New Roman" w:cs="Times New Roman" w:eastAsia="Times New Roman" w:hAnsi="Times New Roman"/>
          <w:sz w:val="17"/>
          <w:szCs w:val="17"/>
          <w:color w:val="auto"/>
        </w:rPr>
        <w:t>We recorded restructuring and related expense of $1.4 million and $3.5 million in the three months ended September 30, 2026 and 2025, respectively and $7.9 million and $10.2 million in the nine months ended</w:t>
      </w:r>
    </w:p>
    <w:p>
      <w:pPr>
        <w:spacing w:after="0" w:line="1"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September 30, 2026 and 2025, respectively. Although we have eliminated positions as part of our restructuring initiatives, we continue to hire in certain areas that we believe are important to our future growth.</w:t>
      </w:r>
    </w:p>
    <w:p>
      <w:pPr>
        <w:spacing w:after="0" w:line="177" w:lineRule="exact"/>
        <w:rPr>
          <w:sz w:val="20"/>
          <w:szCs w:val="20"/>
          <w:color w:val="auto"/>
        </w:rPr>
      </w:pPr>
    </w:p>
    <w:p>
      <w:pPr>
        <w:ind w:left="60" w:right="21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and interest income for the three and nine months ended September 30,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2025 were as follows (in thousands, except percentages):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940" w:type="dxa"/>
            <w:vAlign w:val="bottom"/>
            <w:gridSpan w:val="10"/>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30,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September 30, 2025</w:t>
            </w:r>
            <w:r>
              <w:rPr>
                <w:rFonts w:ascii="Times New Roman" w:cs="Times New Roman" w:eastAsia="Times New Roman" w:hAnsi="Times New Roman"/>
                <w:sz w:val="14"/>
                <w:szCs w:val="14"/>
                <w:color w:val="auto"/>
              </w:rPr>
              <w:t xml:space="preserve"> ​​​</w:t>
            </w:r>
          </w:p>
        </w:tc>
        <w:tc>
          <w:tcPr>
            <w:tcW w:w="480" w:type="dxa"/>
            <w:vAlign w:val="bottom"/>
          </w:tcPr>
          <w:p>
            <w:pPr>
              <w:jc w:val="right"/>
              <w:ind w:right="20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(33.7)%</w:t>
            </w:r>
          </w:p>
        </w:tc>
        <w:tc>
          <w:tcPr>
            <w:tcW w:w="0" w:type="dxa"/>
            <w:vAlign w:val="bottom"/>
          </w:tcPr>
          <w:p>
            <w:pPr>
              <w:spacing w:after="0"/>
              <w:rPr>
                <w:sz w:val="1"/>
                <w:szCs w:val="1"/>
                <w:color w:val="auto"/>
              </w:rPr>
            </w:pPr>
          </w:p>
        </w:tc>
      </w:tr>
      <w:tr>
        <w:trPr>
          <w:trHeight w:val="432"/>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(397)</w:t>
            </w: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5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w:t>
            </w:r>
          </w:p>
        </w:tc>
        <w:tc>
          <w:tcPr>
            <w:tcW w:w="160" w:type="dxa"/>
            <w:vAlign w:val="bottom"/>
            <w:tcBorders>
              <w:right w:val="single" w:sz="8" w:color="CCEEFF"/>
            </w:tcBorders>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line="20" w:lineRule="exact"/>
              <w:rPr>
                <w:sz w:val="1"/>
                <w:szCs w:val="1"/>
                <w:color w:val="auto"/>
              </w:rPr>
            </w:pPr>
          </w:p>
        </w:tc>
      </w:tr>
      <w:tr>
        <w:trPr>
          <w:trHeight w:val="334"/>
        </w:trPr>
        <w:tc>
          <w:tcPr>
            <w:tcW w:w="3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4540" w:type="dxa"/>
            <w:vAlign w:val="bottom"/>
            <w:gridSpan w:val="11"/>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30,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September 30, 2025</w:t>
            </w:r>
            <w:r>
              <w:rPr>
                <w:rFonts w:ascii="Times New Roman" w:cs="Times New Roman" w:eastAsia="Times New Roman" w:hAnsi="Times New Roman"/>
                <w:sz w:val="14"/>
                <w:szCs w:val="14"/>
                <w:color w:val="auto"/>
              </w:rPr>
              <w:t xml:space="preserve"> ​​​</w:t>
            </w:r>
          </w:p>
        </w:tc>
        <w:tc>
          <w:tcPr>
            <w:tcW w:w="480" w:type="dxa"/>
            <w:vAlign w:val="bottom"/>
          </w:tcPr>
          <w:p>
            <w:pPr>
              <w:jc w:val="right"/>
              <w:ind w:right="26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(33,853)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(1,509)</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(1,369)</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interest expense in three and nine months ended September 30, 2026 and 2025 primarily represents term debt interest, amortization of debt issuance costs and original issue discount and interest associated with factoring arrangements. Interest expense in the three and nine months ended September 30, 2026 was lower than the same period in 2025 primarily due to lower applicable interest margins and a reduction in the outstanding term debt balance.</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Income (Expense), Net</w:t>
      </w:r>
      <w:r>
        <w:rPr>
          <w:rFonts w:ascii="Times New Roman" w:cs="Times New Roman" w:eastAsia="Times New Roman" w:hAnsi="Times New Roman"/>
          <w:sz w:val="18"/>
          <w:szCs w:val="18"/>
          <w:color w:val="auto"/>
        </w:rPr>
        <w:t>. We recorded other income, net of $1.1 million and other expense, net of $0.1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2026 and 2025, respectively. We recorded other expense, net of $0.6 million, and other income, net, of $0.8 million in the nine months ended September 30, 2026 and 2025, respectively. Other income, net in the three months ended September 30, 2026 was primarily comprised of approximately $0.9 million of fair value adjustments of our warrants offset by foreign currency exchange losses of $0.1 million. Other expense, net in the three months ended September 30, 2025 was primarily comprised of $1.2 million of fair value adjustments of our warrants, partially offset by foreign currency exchange losses of $1.1 million. Other expense, net in the nine months ended September 30, 2026, was primarily comprised of $2.9 million of foreign currency exchange losses offset by $1.8 million of fair value adjustments of our warrants. Other income, net in the nine months ended September 30, 2025 was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primarily comprised of $2.8 million of fair value adjustments of our warrants, partially offset by foreign currency exchange losses of $1.7 million.</w:t>
      </w:r>
    </w:p>
    <w:p>
      <w:pPr>
        <w:spacing w:after="0" w:line="15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recorded income tax provisions of $4.6 million and $3.1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 and 2025, respectively, and an income tax benefit of $0.2 million and an income tax provision of $4.6 million in the nine months ended September 30, 2026 and 2025, respectively.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year. The estimated effective tax rate includes the impact of valuation allowances in various jurisdictions. We intend to continue to maintain a valuation allowance on our deferred tax assets until there is sufficient evidence to support the reversal of all or some portion of the respective allowances.</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(the "OECD") announced the OECD/G20 Inclusive Framework on Base Erosion and Profit Shifting, which agreed to a two-pillar solution to address tax challenges arising from digitalization of the economy. In December 2021, the OECD released Pillar Two Model Rules defining the global minimum tax rules, which contemplate a minimum tax rate of 15% (“Pillar Two”). In addition, the OECD issued administrative guidance providing transition and safe harbor rules that could delay the impact of the minimum tax directive. Certain countries in which we operate have enacted legislation consistent with the OECD model rules effective beginning in 2024. We considered the applicable tax laws in relevant jurisdictions and concluded there was no material effect on our tax provision for the nine months ended September 30, 2026 and 2025. We will continue to evaluate the potential effect of Pillar Two rules on our future reporting periods, but we do not expect Pillar Two to have a significant impact on our results of operations, financial position, or cash flows.</w:t>
      </w:r>
    </w:p>
    <w:p>
      <w:pPr>
        <w:spacing w:after="0" w:line="194"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One Big Beautiful Bill Act (the "Act") was signed into law on July 4, 2025. The Act reinstated bonus depreciation, allowed for full expensing of R&amp;D expenses, and increased the limitation of interest deductibility for 2025, amongst many other provisions that are effective January 1, 2026. The tax effects of the Act were reflected in our income tax provision for the year ended December 31, 2025 and the nine months ended September 30,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condensed consolidated statements of cash flows are summarized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80" w:type="dxa"/>
            <w:vAlign w:val="bottom"/>
            <w:tcBorders>
              <w:top w:val="single" w:sz="8" w:color="auto"/>
            </w:tcBorders>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cash flows (used in) provided by</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(44,448)</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8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(70,074)</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(9,017)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(23,368)</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14,351</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1,547</w:t>
            </w:r>
          </w:p>
        </w:tc>
        <w:tc>
          <w:tcPr>
            <w:tcW w:w="160" w:type="dxa"/>
            <w:vAlign w:val="bottom"/>
            <w:vMerge w:val="continue"/>
          </w:tcPr>
          <w:p>
            <w:pPr>
              <w:spacing w:after="0"/>
              <w:rPr>
                <w:sz w:val="17"/>
                <w:szCs w:val="17"/>
                <w:color w:val="auto"/>
              </w:rPr>
            </w:pP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(13,490)</w:t>
            </w:r>
          </w:p>
        </w:tc>
        <w:tc>
          <w:tcPr>
            <w:tcW w:w="180" w:type="dxa"/>
            <w:vAlign w:val="bottom"/>
            <w:gridSpan w:val="2"/>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15,037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restricted cash aggregating $42 million and $98 million at September 30, 2026 and December 31, 2025, respectively. We had cash held by our non-U.S. subsidiaries aggregating $31 million and $50 million at September 30, 2026 and December 31, 2025, respectively. If we elect to repatriate all of the funds held by our non-U.S. subsidiaries as of September 30, 2026, we do not believe that the amounts of potential withholding taxes that would arise from the repatriation would have a material effect on our liquidity.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we had an outstanding balance under the Credit Facility of $350.6 million, which included $335.6 million outstanding under the term loan and $15.0 million outstanding under the revolving credit facility. The term loan and revolving credit facility bore average interest rates of 10.0% and 10.2%, respectively. We had an available borrowing capacity under the revolving credit facility of $20.0 million and no letters of credit outstanding. We were in compliance with all covenants of the Credit Facility at both September 30, 2026 and December 31, 2025.</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On May 5, 2026, we entered into the First Amendment, which (1) waives compliance with the maximum consolidated net leverage ratio financial covenant as of and for the period ending June 30, 2026, (2) increases the Maximum Consolidated Net Leverage Ratio (as defined in the Credit Facility) to 4.50:1.00 as of and for the period ending September 30, 2026, and sets the ratio for all subsequent quarters to 4.00:1.00, and (3) modifies the applicable interest rate margins for any quarter in which the Consolidated Net Leverage Ratio exceeds 3.75:1.00 to 7.00%. Management believes that, together with expected operating cash flows, the First Amendment provides sufficient liquidity to enable the Company to meet its anticipated operating and capital requirements for at least the next twelve months.</w:t>
      </w:r>
    </w:p>
    <w:p>
      <w:pPr>
        <w:spacing w:after="0" w:line="189" w:lineRule="exact"/>
        <w:rPr>
          <w:sz w:val="20"/>
          <w:szCs w:val="20"/>
          <w:color w:val="auto"/>
        </w:rPr>
      </w:pPr>
    </w:p>
    <w:p>
      <w:pPr>
        <w:jc w:val="both"/>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In the course of our business, we use letters of credit, bank guarantees, and surety bonds (collectively, "Guarantees"). We had $10.9 million and $11.1 million of Guarantees under various uncommitted facilities as of September 30, 2026 and December 31, 2025, respectively. We had no letters of credit outstanding under the Credit Facility as of</w:t>
      </w:r>
    </w:p>
    <w:p>
      <w:pPr>
        <w:spacing w:after="0" w:line="1" w:lineRule="exact"/>
        <w:rPr>
          <w:sz w:val="20"/>
          <w:szCs w:val="20"/>
          <w:color w:val="auto"/>
        </w:rPr>
      </w:pPr>
    </w:p>
    <w:p>
      <w:pPr>
        <w:ind w:left="60" w:right="479"/>
        <w:spacing w:after="0" w:line="255" w:lineRule="auto"/>
        <w:rPr>
          <w:sz w:val="20"/>
          <w:szCs w:val="20"/>
          <w:color w:val="auto"/>
        </w:rPr>
      </w:pPr>
      <w:r>
        <w:rPr>
          <w:rFonts w:ascii="Times New Roman" w:cs="Times New Roman" w:eastAsia="Times New Roman" w:hAnsi="Times New Roman"/>
          <w:sz w:val="18"/>
          <w:szCs w:val="18"/>
          <w:color w:val="auto"/>
        </w:rPr>
        <w:t>September 30, 2026 or December 31, 2025. At September 30, 2026 and December 31, 2025, we had cash collateral of $2.0 million and $1.7 million supporting the Guarantees, respectively, which are reported as Restricted cash in our condensed consolidated balance sheets.</w:t>
      </w:r>
    </w:p>
    <w:p>
      <w:pPr>
        <w:spacing w:after="0" w:line="18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financial market risk related to foreign currency fluctuations and changes in interest rates. These exposures are actively monitored by management. To manage the volatility related to the exposure to changes in interest rates, we may enter into a derivative financial instrument. Management’s objective has been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18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As a result of exposure to foreign currency fluctuations, we entered into foreign exchange forward activity in January 2026 which effectively hedges a portion of the Company’s foreign currency exposure arising from international transactions.</w:t>
      </w:r>
    </w:p>
    <w:p>
      <w:pPr>
        <w:spacing w:after="0" w:line="176"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Our objectives in using foreign exchange derivatives have been to add stability to operating expenses and to manage our exposure to foreign currency movements. To accomplish these objectives, we have used foreign exchange forward contracts as part of our foreign currency risk management strategy. Foreign exchange forwards designated as cash flow hedges involve the exchange of fixed U.S. dollar payments for fixed Israeli shekel receipts at predetermined exchange rates, thereby reducing the variability of forecasted shekel-denominated expenditures.</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Any ineffective portion of the change in the fair value of the derivative would be recognized directly in earnings. We had no derivative assets or liabilities at December 31, 2025.</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2025, our Board approved a share repurchase program (the "2025 Repurchase Program" or the “Repurchase Program”) pursuant to which we are authorized to repurchase up to $50 million of our common stock prior to December 31, 2027. We repurchased 0.4 million shares in the nine months ended September 30, 2026, using $0.8 million. Since the start of the Repurchase Program, the Company has repurchased 2.9 million shares using $9.8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for operating activities have been for personnel costs and investment in our research and development and in our sales and marketing, and general and administrative departments.</w:t>
      </w:r>
    </w:p>
    <w:p>
      <w:pPr>
        <w:spacing w:after="0" w:line="18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Our operating activities used $47.9 million of cash in the nine months ended September 30, 2026, primarily reflecting the payment of variable employee compensation, higher accounts receivable and inventory balances, lower accrued expenses and other long-term liabilities due to the timing of vendor and other operating payments, and our net loss, adjusted for non-cash items. Significant non-cash adjustments included amortization of intangible assets, stock-based compensation, changes in the fair value of the warrant liability, and deferred income tax expense. These uses of cash were partially offset by an increase in accounts payable and changes in other operating assets.</w:t>
      </w:r>
    </w:p>
    <w:p>
      <w:pPr>
        <w:spacing w:after="0" w:line="18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Our operating activities provided cash of $22.2 million in the nine months ended September 30, 2025, driven by lower accounts receivable, partially offset by lower accrued expenses and other long-term liabilities, accounts payable and deferred revenue. Our net loss was offset by adjustments for non-cash expenses such as amortization of intangible assets, and stock-based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159" w:firstLine="324"/>
        <w:spacing w:after="0" w:line="220" w:lineRule="exact"/>
        <w:rPr>
          <w:sz w:val="20"/>
          <w:szCs w:val="20"/>
          <w:color w:val="auto"/>
        </w:rPr>
      </w:pPr>
      <w:r>
        <w:rPr>
          <w:rFonts w:ascii="Times New Roman" w:cs="Times New Roman" w:eastAsia="Times New Roman" w:hAnsi="Times New Roman"/>
          <w:sz w:val="18"/>
          <w:szCs w:val="18"/>
          <w:color w:val="auto"/>
        </w:rPr>
        <w:t>Our investing activities used $9.0 million and $23.4 million of cash to purchase property and equipment and software licenses in the nine months ended September 30, 2026 and 2025, respectively. The decrease in capital expenditures compared to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was primarily attributable to the completion of the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our new facility in Israel during 2025.</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provided $1.5 million of cash in the nine months ended September 30, 2026, primarily due to $15.0 million of net borrowings under the revolving credit facility. These cash inflows were partially offset by $6.6 million in principal payments on our term debt, $5.1 million of tax withholding obligations related to the vesting of stock awards and units, $1.0 million payment of debt issuance costs, and $0.8 million for the repurchase and retirement of our common stock under the 2025 Repurchase Program.</w:t>
      </w:r>
    </w:p>
    <w:p>
      <w:pPr>
        <w:spacing w:after="0" w:line="183"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financing activities used $13.5 million of cash in the nine months ended September 30, 2025. We paid $3.9 million in principal payments on our term debt, $3.8 million of tax obligations related to the vesting of stock awards and units and $5.7 million for the repurchase and retirement of our common stock under the 2025 Repurchase Program.</w:t>
      </w:r>
    </w:p>
    <w:p>
      <w:pPr>
        <w:spacing w:after="0" w:line="176"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rate at which we consume cash is dependent upon the cash needs of our future operations, including our contractual obligations at September 30, 2026, primarily consisting of debt principal and interest obligations, outstanding borrowings under the revolving credit facility as described above, and our operating lease and purchase obligations. Our operating lease obligations totaled $92.6 million at September 30, 2026, with payments to be made aggregating $4.4 million in the remainder of 2026, $16.7 million in 2027, $14.9 million in 2028 and $56.6 million thereafter. Estimated payments for purchase obligations for the full year 2026 total approximately $102 million. We anticipate devoting substantial capital resources to continue our R&amp;D efforts, to maintain our sales, support and marketing, and for other general corporate activities. We believe that our financial resources, along with managing discretionary expenses, will allow us to manage the ongoing impact of inflation on our business operations. Looking ahead, we have developed contingency plans to reduce costs further if the situation deteriorates.</w:t>
      </w:r>
    </w:p>
    <w:p>
      <w:pPr>
        <w:spacing w:after="0" w:line="19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Based on our current expectations, we believe that our current cash balances and available borrowings under the Credit Facility will be sufficient to meet our anticipated cash needs for working capital and capital expenditures for at least twelve months from the date of issuance of these financial statements.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270): Narrow-Scope Improvements </w:t>
      </w:r>
      <w:r>
        <w:rPr>
          <w:rFonts w:ascii="Times New Roman" w:cs="Times New Roman" w:eastAsia="Times New Roman" w:hAnsi="Times New Roman"/>
          <w:sz w:val="18"/>
          <w:szCs w:val="18"/>
          <w:color w:val="auto"/>
        </w:rPr>
        <w:t>(“ASU 2025-11”), to improve the navigability of the required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to clarify when that guidance is applicable and to enhance disclosure requirements. The amendments add to Topic 270 a principle that requires entities to disclose events since the end of the last annual reporting period that have a material impact on the entity. ASU 2025-11 will be effective for the Company beginning with its 2028 interim and annual financial statements, with early adoption permitted. The Company believes this ASU will have no material impact on its condensed consolidated financial statements.</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Grants Received by Business Entities </w:t>
      </w:r>
      <w:r>
        <w:rPr>
          <w:rFonts w:ascii="Times New Roman" w:cs="Times New Roman" w:eastAsia="Times New Roman" w:hAnsi="Times New Roman"/>
          <w:sz w:val="18"/>
          <w:szCs w:val="18"/>
          <w:color w:val="auto"/>
        </w:rPr>
        <w:t>(“ASU 2025-10”), to clarify the appropriate accounting, reduce diversity in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increase consistency across business entities. ASU 2025-10 will be effective for us beginning with our 2029 interim and annual financial statements, with early adoption permitted. The Company believes this ASU will have no material impact on its condensed consolidated financial statements.</w:t>
      </w:r>
    </w:p>
    <w:p>
      <w:pPr>
        <w:spacing w:after="0" w:line="18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2025-09”), to enhance hedge accounting guidance and better align it with entities’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The amendments expand eligibility for hedge accounting, simplify certain requirements, and address issues related to reference rate reform. Key changes include allowing cash flow hedge accounting for “choose-your-rate” debt instruments, introducing a principles-based “similar risk exposure” criterion for grouping forecasted transactions, permitting component hedging for nonfinancial forecasted transactions, and clarifying the treatment of certain derivative structures. ASU 2025-09 will be effective for the Company beginning with its 2027 interim and annual financial statements, with early adoption permitted. The Company is currently evaluating the impact of this accounting standard on its condensed consolidated financial statements and related disclosures.</w:t>
      </w:r>
    </w:p>
    <w:p>
      <w:pPr>
        <w:spacing w:after="0" w:line="18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(the "FASB") issued ASU 2025-06, </w:t>
      </w:r>
      <w:r>
        <w:rPr>
          <w:rFonts w:ascii="Times New Roman" w:cs="Times New Roman" w:eastAsia="Times New Roman" w:hAnsi="Times New Roman"/>
          <w:sz w:val="18"/>
          <w:szCs w:val="18"/>
          <w:i w:val="1"/>
          <w:iCs w:val="1"/>
          <w:color w:val="auto"/>
        </w:rPr>
        <w:t xml:space="preserve">Intangibles-Goodwill and Other- Internal-Use Software (Subtopic 350-40): Targeted Improvements to the Accounting for Internal-Use Software </w:t>
      </w:r>
      <w:r>
        <w:rPr>
          <w:rFonts w:ascii="Times New Roman" w:cs="Times New Roman" w:eastAsia="Times New Roman" w:hAnsi="Times New Roman"/>
          <w:sz w:val="18"/>
          <w:szCs w:val="18"/>
          <w:color w:val="auto"/>
        </w:rPr>
        <w:t>(“ASU 2025-06”). To clarify how the accounting guidance applies to both linear and nonlinear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this standard removes all references to “development stages” from ASC 350-40. ASU 2025-06 will be effective for us beginning with our 2028 interim and annual financial statements, with early adoption permitted as of the beginning of an annual reporting period. We are currently evaluating the impact of this accounting standard on our condensed consolidated financial statements and related disclosures.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(“ASU 2024-03”), which requires disaggregation of certain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into specified categories in disclosures within the footnotes to the financial statements. The objective of this standard is to provide investors with information to better understand a public entity’s performance and prospects for future cash flows, and to compare its performance over time with that of other entities. ASU 2024-03 will be effective for us beginning with our 2027 annual financial statements and interim financial statements thereafter, with early adoption permitted. The adoption of ASU 2024-03 will require us to provide new footnote disclosure about the types of expenses that are included in certain captions on our Statements of Operations, such as Cost of revenue, Research and development, Sales and marketing, and General and administrative.</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currency exchange rates. There have been no material changes in market risk from the information provided in Item 7A. Quantitative and Qualitative Disclosures About Market Risk of our Annual Report on Form 10-K, for the year ended December 31,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Our management, with the participation of our principal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and principal financial officer, 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September 30, 2026.</w:t>
      </w:r>
    </w:p>
    <w:p>
      <w:pPr>
        <w:spacing w:after="0" w:line="168"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during the fiscal quarter ended September 30, 2026 that have materially affected, or are reasonably likely to materially affect, our internal control over financial reporting.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have not been fully resolved and that have arisen in the ordinary course of business. Our material legal proceedings are described in Part I, Item 1 of this Form 10-Q in the Notes to the Condensed Consolidated Financial Statements in Note 20, "Commitments and Contingencies," under the heading "Contingencies."</w:t>
      </w:r>
    </w:p>
    <w:p>
      <w:pPr>
        <w:spacing w:after="0" w:line="18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nine months ended September 30, 2026 that did not individually or in the aggregate have a material impact on our financial condition or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Our business faces significant risks and uncertainties, which may have a material adverse effect on our business prospects, financial condition and results of operations, and you should carefully consider them. There have been no material changes in the nine months ended September 30, 2026 to the risk factors described in Part I, Item 1A. of our Annual Report on Form 10-K for the year ended December 31, 2025.</w:t>
      </w:r>
    </w:p>
    <w:p>
      <w:pPr>
        <w:spacing w:after="0" w:line="108" w:lineRule="exact"/>
        <w:rPr>
          <w:sz w:val="20"/>
          <w:szCs w:val="20"/>
          <w:color w:val="auto"/>
        </w:rPr>
      </w:pPr>
    </w:p>
    <w:p>
      <w:pPr>
        <w:ind w:left="60" w:right="3719"/>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(c) Issuer Purchases of Equity Securities</w:t>
      </w: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04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90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the Plans</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Withheld (1)</w:t>
            </w:r>
          </w:p>
        </w:tc>
        <w:tc>
          <w:tcPr>
            <w:tcW w:w="11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per Share (2)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or Programs (3)</w:t>
            </w:r>
          </w:p>
        </w:tc>
        <w:tc>
          <w:tcPr>
            <w:tcW w:w="260" w:type="dxa"/>
            <w:vAlign w:val="bottom"/>
            <w:gridSpan w:val="2"/>
            <w:vMerge w:val="continue"/>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or Programs (4)</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0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40,221,360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179" w:hanging="330"/>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restricted stock awards and performance-based stock units, certain of our employees surrender a portion of the newly vested shares of common stock to satisfy the tax withholding obligations that arise in connection with their vesting. During the third quarter of 2026, 51,668 shares of restricted stock were surrendered, with no performance-based stock units surrendered.</w:t>
      </w:r>
    </w:p>
    <w:p>
      <w:pPr>
        <w:spacing w:after="0" w:line="52" w:lineRule="exact"/>
        <w:rPr>
          <w:rFonts w:ascii="Times New Roman" w:cs="Times New Roman" w:eastAsia="Times New Roman" w:hAnsi="Times New Roman"/>
          <w:sz w:val="18"/>
          <w:szCs w:val="18"/>
          <w:color w:val="auto"/>
        </w:rPr>
      </w:pPr>
    </w:p>
    <w:p>
      <w:pPr>
        <w:ind w:left="380" w:hanging="330"/>
        <w:spacing w:after="0" w:line="207" w:lineRule="exact"/>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price of shares surrendered by employees to satisfy tax withholding obligations.</w:t>
      </w:r>
    </w:p>
    <w:p>
      <w:pPr>
        <w:spacing w:after="0" w:line="135" w:lineRule="exact"/>
        <w:rPr>
          <w:rFonts w:ascii="Times New Roman" w:cs="Times New Roman" w:eastAsia="Times New Roman" w:hAnsi="Times New Roman"/>
          <w:sz w:val="18"/>
          <w:szCs w:val="18"/>
          <w:color w:val="auto"/>
        </w:rPr>
      </w:pPr>
    </w:p>
    <w:p>
      <w:pPr>
        <w:ind w:left="380" w:right="99" w:hanging="330"/>
        <w:spacing w:after="0" w:line="25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a stock repurchase program for the period beginning June 5, 2025 through December 31, 2027, under which our Board of Directors authorized the repurchase of up to $50 million of our common stock at management’s discretion in the open market, in privately negotiated transactions structured through investment banking institutions, or a combination of the foregoing, (the "2025 Repurchase Program" or the “Repurchase Program”). We used $0.8 million to repurchase 400,333 shares of our common stock under the Repurchase Program during the nine months ended September 30, 2026. Repurchases are subject to the terms of the Credit Facility, as amended, which limits aggregate share repurchases to $15 million and subjects such repurchases to compliance with specified financial covenants and leverage requirements. Based on the foregoing, the Company has $40.2 million remaining authorized for future repurchases under the Repurchase Program. The amount and timing of repurchases are subject to a variety of factors including liquidity, cash flow, stock price, compliance with the Credit Facility and general business and market conditions. We may also from time to time, enter into Rule 10b5-1 plans to facilitate repurchases of our shares under this authorization. The Repurchase Program may be modified, increased, suspended, or discontinued at any time. The Repurchase Program is being funded using cash on hand and cash from operations.</w:t>
      </w:r>
    </w:p>
    <w:p>
      <w:pPr>
        <w:spacing w:after="0" w:line="7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available for repurchases under the Repurchase Program.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w:t>
      </w:r>
    </w:p>
    <w:p>
      <w:pPr>
        <w:spacing w:after="0" w:line="27"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60" w:type="dxa"/>
            <w:vAlign w:val="bottom"/>
            <w:gridSpan w:val="15"/>
          </w:tcPr>
          <w:p>
            <w:pPr>
              <w:ind w:left="1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Borders>
              <w:top w:val="single" w:sz="8" w:color="auto"/>
            </w:tcBorders>
          </w:tcPr>
          <w:p>
            <w:pPr>
              <w:jc w:val="center"/>
              <w:ind w:left="51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tcBorders>
              <w:top w:val="single" w:sz="8" w:color="auto"/>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Agreement and Plan of Merger, dated as of November 14, 2019, by and among the Registrant, Ribbon</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Communications Israel Ltd., Eclipse Communications Ltd., ECI Telecom Group Ltd. and ECI</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Holding (Hungary) Korlátolt Felelősségű Társág (incorporated by reference to Exhibit 2.1 to the</w:t>
              </w:r>
            </w:hyperlink>
          </w:p>
        </w:tc>
        <w:tc>
          <w:tcPr>
            <w:tcW w:w="420" w:type="dxa"/>
            <w:vAlign w:val="bottom"/>
            <w:gridSpan w:val="9"/>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Registrant’s Current Report on Form 8-K, filed November 14, 2019 with the SEC).</w:t>
              </w:r>
            </w:hyperlink>
          </w:p>
        </w:tc>
        <w:tc>
          <w:tcPr>
            <w:tcW w:w="1380" w:type="dxa"/>
            <w:vAlign w:val="bottom"/>
            <w:gridSpan w:val="13"/>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Amended and Restated Purchase Agreement, dated December 1, 2020, among Ribbon</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Communications Inc., Ribbon Communications Operating Company, Inc., Ribbon Communications</w:t>
              </w:r>
            </w:hyperlink>
          </w:p>
        </w:tc>
        <w:tc>
          <w:tcPr>
            <w:tcW w:w="160" w:type="dxa"/>
            <w:vAlign w:val="bottom"/>
            <w:gridSpan w:val="5"/>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International Limited and American Virtual Cloud Technologies, Inc. (incorporated by reference to</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Exhibit 2.1 to the Registrant’s Current Report on Form 8-K, filed December 7, 2020 with the SEC).</w:t>
              </w:r>
            </w:hyperlink>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Restated Certificate of Incorporation of the Registrant (incorporated by reference to Exhibit 3.2 to the</w:t>
              </w:r>
            </w:hyperlink>
          </w:p>
        </w:tc>
        <w:tc>
          <w:tcPr>
            <w:tcW w:w="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Registrant’s Current Report on Form 8-K12B, filed October 30, 2017 with the SEC).</w:t>
              </w:r>
            </w:hyperlink>
          </w:p>
        </w:tc>
        <w:tc>
          <w:tcPr>
            <w:tcW w:w="1260" w:type="dxa"/>
            <w:vAlign w:val="bottom"/>
            <w:gridSpan w:val="12"/>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by reference to Exhibit 3.1 to the Registrant’s Current Report on Form 8-K, filed November 28, 2017</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with the SEC).</w:t>
              </w:r>
            </w:hyperlink>
          </w:p>
        </w:tc>
        <w:tc>
          <w:tcPr>
            <w:tcW w:w="80" w:type="dxa"/>
            <w:vAlign w:val="bottom"/>
            <w:gridSpan w:val="3"/>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Designation of Series A Preferred Stock (incorporated by reference to Exhibit 3.1 to the</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Registrant’s Current Report on Form 8-K, filed March 30, 2023 with the SEC).</w:t>
              </w:r>
            </w:hyperlink>
          </w:p>
        </w:tc>
        <w:tc>
          <w:tcPr>
            <w:tcW w:w="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by reference to Exhibit 3.1 to the Registrant’s Current Report on Form 8-K, filed August 4, 2023 with</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the SEC).</w:t>
              </w:r>
            </w:hyperlink>
          </w:p>
        </w:tc>
        <w:tc>
          <w:tcPr>
            <w:tcW w:w="662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Certificate of Amendment of the Restated Certificate of Incorporation of the Registrant (incorporated</w:t>
              </w:r>
            </w:hyperlink>
          </w:p>
        </w:tc>
        <w:tc>
          <w:tcPr>
            <w:tcW w:w="60" w:type="dxa"/>
            <w:vAlign w:val="bottom"/>
            <w:gridSpan w:val="2"/>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by reference to Exhibit 3.1 to the Registrant’s Current Report on Form 8-K, filed May 30, 2025 with</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4">
              <w:r>
                <w:rPr>
                  <w:rFonts w:ascii="Times New Roman" w:cs="Times New Roman" w:eastAsia="Times New Roman" w:hAnsi="Times New Roman"/>
                  <w:sz w:val="18"/>
                  <w:szCs w:val="18"/>
                  <w:color w:val="0000EE"/>
                  <w:w w:val="97"/>
                </w:rPr>
                <w:t>the SEC).</w:t>
              </w:r>
            </w:hyperlink>
          </w:p>
        </w:tc>
        <w:tc>
          <w:tcPr>
            <w:tcW w:w="6520" w:type="dxa"/>
            <w:vAlign w:val="bottom"/>
            <w:tcBorders>
              <w:top w:val="single" w:sz="8" w:color="0000EE"/>
            </w:tcBorders>
            <w:gridSpan w:val="1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Amended and Restated By-Laws of the Registrant (incorporated by reference to Exhibit 3.3 to the</w:t>
              </w:r>
            </w:hyperlink>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Registrant’s Annual Report on Form 10-K, filed March 8, 2018 with the SEC).</w:t>
              </w:r>
            </w:hyperlink>
          </w:p>
        </w:tc>
        <w:tc>
          <w:tcPr>
            <w:tcW w:w="320" w:type="dxa"/>
            <w:vAlign w:val="bottom"/>
            <w:gridSpan w:val="8"/>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302 of the</w:t>
            </w: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302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5"/>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Certificate of Ribbon Communications Inc. Chief Executive Officer Pursuant to Section 906 of the</w:t>
            </w: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02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300" w:type="dxa"/>
            <w:vAlign w:val="bottom"/>
          </w:tcPr>
          <w:p>
            <w:pPr>
              <w:jc w:val="center"/>
              <w:ind w:left="5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Ribbon Communications Inc. Chief Financial Officer Pursuant to Section 906 of the</w:t>
            </w:r>
          </w:p>
        </w:tc>
        <w:tc>
          <w:tcPr>
            <w:tcW w:w="300" w:type="dxa"/>
            <w:vAlign w:val="bottom"/>
            <w:gridSpan w:val="7"/>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260" w:type="dxa"/>
            <w:vAlign w:val="bottom"/>
            <w:gridSpan w:val="15"/>
          </w:tcPr>
          <w:p>
            <w:pPr>
              <w:spacing w:after="0"/>
              <w:rPr>
                <w:sz w:val="17"/>
                <w:szCs w:val="17"/>
                <w:color w:val="auto"/>
              </w:rPr>
            </w:pPr>
          </w:p>
        </w:tc>
      </w:tr>
      <w:tr>
        <w:trPr>
          <w:trHeight w:val="218"/>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McClelland, certify that:</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Marmurek,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Ribbon Communications Inc.;</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September 30, 2026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McClelland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Ribbon Communications Inc. (the "Company") for the period ended September 30, 2026 as filed with the Securities and Exchange Commission on the date hereof (the "Report"), the undersigned, Eric Marmurek, Executive Vice President and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Eric Marmurek</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20"/>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68" Type="http://schemas.openxmlformats.org/officeDocument/2006/relationships/hyperlink" Target="https://www.sec.gov/Archives/edgar/data/1708055/000110465919064368/a19-22879_1ex2d1.htm" TargetMode="External"/><Relationship Id="rId69" Type="http://schemas.openxmlformats.org/officeDocument/2006/relationships/hyperlink" Target="https://www.sec.gov/Archives/edgar/data/1708055/000110465920132853/tm2037745d1_ex2-1.htm" TargetMode="External"/><Relationship Id="rId70" Type="http://schemas.openxmlformats.org/officeDocument/2006/relationships/hyperlink" Target="https://www.sec.gov/Archives/edgar/data/1708055/000110465917064455/a17-24632_1ex3d2.htm" TargetMode="External"/><Relationship Id="rId71" Type="http://schemas.openxmlformats.org/officeDocument/2006/relationships/hyperlink" Target="https://www.sec.gov/Archives/edgar/data/1708055/000110465917070729/a17-27586_1ex3d1.htm" TargetMode="External"/><Relationship Id="rId72" Type="http://schemas.openxmlformats.org/officeDocument/2006/relationships/hyperlink" Target="https://www.sec.gov/Archives/edgar/data/1708055/000110465923039214/tm2310899d1_ex3-1.htm" TargetMode="External"/><Relationship Id="rId73" Type="http://schemas.openxmlformats.org/officeDocument/2006/relationships/hyperlink" Target="https://www.sec.gov/Archives/edgar/data/1708055/000110465923087871/tm2322779d1_ex3-1.htm" TargetMode="External"/><Relationship Id="rId74" Type="http://schemas.openxmlformats.org/officeDocument/2006/relationships/hyperlink" Target="https://www.sec.gov/Archives/edgar/data/1708055/000110465925054927/tm2516554d1_ex3-1.htm" TargetMode="External"/><Relationship Id="rId75" Type="http://schemas.openxmlformats.org/officeDocument/2006/relationships/hyperlink" Target="https://www.sec.gov/Archives/edgar/data/1708055/000162828018002933/rbbn-ex332017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2026-10-28T11:09:43Z</dcterms:created>
  <dcterms:modified xsi:type="dcterms:W3CDTF">2026-10-28T11:09:43Z</dcterms:modified>
</cp:coreProperties>
</file>